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DB" w:rsidRPr="00A179AE" w:rsidRDefault="008352DB" w:rsidP="008352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8352DB" w:rsidRPr="00BF3078" w:rsidRDefault="008352DB" w:rsidP="008352DB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352DB" w:rsidRPr="00A179AE" w:rsidTr="008352DB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352DB" w:rsidRPr="00A179AE" w:rsidRDefault="008352DB" w:rsidP="008352DB">
            <w:r w:rsidRPr="005B3103">
              <w:t>Návrh nariadenia vlády Slovenskej republiky, ktorým sa vyhlasuje prírodná rezervácia Borsukov vrch</w:t>
            </w:r>
          </w:p>
          <w:p w:rsidR="008352DB" w:rsidRPr="00A179AE" w:rsidRDefault="008352DB" w:rsidP="008352DB"/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r>
              <w:t>Ministerstvo životného prostredia Slovenskej republiky</w:t>
            </w:r>
          </w:p>
          <w:p w:rsidR="008352DB" w:rsidRPr="00A179AE" w:rsidRDefault="008352DB" w:rsidP="008352DB"/>
        </w:tc>
      </w:tr>
      <w:tr w:rsidR="008352DB" w:rsidRPr="00A179AE" w:rsidTr="008352DB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8352DB" w:rsidRPr="00A179AE" w:rsidRDefault="008352DB" w:rsidP="008352D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r w:rsidRPr="00A179AE">
              <w:t>Materiál nelegislatívnej povahy</w:t>
            </w:r>
          </w:p>
        </w:tc>
      </w:tr>
      <w:tr w:rsidR="008352DB" w:rsidRPr="00A179AE" w:rsidTr="008352D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8352DB" w:rsidRPr="00A179AE" w:rsidRDefault="008352DB" w:rsidP="008352DB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352DB" w:rsidRPr="00A179AE" w:rsidRDefault="008352DB" w:rsidP="00835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8352DB" w:rsidRPr="00A179AE" w:rsidTr="008352D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8352DB" w:rsidRPr="00A179AE" w:rsidRDefault="008352DB" w:rsidP="008352DB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r w:rsidRPr="00A179AE">
              <w:t>Transpozícia práva EÚ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8352DB" w:rsidRPr="00A179AE" w:rsidRDefault="008352DB" w:rsidP="008352DB"/>
          <w:p w:rsidR="008352DB" w:rsidRPr="00A179AE" w:rsidRDefault="008352DB" w:rsidP="008352DB"/>
        </w:tc>
      </w:tr>
      <w:tr w:rsidR="008352DB" w:rsidRPr="00A179AE" w:rsidTr="008352DB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352DB" w:rsidRPr="00A179AE" w:rsidTr="008352DB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rPr>
                <w:i/>
              </w:rPr>
            </w:pPr>
          </w:p>
        </w:tc>
      </w:tr>
      <w:tr w:rsidR="008352DB" w:rsidRPr="00A179AE" w:rsidTr="008352DB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rPr>
                <w:i/>
              </w:rPr>
            </w:pP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52DB" w:rsidRPr="00A179AE" w:rsidRDefault="008352DB" w:rsidP="008352DB"/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8352DB" w:rsidRPr="00A179AE" w:rsidTr="008352DB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8352DB" w:rsidRPr="00382AFE" w:rsidRDefault="008352DB" w:rsidP="008352DB">
            <w:r w:rsidRPr="00382AFE">
              <w:t>Regulácia intenzity využitia prírodných zdrojov, plnenie medzinárodných záväzkov Slovenskej republiky</w:t>
            </w:r>
            <w:r>
              <w:t xml:space="preserve"> ohľadom ochrany</w:t>
            </w:r>
            <w:r w:rsidRPr="00B02A52">
              <w:t xml:space="preserve"> prírodných lesov Karpát, najmä pralesov </w:t>
            </w:r>
            <w:r w:rsidRPr="00382AFE">
              <w:t>(Svetové prírodné dedičstvo Karpatské bukové pralesy a staré bukové lesy Nemecka, Diplom Rady Európy pre Národný park Slovenský raj, medzinárodná biosférická rezervácia Východné Karpaty, Protokol o trvalo udržateľnom obhospodarovaní lesov k Rámcovému dohovoru o ochrane a trvalo udržateľnom rozvoji Karpát)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8352DB" w:rsidRPr="00A179AE" w:rsidTr="008352DB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8352DB" w:rsidRDefault="008352DB" w:rsidP="008352DB">
            <w:pPr>
              <w:rPr>
                <w:i/>
              </w:rPr>
            </w:pPr>
            <w:r>
              <w:rPr>
                <w:i/>
              </w:rPr>
              <w:t>Z</w:t>
            </w:r>
            <w:r w:rsidRPr="00B02A52">
              <w:rPr>
                <w:i/>
              </w:rPr>
              <w:t>abezpečen</w:t>
            </w:r>
            <w:r>
              <w:rPr>
                <w:i/>
              </w:rPr>
              <w:t>ie ochrany</w:t>
            </w:r>
            <w:r w:rsidRPr="00B02A52">
              <w:rPr>
                <w:i/>
              </w:rPr>
              <w:t xml:space="preserve"> v 5. stupni územnej ochrany podľa zákona č. 543/2002 Z. z, čím je zaručený vývoj lesa bez narušenia </w:t>
            </w:r>
            <w:proofErr w:type="spellStart"/>
            <w:r w:rsidRPr="00B02A52">
              <w:rPr>
                <w:i/>
              </w:rPr>
              <w:t>antropogénnou</w:t>
            </w:r>
            <w:proofErr w:type="spellEnd"/>
            <w:r w:rsidRPr="00B02A52">
              <w:rPr>
                <w:i/>
              </w:rPr>
              <w:t xml:space="preserve"> činnosťou</w:t>
            </w:r>
          </w:p>
          <w:p w:rsidR="008352DB" w:rsidRPr="00A179AE" w:rsidRDefault="008352DB" w:rsidP="008352DB"/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8352DB" w:rsidRDefault="008352DB" w:rsidP="008352DB">
            <w:pPr>
              <w:rPr>
                <w:i/>
              </w:rPr>
            </w:pPr>
            <w:proofErr w:type="spellStart"/>
            <w:r>
              <w:rPr>
                <w:i/>
              </w:rPr>
              <w:t>Lesopoľnohospodársky</w:t>
            </w:r>
            <w:proofErr w:type="spellEnd"/>
            <w:r>
              <w:rPr>
                <w:i/>
              </w:rPr>
              <w:t xml:space="preserve"> majetok Ulič, štátny podnik</w:t>
            </w:r>
          </w:p>
          <w:p w:rsidR="008352DB" w:rsidRDefault="008352DB" w:rsidP="008352DB">
            <w:pPr>
              <w:rPr>
                <w:i/>
              </w:rPr>
            </w:pPr>
            <w:r>
              <w:rPr>
                <w:i/>
              </w:rPr>
              <w:t>Štátna ochrana prírody Slovenskej republiky</w:t>
            </w:r>
          </w:p>
          <w:p w:rsidR="008352DB" w:rsidRDefault="008352DB" w:rsidP="008352DB">
            <w:pPr>
              <w:rPr>
                <w:i/>
              </w:rPr>
            </w:pPr>
            <w:r>
              <w:rPr>
                <w:i/>
              </w:rPr>
              <w:t>Obec Zboj</w:t>
            </w:r>
          </w:p>
          <w:p w:rsidR="008352DB" w:rsidRPr="00A179AE" w:rsidRDefault="008352DB" w:rsidP="008352DB">
            <w:pPr>
              <w:rPr>
                <w:i/>
              </w:rPr>
            </w:pPr>
            <w:r>
              <w:rPr>
                <w:i/>
              </w:rPr>
              <w:t>Obec Nová Sedlica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8352DB" w:rsidRPr="00A179AE" w:rsidTr="008352DB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8352DB" w:rsidRPr="00A179AE" w:rsidRDefault="008352DB" w:rsidP="008352DB">
            <w:pPr>
              <w:rPr>
                <w:i/>
              </w:rPr>
            </w:pPr>
            <w:r>
              <w:rPr>
                <w:i/>
              </w:rPr>
              <w:t>Žiadne -l</w:t>
            </w:r>
            <w:r w:rsidRPr="00B02A52">
              <w:rPr>
                <w:i/>
              </w:rPr>
              <w:t>okality zaradené do kategórie</w:t>
            </w:r>
            <w:r>
              <w:rPr>
                <w:i/>
              </w:rPr>
              <w:t xml:space="preserve"> prírodné </w:t>
            </w:r>
            <w:proofErr w:type="spellStart"/>
            <w:r>
              <w:rPr>
                <w:i/>
              </w:rPr>
              <w:t>lesy-pralesy</w:t>
            </w:r>
            <w:proofErr w:type="spellEnd"/>
            <w:r w:rsidRPr="00B02A52">
              <w:rPr>
                <w:i/>
              </w:rPr>
              <w:t xml:space="preserve"> musia mať zabezpečenú ochranu v 5. stupni územnej ochrany podľa zákona č. 543/2002 Z. z, čím je zaručený vývoj lesa bez narušenia </w:t>
            </w:r>
            <w:proofErr w:type="spellStart"/>
            <w:r w:rsidRPr="00B02A52">
              <w:rPr>
                <w:i/>
              </w:rPr>
              <w:t>antropogénnou</w:t>
            </w:r>
            <w:proofErr w:type="spellEnd"/>
            <w:r w:rsidRPr="00B02A52">
              <w:rPr>
                <w:i/>
              </w:rPr>
              <w:t xml:space="preserve"> činnosťou</w:t>
            </w:r>
          </w:p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8352DB" w:rsidRPr="00A179AE" w:rsidRDefault="008352DB" w:rsidP="008352DB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8352DB" w:rsidRPr="00A179AE" w:rsidTr="008352DB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52DB" w:rsidRPr="00A179AE" w:rsidRDefault="000841D6" w:rsidP="008352DB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2DB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52DB" w:rsidRPr="00A179AE" w:rsidRDefault="000841D6" w:rsidP="008352DB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D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352DB" w:rsidRPr="00A179AE">
              <w:t xml:space="preserve">  Nie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8352DB" w:rsidRPr="00A179AE" w:rsidRDefault="008352DB" w:rsidP="008352DB"/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8352DB" w:rsidRPr="00A179AE" w:rsidTr="008352DB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8352DB" w:rsidRPr="00A179AE" w:rsidRDefault="008352DB" w:rsidP="008352DB">
            <w:pPr>
              <w:rPr>
                <w:i/>
              </w:rPr>
            </w:pPr>
            <w:r>
              <w:rPr>
                <w:i/>
              </w:rPr>
              <w:lastRenderedPageBreak/>
              <w:t>X</w:t>
            </w:r>
          </w:p>
        </w:tc>
      </w:tr>
      <w:tr w:rsidR="008352DB" w:rsidRPr="00A179AE" w:rsidTr="008352DB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52DB" w:rsidRPr="00A179AE" w:rsidRDefault="008352DB" w:rsidP="008352DB"/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8352DB" w:rsidRPr="00A179AE" w:rsidRDefault="008352DB" w:rsidP="008352DB">
            <w:pPr>
              <w:rPr>
                <w:i/>
              </w:rPr>
            </w:pPr>
          </w:p>
        </w:tc>
      </w:tr>
      <w:tr w:rsidR="008352DB" w:rsidRPr="00A179AE" w:rsidTr="008352DB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52DB" w:rsidRDefault="008352DB" w:rsidP="008352DB">
            <w:pPr>
              <w:ind w:left="142" w:hanging="142"/>
            </w:pPr>
          </w:p>
          <w:p w:rsidR="008352DB" w:rsidRDefault="008352DB" w:rsidP="008352DB">
            <w:pPr>
              <w:ind w:left="142" w:hanging="142"/>
            </w:pPr>
          </w:p>
          <w:p w:rsidR="008352DB" w:rsidRDefault="008352DB" w:rsidP="008352DB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8352DB" w:rsidRPr="00A179AE" w:rsidRDefault="008352DB" w:rsidP="008352DB">
            <w:r>
              <w:t>** nepovinné</w:t>
            </w:r>
          </w:p>
        </w:tc>
      </w:tr>
      <w:tr w:rsidR="008352DB" w:rsidRPr="00A179AE" w:rsidTr="008352DB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b/>
              </w:rPr>
            </w:pPr>
          </w:p>
        </w:tc>
      </w:tr>
      <w:tr w:rsidR="008352DB" w:rsidRPr="00A179AE" w:rsidTr="008352DB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8352DB" w:rsidRPr="00A179AE" w:rsidTr="008352D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8352DB" w:rsidRPr="00A179AE" w:rsidTr="008352D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34"/>
            </w:pPr>
            <w:r w:rsidRPr="00A179AE">
              <w:t>Čiastočne</w:t>
            </w:r>
          </w:p>
        </w:tc>
      </w:tr>
      <w:tr w:rsidR="008352DB" w:rsidRPr="00A179AE" w:rsidTr="008352DB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8352DB" w:rsidRPr="00A179AE" w:rsidTr="008352DB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8352DB" w:rsidRPr="00A179AE" w:rsidRDefault="008352DB" w:rsidP="008352DB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54"/>
            </w:pPr>
            <w:r w:rsidRPr="00A179AE">
              <w:t>Negatívne</w:t>
            </w:r>
          </w:p>
        </w:tc>
      </w:tr>
      <w:tr w:rsidR="008352DB" w:rsidRPr="00A179AE" w:rsidTr="008352DB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8352DB" w:rsidRPr="00A179AE" w:rsidTr="008352D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8352DB" w:rsidRPr="00A179AE" w:rsidTr="008352D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2DB" w:rsidRPr="00A179AE" w:rsidRDefault="008352DB" w:rsidP="008352DB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52DB" w:rsidRPr="00A179AE" w:rsidRDefault="008352DB" w:rsidP="008352DB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A179AE" w:rsidRDefault="008352DB" w:rsidP="008352DB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8352DB" w:rsidRPr="00A179AE" w:rsidRDefault="008352DB" w:rsidP="008352DB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352DB" w:rsidRPr="00A179AE" w:rsidTr="008352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8352DB" w:rsidRPr="00A179AE" w:rsidTr="008352DB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8352DB" w:rsidRPr="00A179AE" w:rsidRDefault="008352DB" w:rsidP="008352DB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8352DB" w:rsidRPr="00A179AE" w:rsidTr="008352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8352DB" w:rsidRPr="00A179AE" w:rsidTr="008352DB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Pr="00D13B6F" w:rsidRDefault="008352DB" w:rsidP="008352DB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8352DB" w:rsidRPr="00A179AE" w:rsidTr="008352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8352DB" w:rsidRPr="00A179AE" w:rsidTr="008352DB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</w:t>
            </w:r>
          </w:p>
          <w:p w:rsidR="008352DB" w:rsidRDefault="008352DB" w:rsidP="008352DB">
            <w:pPr>
              <w:rPr>
                <w:i/>
              </w:rPr>
            </w:pPr>
            <w:r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8352DB" w:rsidRDefault="008352DB" w:rsidP="008352DB">
            <w:pPr>
              <w:rPr>
                <w:i/>
              </w:rPr>
            </w:pPr>
            <w:r>
              <w:rPr>
                <w:i/>
              </w:rPr>
              <w:t>metodický</w:t>
            </w:r>
            <w:r w:rsidRPr="00581680">
              <w:rPr>
                <w:i/>
              </w:rPr>
              <w:t xml:space="preserve"> postup na vymedzenie prírodných lesov vypracovaného pre potreby projektu "Rozvoj ochrany prírody a chránených</w:t>
            </w:r>
            <w:r>
              <w:rPr>
                <w:i/>
              </w:rPr>
              <w:t xml:space="preserve"> území v Slovenských Karpatoch" a výsledky mapovania prírodných lesov v Národnom parku </w:t>
            </w:r>
            <w:proofErr w:type="spellStart"/>
            <w:r>
              <w:rPr>
                <w:i/>
              </w:rPr>
              <w:t>Poloniny</w:t>
            </w:r>
            <w:proofErr w:type="spellEnd"/>
          </w:p>
          <w:p w:rsidR="008352DB" w:rsidRPr="00A179AE" w:rsidRDefault="008352DB" w:rsidP="008352DB">
            <w:pPr>
              <w:rPr>
                <w:i/>
              </w:rPr>
            </w:pPr>
            <w:r>
              <w:rPr>
                <w:i/>
              </w:rPr>
              <w:t xml:space="preserve">Výročné správy </w:t>
            </w:r>
            <w:proofErr w:type="spellStart"/>
            <w:r>
              <w:rPr>
                <w:i/>
              </w:rPr>
              <w:t>Lesopoľnohospodárskeho</w:t>
            </w:r>
            <w:proofErr w:type="spellEnd"/>
            <w:r>
              <w:rPr>
                <w:i/>
              </w:rPr>
              <w:t xml:space="preserve"> majetku Ulič, štátny podnik</w:t>
            </w:r>
          </w:p>
          <w:p w:rsidR="008352DB" w:rsidRPr="00A179AE" w:rsidRDefault="008352DB" w:rsidP="008352DB">
            <w:pPr>
              <w:rPr>
                <w:i/>
              </w:rPr>
            </w:pPr>
          </w:p>
          <w:p w:rsidR="008352DB" w:rsidRPr="00A179AE" w:rsidRDefault="008352DB" w:rsidP="008352DB">
            <w:pPr>
              <w:rPr>
                <w:b/>
              </w:rPr>
            </w:pPr>
          </w:p>
        </w:tc>
      </w:tr>
      <w:tr w:rsidR="008352DB" w:rsidRPr="00A179AE" w:rsidTr="008352D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52DB" w:rsidRPr="00A179AE" w:rsidRDefault="008352DB" w:rsidP="008352D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8352DB" w:rsidRPr="00A179AE" w:rsidTr="008352DB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2DB" w:rsidRPr="00A179AE" w:rsidRDefault="008352DB" w:rsidP="008352DB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8352DB" w:rsidRPr="00A179AE" w:rsidRDefault="008352DB" w:rsidP="008352DB">
            <w:pPr>
              <w:rPr>
                <w:b/>
              </w:rPr>
            </w:pPr>
          </w:p>
          <w:p w:rsidR="008352DB" w:rsidRPr="00A179AE" w:rsidRDefault="008352DB" w:rsidP="008352DB">
            <w:pPr>
              <w:rPr>
                <w:b/>
              </w:rPr>
            </w:pPr>
          </w:p>
          <w:p w:rsidR="008352DB" w:rsidRPr="00A179AE" w:rsidRDefault="008352DB" w:rsidP="008352DB">
            <w:pPr>
              <w:rPr>
                <w:b/>
              </w:rPr>
            </w:pPr>
          </w:p>
          <w:p w:rsidR="008352DB" w:rsidRPr="00A179AE" w:rsidRDefault="008352DB" w:rsidP="008352DB">
            <w:pPr>
              <w:rPr>
                <w:b/>
              </w:rPr>
            </w:pPr>
          </w:p>
          <w:p w:rsidR="008352DB" w:rsidRPr="00A179AE" w:rsidRDefault="008352DB" w:rsidP="008352DB">
            <w:pPr>
              <w:rPr>
                <w:b/>
              </w:rPr>
            </w:pPr>
          </w:p>
        </w:tc>
      </w:tr>
    </w:tbl>
    <w:p w:rsidR="007B0328" w:rsidRDefault="007B0328"/>
    <w:p w:rsidR="008352DB" w:rsidRDefault="008352DB"/>
    <w:p w:rsidR="008352DB" w:rsidRDefault="008352DB"/>
    <w:p w:rsidR="008352DB" w:rsidRDefault="008352DB"/>
    <w:p w:rsidR="008352DB" w:rsidRDefault="008352DB"/>
    <w:p w:rsidR="008352DB" w:rsidRDefault="008352DB"/>
    <w:p w:rsidR="008352DB" w:rsidRDefault="008352DB"/>
    <w:p w:rsidR="008352DB" w:rsidRDefault="008352DB"/>
    <w:p w:rsidR="008352DB" w:rsidRDefault="008352DB"/>
    <w:p w:rsidR="008352DB" w:rsidRDefault="008352DB"/>
    <w:p w:rsidR="008352DB" w:rsidRPr="007D5748" w:rsidRDefault="008352DB" w:rsidP="008352DB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:rsidR="008352DB" w:rsidRPr="007D5748" w:rsidRDefault="008352DB" w:rsidP="008352DB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8352DB" w:rsidRPr="00212894" w:rsidRDefault="008352DB" w:rsidP="008352DB">
      <w:pPr>
        <w:jc w:val="right"/>
        <w:rPr>
          <w:b/>
          <w:bCs/>
          <w:sz w:val="24"/>
          <w:szCs w:val="24"/>
        </w:rPr>
      </w:pPr>
    </w:p>
    <w:p w:rsidR="008352DB" w:rsidRDefault="008352DB" w:rsidP="008352DB">
      <w:pPr>
        <w:rPr>
          <w:b/>
          <w:bCs/>
          <w:sz w:val="24"/>
          <w:szCs w:val="24"/>
        </w:rPr>
      </w:pPr>
    </w:p>
    <w:p w:rsidR="008352DB" w:rsidRPr="00212894" w:rsidRDefault="008352DB" w:rsidP="008352DB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8352DB" w:rsidRDefault="008352DB" w:rsidP="008352DB">
      <w:pPr>
        <w:jc w:val="right"/>
      </w:pPr>
    </w:p>
    <w:p w:rsidR="008352DB" w:rsidRPr="007D5748" w:rsidRDefault="008352DB" w:rsidP="008352DB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8352DB" w:rsidRPr="007D5748" w:rsidTr="008352D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8352DB" w:rsidRPr="007D5748" w:rsidTr="008352D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3 30</w:t>
            </w: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D5748">
              <w:rPr>
                <w:b/>
                <w:bCs/>
                <w:sz w:val="24"/>
                <w:szCs w:val="24"/>
              </w:rPr>
              <w:t xml:space="preserve">0   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</w:p>
          <w:p w:rsidR="008352DB" w:rsidRDefault="008352DB" w:rsidP="008352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Ministerstvo životného prostredia SR </w:t>
            </w:r>
          </w:p>
          <w:p w:rsidR="008352DB" w:rsidRPr="007D5748" w:rsidRDefault="008352DB" w:rsidP="008352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(ŠOP SR, prvok 0750501)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</w:t>
            </w: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5748">
              <w:rPr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3 30</w:t>
            </w: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 MŽP SR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3 300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3 30</w:t>
            </w: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52DB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</w:p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81691D">
              <w:rPr>
                <w:sz w:val="24"/>
                <w:szCs w:val="24"/>
              </w:rPr>
              <w:t>financovanie zabezpečené v rozpočte MŽP SR (ŠOP SR)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</w:t>
            </w: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5748">
              <w:rPr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352DB" w:rsidRPr="007D5748" w:rsidTr="008352D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352DB" w:rsidRPr="007D5748" w:rsidRDefault="008352DB" w:rsidP="008352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8352DB" w:rsidRPr="007D5748" w:rsidRDefault="008352DB" w:rsidP="008352DB">
      <w:pPr>
        <w:rPr>
          <w:b/>
          <w:bCs/>
          <w:sz w:val="24"/>
          <w:szCs w:val="24"/>
        </w:rPr>
      </w:pPr>
    </w:p>
    <w:p w:rsidR="008352DB" w:rsidRPr="007D5748" w:rsidRDefault="008352DB" w:rsidP="008352DB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352DB" w:rsidRPr="007D5748" w:rsidRDefault="008352DB" w:rsidP="008352DB">
      <w:pPr>
        <w:jc w:val="both"/>
        <w:rPr>
          <w:b/>
          <w:bCs/>
          <w:sz w:val="12"/>
          <w:szCs w:val="24"/>
        </w:rPr>
      </w:pPr>
    </w:p>
    <w:p w:rsidR="008352DB" w:rsidRPr="007D5748" w:rsidRDefault="008352DB" w:rsidP="00835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8352DB" w:rsidRPr="007D5748" w:rsidRDefault="008352DB" w:rsidP="00835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8352DB" w:rsidRPr="007D5748" w:rsidRDefault="008352DB" w:rsidP="008352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8352DB" w:rsidRDefault="008352DB" w:rsidP="008352DB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8352DB" w:rsidRDefault="008352DB" w:rsidP="008352DB">
      <w:pPr>
        <w:rPr>
          <w:sz w:val="24"/>
          <w:szCs w:val="24"/>
        </w:rPr>
      </w:pPr>
    </w:p>
    <w:p w:rsidR="008352DB" w:rsidRDefault="008352DB" w:rsidP="008352DB">
      <w:pPr>
        <w:jc w:val="both"/>
        <w:rPr>
          <w:sz w:val="24"/>
          <w:szCs w:val="24"/>
        </w:rPr>
      </w:pPr>
      <w:r>
        <w:rPr>
          <w:sz w:val="24"/>
          <w:szCs w:val="24"/>
        </w:rPr>
        <w:t>Navrhovaná prírodná rezervácia</w:t>
      </w:r>
      <w:r w:rsidRPr="00544EF8">
        <w:rPr>
          <w:sz w:val="24"/>
          <w:szCs w:val="24"/>
        </w:rPr>
        <w:t xml:space="preserve"> je súčasťou NP </w:t>
      </w:r>
      <w:proofErr w:type="spellStart"/>
      <w:r w:rsidRPr="00544EF8">
        <w:rPr>
          <w:sz w:val="24"/>
          <w:szCs w:val="24"/>
        </w:rPr>
        <w:t>Poloniny</w:t>
      </w:r>
      <w:proofErr w:type="spellEnd"/>
      <w:r w:rsidRPr="00544EF8">
        <w:rPr>
          <w:sz w:val="24"/>
          <w:szCs w:val="24"/>
        </w:rPr>
        <w:t xml:space="preserve"> s tretím stupňom ochrany</w:t>
      </w:r>
      <w:r>
        <w:rPr>
          <w:sz w:val="24"/>
          <w:szCs w:val="24"/>
        </w:rPr>
        <w:t xml:space="preserve"> </w:t>
      </w:r>
      <w:r w:rsidRPr="00544EF8">
        <w:rPr>
          <w:sz w:val="24"/>
          <w:szCs w:val="24"/>
        </w:rPr>
        <w:t xml:space="preserve">podľa </w:t>
      </w:r>
      <w:r>
        <w:rPr>
          <w:sz w:val="24"/>
          <w:szCs w:val="24"/>
        </w:rPr>
        <w:br/>
      </w:r>
      <w:r w:rsidRPr="00544EF8">
        <w:rPr>
          <w:sz w:val="24"/>
          <w:szCs w:val="24"/>
        </w:rPr>
        <w:t>§ 12 zákona NR SR č. 543/2002 Z. z. o ochrane prírody a krajiny v znení neskorších</w:t>
      </w:r>
      <w:r>
        <w:rPr>
          <w:sz w:val="24"/>
          <w:szCs w:val="24"/>
        </w:rPr>
        <w:t xml:space="preserve"> </w:t>
      </w:r>
      <w:r w:rsidRPr="00544EF8">
        <w:rPr>
          <w:sz w:val="24"/>
          <w:szCs w:val="24"/>
        </w:rPr>
        <w:t>predpisov.</w:t>
      </w:r>
      <w:r>
        <w:rPr>
          <w:sz w:val="24"/>
          <w:szCs w:val="24"/>
        </w:rPr>
        <w:t xml:space="preserve"> </w:t>
      </w:r>
      <w:r w:rsidRPr="00544EF8">
        <w:rPr>
          <w:sz w:val="24"/>
          <w:szCs w:val="24"/>
        </w:rPr>
        <w:t>Hlavný dôvod návrhu na ochranu je potreba zabezpečenia legislatívnej ochrany</w:t>
      </w:r>
      <w:r>
        <w:rPr>
          <w:sz w:val="24"/>
          <w:szCs w:val="24"/>
        </w:rPr>
        <w:t xml:space="preserve"> </w:t>
      </w:r>
      <w:r w:rsidRPr="00544EF8">
        <w:rPr>
          <w:sz w:val="24"/>
          <w:szCs w:val="24"/>
        </w:rPr>
        <w:t>územia medzinárodného významu, na ktoré sa vzťahujú záväzky vyplývajúce</w:t>
      </w:r>
      <w:r>
        <w:rPr>
          <w:sz w:val="24"/>
          <w:szCs w:val="24"/>
        </w:rPr>
        <w:t xml:space="preserve"> </w:t>
      </w:r>
      <w:r w:rsidRPr="00544EF8">
        <w:rPr>
          <w:sz w:val="24"/>
          <w:szCs w:val="24"/>
        </w:rPr>
        <w:t xml:space="preserve">z medzinárodného dohovoru, </w:t>
      </w:r>
      <w:r>
        <w:rPr>
          <w:sz w:val="24"/>
          <w:szCs w:val="24"/>
        </w:rPr>
        <w:t xml:space="preserve">o ochrane svetového prírodného a kultúrneho dedičstva, </w:t>
      </w:r>
      <w:r w:rsidRPr="00544EF8">
        <w:rPr>
          <w:sz w:val="24"/>
          <w:szCs w:val="24"/>
        </w:rPr>
        <w:t>ku ktorému S</w:t>
      </w:r>
      <w:r>
        <w:rPr>
          <w:sz w:val="24"/>
          <w:szCs w:val="24"/>
        </w:rPr>
        <w:t xml:space="preserve">lovenská republika pristúpila. </w:t>
      </w:r>
    </w:p>
    <w:p w:rsidR="008352DB" w:rsidRPr="007D5748" w:rsidRDefault="008352DB" w:rsidP="008352DB">
      <w:pPr>
        <w:jc w:val="both"/>
        <w:rPr>
          <w:sz w:val="24"/>
          <w:szCs w:val="24"/>
        </w:rPr>
      </w:pPr>
    </w:p>
    <w:p w:rsidR="008352DB" w:rsidRPr="007D5748" w:rsidRDefault="008352DB" w:rsidP="008352DB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8352DB" w:rsidRPr="007D5748" w:rsidRDefault="008352DB" w:rsidP="008352DB">
      <w:pPr>
        <w:jc w:val="both"/>
        <w:rPr>
          <w:b/>
          <w:bCs/>
          <w:sz w:val="24"/>
          <w:szCs w:val="24"/>
        </w:rPr>
      </w:pPr>
    </w:p>
    <w:p w:rsidR="008352DB" w:rsidRDefault="008352DB" w:rsidP="008352DB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8352DB" w:rsidRPr="007D5748" w:rsidRDefault="008352DB" w:rsidP="008352DB">
      <w:pPr>
        <w:ind w:firstLine="708"/>
        <w:jc w:val="both"/>
        <w:rPr>
          <w:sz w:val="24"/>
          <w:szCs w:val="24"/>
        </w:rPr>
      </w:pPr>
    </w:p>
    <w:p w:rsidR="008352DB" w:rsidRPr="007D5748" w:rsidRDefault="008352DB" w:rsidP="008352DB">
      <w:pPr>
        <w:jc w:val="both"/>
        <w:rPr>
          <w:sz w:val="24"/>
          <w:szCs w:val="24"/>
        </w:rPr>
      </w:pPr>
      <w:r w:rsidRPr="000E41A8">
        <w:rPr>
          <w:sz w:val="24"/>
          <w:szCs w:val="24"/>
        </w:rPr>
        <w:t xml:space="preserve">Návrh nariadenia vlády Slovenskej republiky z ... 2015, ktorým sa vyhlasuje prírodná </w:t>
      </w:r>
      <w:r>
        <w:rPr>
          <w:sz w:val="24"/>
          <w:szCs w:val="24"/>
        </w:rPr>
        <w:t>r</w:t>
      </w:r>
      <w:r w:rsidRPr="000E41A8">
        <w:rPr>
          <w:sz w:val="24"/>
          <w:szCs w:val="24"/>
        </w:rPr>
        <w:t xml:space="preserve">ezervácia Borsukov vrch rieši </w:t>
      </w:r>
      <w:r>
        <w:rPr>
          <w:sz w:val="24"/>
          <w:szCs w:val="24"/>
        </w:rPr>
        <w:t>zastavenie</w:t>
      </w:r>
      <w:r w:rsidRPr="000E4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hospodárskeho </w:t>
      </w:r>
      <w:r w:rsidRPr="000E41A8">
        <w:rPr>
          <w:sz w:val="24"/>
          <w:szCs w:val="24"/>
        </w:rPr>
        <w:t>využitia prírodných zdrojov</w:t>
      </w:r>
      <w:r>
        <w:rPr>
          <w:sz w:val="24"/>
          <w:szCs w:val="24"/>
        </w:rPr>
        <w:t xml:space="preserve"> (lesov)</w:t>
      </w:r>
      <w:r w:rsidRPr="000E41A8">
        <w:rPr>
          <w:sz w:val="24"/>
          <w:szCs w:val="24"/>
        </w:rPr>
        <w:t xml:space="preserve">, z hľadiska záujmov </w:t>
      </w:r>
      <w:r>
        <w:rPr>
          <w:sz w:val="24"/>
          <w:szCs w:val="24"/>
        </w:rPr>
        <w:t>zachovať jedinečné prírodné hodnoty</w:t>
      </w:r>
      <w:r w:rsidRPr="000E41A8">
        <w:rPr>
          <w:sz w:val="24"/>
          <w:szCs w:val="24"/>
        </w:rPr>
        <w:t xml:space="preserve">. Starostlivosť o chránené územie budú implementovať predovšetkým </w:t>
      </w:r>
      <w:r>
        <w:rPr>
          <w:sz w:val="24"/>
          <w:szCs w:val="24"/>
        </w:rPr>
        <w:t>správca</w:t>
      </w:r>
      <w:r w:rsidRPr="000E41A8">
        <w:rPr>
          <w:sz w:val="24"/>
          <w:szCs w:val="24"/>
        </w:rPr>
        <w:t xml:space="preserve"> dotknutých pozemkov </w:t>
      </w:r>
      <w:r>
        <w:rPr>
          <w:sz w:val="24"/>
          <w:szCs w:val="24"/>
        </w:rPr>
        <w:t>vo vlastníctve štátu (</w:t>
      </w:r>
      <w:proofErr w:type="spellStart"/>
      <w:r>
        <w:rPr>
          <w:sz w:val="24"/>
          <w:szCs w:val="24"/>
        </w:rPr>
        <w:t>Lesopoľnohospodársky</w:t>
      </w:r>
      <w:proofErr w:type="spellEnd"/>
      <w:r>
        <w:rPr>
          <w:sz w:val="24"/>
          <w:szCs w:val="24"/>
        </w:rPr>
        <w:t xml:space="preserve"> majetok Ulič, štátny podnik) </w:t>
      </w:r>
      <w:r w:rsidRPr="000E41A8">
        <w:rPr>
          <w:sz w:val="24"/>
          <w:szCs w:val="24"/>
        </w:rPr>
        <w:t xml:space="preserve">v súčinnosti so Štátnou ochranou prírody Slovenskej republiky. </w:t>
      </w:r>
      <w:r>
        <w:rPr>
          <w:sz w:val="24"/>
          <w:szCs w:val="24"/>
        </w:rPr>
        <w:t>Vybrané ekosystémové s</w:t>
      </w:r>
      <w:r w:rsidRPr="000E41A8">
        <w:rPr>
          <w:sz w:val="24"/>
          <w:szCs w:val="24"/>
        </w:rPr>
        <w:t>lužby sa budú poskytovať regionálne, na území Národného parku.</w:t>
      </w:r>
    </w:p>
    <w:p w:rsidR="008352DB" w:rsidRPr="007D5748" w:rsidRDefault="008352DB" w:rsidP="008352DB">
      <w:pPr>
        <w:rPr>
          <w:sz w:val="24"/>
          <w:szCs w:val="24"/>
        </w:rPr>
      </w:pPr>
      <w:r w:rsidRPr="007D574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</w:t>
      </w:r>
      <w:r>
        <w:rPr>
          <w:b/>
          <w:sz w:val="24"/>
          <w:szCs w:val="24"/>
          <w:bdr w:val="single" w:sz="4" w:space="0" w:color="auto"/>
        </w:rPr>
        <w:t xml:space="preserve">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8352DB" w:rsidRPr="007D5748" w:rsidRDefault="008352DB" w:rsidP="008352DB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8352DB" w:rsidRPr="007D5748" w:rsidRDefault="008352DB" w:rsidP="008352DB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8352DB" w:rsidRPr="007D5748" w:rsidRDefault="008352DB" w:rsidP="008352DB">
      <w:pPr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 xml:space="preserve">    </w:t>
      </w:r>
      <w:r w:rsidRPr="007D5748">
        <w:rPr>
          <w:sz w:val="24"/>
          <w:szCs w:val="24"/>
          <w:bdr w:val="single" w:sz="4" w:space="0" w:color="auto"/>
        </w:rPr>
        <w:t xml:space="preserve"> </w:t>
      </w:r>
      <w:r w:rsidRPr="007D5748">
        <w:rPr>
          <w:sz w:val="24"/>
          <w:szCs w:val="24"/>
        </w:rPr>
        <w:t xml:space="preserve">  kombinovaný návrh</w:t>
      </w:r>
    </w:p>
    <w:p w:rsidR="008352DB" w:rsidRPr="007D5748" w:rsidRDefault="008352DB" w:rsidP="008352DB">
      <w:pPr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 xml:space="preserve">  x</w:t>
      </w:r>
      <w:r w:rsidRPr="007D5748">
        <w:rPr>
          <w:sz w:val="24"/>
          <w:szCs w:val="24"/>
          <w:bdr w:val="single" w:sz="4" w:space="0" w:color="auto"/>
        </w:rPr>
        <w:t xml:space="preserve"> </w:t>
      </w:r>
      <w:r w:rsidRPr="007D5748">
        <w:rPr>
          <w:sz w:val="24"/>
          <w:szCs w:val="24"/>
        </w:rPr>
        <w:t xml:space="preserve">  iné </w:t>
      </w: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8352DB" w:rsidRPr="007D5748" w:rsidRDefault="008352DB" w:rsidP="008352DB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352DB" w:rsidRPr="007D5748" w:rsidTr="008352D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8352DB" w:rsidRPr="007D5748" w:rsidTr="008352D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8352DB" w:rsidRPr="007D5748" w:rsidTr="008352DB">
        <w:trPr>
          <w:trHeight w:val="70"/>
        </w:trPr>
        <w:tc>
          <w:tcPr>
            <w:tcW w:w="4530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352DB" w:rsidRPr="007D5748" w:rsidTr="008352DB">
        <w:trPr>
          <w:trHeight w:val="70"/>
        </w:trPr>
        <w:tc>
          <w:tcPr>
            <w:tcW w:w="4530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352DB" w:rsidRPr="007D5748" w:rsidTr="008352DB">
        <w:trPr>
          <w:trHeight w:val="70"/>
        </w:trPr>
        <w:tc>
          <w:tcPr>
            <w:tcW w:w="4530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2DB" w:rsidRPr="007D5748" w:rsidRDefault="008352DB" w:rsidP="00835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7D5748" w:rsidRDefault="008352DB" w:rsidP="008352DB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8352DB" w:rsidRPr="007D5748" w:rsidRDefault="008352DB" w:rsidP="008352DB">
      <w:pPr>
        <w:rPr>
          <w:sz w:val="24"/>
          <w:szCs w:val="24"/>
        </w:rPr>
      </w:pPr>
    </w:p>
    <w:p w:rsidR="008352DB" w:rsidRPr="00105D0C" w:rsidRDefault="008352DB" w:rsidP="008352DB">
      <w:pPr>
        <w:ind w:firstLine="708"/>
        <w:jc w:val="both"/>
        <w:rPr>
          <w:sz w:val="24"/>
          <w:szCs w:val="24"/>
        </w:rPr>
      </w:pPr>
      <w:r w:rsidRPr="00105D0C">
        <w:rPr>
          <w:sz w:val="24"/>
          <w:szCs w:val="24"/>
        </w:rPr>
        <w:t>Výpočet výdavkov na označovanie územia prírodnej rezervácie vychádza z navrhovaného rozsahu</w:t>
      </w:r>
      <w:r w:rsidRPr="00105D0C">
        <w:t xml:space="preserve"> </w:t>
      </w:r>
      <w:r w:rsidRPr="00105D0C">
        <w:rPr>
          <w:sz w:val="24"/>
          <w:szCs w:val="24"/>
        </w:rPr>
        <w:t>označenie prístupových miest do chráneného územia a výdavkov na výrobu a osadenie normalizovaných tabúľ so štátnym znakom, s označením kategórie chráneného územia, informačných tabúľ a tabúľ s piktogramami.</w:t>
      </w:r>
    </w:p>
    <w:p w:rsidR="008352DB" w:rsidRDefault="008352DB" w:rsidP="008352DB">
      <w:pPr>
        <w:tabs>
          <w:tab w:val="num" w:pos="1080"/>
        </w:tabs>
        <w:jc w:val="both"/>
        <w:rPr>
          <w:bCs/>
          <w:sz w:val="24"/>
        </w:rPr>
      </w:pPr>
    </w:p>
    <w:p w:rsidR="008352DB" w:rsidRDefault="008352DB" w:rsidP="008352DB">
      <w:pPr>
        <w:tabs>
          <w:tab w:val="num" w:pos="1080"/>
        </w:tabs>
        <w:jc w:val="both"/>
        <w:rPr>
          <w:bCs/>
          <w:sz w:val="24"/>
        </w:rPr>
      </w:pPr>
    </w:p>
    <w:p w:rsidR="008352DB" w:rsidRPr="007D5748" w:rsidRDefault="008352DB" w:rsidP="008352DB">
      <w:pPr>
        <w:tabs>
          <w:tab w:val="num" w:pos="1080"/>
        </w:tabs>
        <w:jc w:val="both"/>
        <w:rPr>
          <w:bCs/>
        </w:rPr>
      </w:pPr>
      <w:r w:rsidRPr="007D5748">
        <w:rPr>
          <w:bCs/>
          <w:sz w:val="24"/>
          <w:szCs w:val="24"/>
        </w:rPr>
        <w:t>Tabuľka č. 3</w:t>
      </w:r>
      <w:r>
        <w:rPr>
          <w:bCs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420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991"/>
        <w:gridCol w:w="991"/>
        <w:gridCol w:w="991"/>
        <w:gridCol w:w="991"/>
        <w:gridCol w:w="1979"/>
      </w:tblGrid>
      <w:tr w:rsidR="008352DB" w:rsidRPr="007D5748" w:rsidTr="008352DB">
        <w:trPr>
          <w:cantSplit/>
          <w:trHeight w:val="255"/>
        </w:trPr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8352DB" w:rsidRPr="007D5748" w:rsidTr="008352DB">
        <w:trPr>
          <w:cantSplit/>
          <w:trHeight w:val="255"/>
        </w:trPr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B" w:rsidRPr="007D5748" w:rsidRDefault="008352DB" w:rsidP="008352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B" w:rsidRPr="007D5748" w:rsidRDefault="008352DB" w:rsidP="008352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8352DB" w:rsidRPr="007D5748" w:rsidTr="008352DB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E74703" w:rsidRDefault="008352DB" w:rsidP="008352DB"/>
        </w:tc>
      </w:tr>
      <w:tr w:rsidR="008352DB" w:rsidRPr="007D5748" w:rsidTr="008352DB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8352DB" w:rsidRPr="007D5748" w:rsidTr="008352DB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8352DB" w:rsidRPr="007D5748" w:rsidTr="008352DB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8352DB" w:rsidRPr="007D5748" w:rsidTr="008352DB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8352DB" w:rsidRPr="007D5748" w:rsidTr="008352DB">
        <w:trPr>
          <w:trHeight w:val="255"/>
        </w:trPr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7D5748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52DB" w:rsidRPr="007D5748" w:rsidRDefault="008352DB" w:rsidP="008352D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8352DB" w:rsidRPr="007D5748" w:rsidRDefault="008352DB" w:rsidP="008352DB">
      <w:pPr>
        <w:tabs>
          <w:tab w:val="num" w:pos="1080"/>
        </w:tabs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8352DB" w:rsidRDefault="008352DB" w:rsidP="008352DB">
      <w:pPr>
        <w:tabs>
          <w:tab w:val="num" w:pos="1080"/>
        </w:tabs>
        <w:jc w:val="both"/>
        <w:rPr>
          <w:bCs/>
          <w:sz w:val="24"/>
        </w:rPr>
      </w:pPr>
    </w:p>
    <w:p w:rsidR="008352DB" w:rsidRDefault="008352DB" w:rsidP="008352DB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Cs/>
        </w:rPr>
        <w:t>1 –  príjmy rozpísať až do položiek platnej ekonomickej klasifikácie</w:t>
      </w:r>
      <w:r w:rsidRPr="007D5748">
        <w:rPr>
          <w:b/>
          <w:bCs/>
          <w:sz w:val="24"/>
        </w:rPr>
        <w:t xml:space="preserve"> </w:t>
      </w:r>
    </w:p>
    <w:p w:rsidR="008352DB" w:rsidRPr="008352DB" w:rsidRDefault="008352DB" w:rsidP="008352DB">
      <w:pPr>
        <w:rPr>
          <w:sz w:val="24"/>
        </w:rPr>
      </w:pPr>
    </w:p>
    <w:p w:rsidR="008352DB" w:rsidRPr="007D5748" w:rsidRDefault="008352DB" w:rsidP="008352DB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B05C7E" w:rsidRDefault="008352DB" w:rsidP="00B05C7E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B05C7E" w:rsidRDefault="00B05C7E" w:rsidP="00B05C7E">
      <w:pPr>
        <w:tabs>
          <w:tab w:val="num" w:pos="1080"/>
        </w:tabs>
        <w:jc w:val="both"/>
        <w:rPr>
          <w:bCs/>
          <w:sz w:val="24"/>
        </w:rPr>
      </w:pPr>
    </w:p>
    <w:p w:rsidR="008352DB" w:rsidRPr="007D5748" w:rsidRDefault="00B05C7E" w:rsidP="00B05C7E">
      <w:pPr>
        <w:tabs>
          <w:tab w:val="num" w:pos="1080"/>
        </w:tabs>
        <w:jc w:val="both"/>
        <w:rPr>
          <w:bCs/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8352DB" w:rsidRPr="007D5748">
        <w:rPr>
          <w:bCs/>
          <w:sz w:val="24"/>
          <w:szCs w:val="24"/>
        </w:rPr>
        <w:t xml:space="preserve">Tabuľka č. 4 </w:t>
      </w:r>
    </w:p>
    <w:p w:rsidR="008352DB" w:rsidRPr="007D5748" w:rsidRDefault="008352DB" w:rsidP="008352DB">
      <w:pPr>
        <w:tabs>
          <w:tab w:val="num" w:pos="1080"/>
        </w:tabs>
        <w:jc w:val="both"/>
        <w:rPr>
          <w:bCs/>
          <w:sz w:val="24"/>
        </w:rPr>
      </w:pPr>
      <w:r w:rsidRPr="00313DAC">
        <w:rPr>
          <w:b/>
          <w:bCs/>
          <w:color w:val="000000"/>
          <w:sz w:val="24"/>
          <w:szCs w:val="24"/>
        </w:rPr>
        <w:t>MŽP SR</w:t>
      </w:r>
    </w:p>
    <w:tbl>
      <w:tblPr>
        <w:tblpPr w:leftFromText="141" w:rightFromText="141" w:vertAnchor="text" w:horzAnchor="margin" w:tblpY="6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620"/>
        <w:gridCol w:w="620"/>
        <w:gridCol w:w="620"/>
        <w:gridCol w:w="621"/>
        <w:gridCol w:w="3379"/>
      </w:tblGrid>
      <w:tr w:rsidR="008352DB" w:rsidRPr="00FA61B6" w:rsidTr="008352DB">
        <w:trPr>
          <w:cantSplit/>
          <w:trHeight w:val="255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Výdavky (v eurách)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8352DB" w:rsidRPr="00FA61B6" w:rsidTr="008352DB">
        <w:trPr>
          <w:cantSplit/>
          <w:trHeight w:val="255"/>
        </w:trPr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2DB" w:rsidRPr="00FA61B6" w:rsidRDefault="008352DB" w:rsidP="008352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B" w:rsidRPr="00FA61B6" w:rsidRDefault="008352DB" w:rsidP="008352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Bežné výdavky (600)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3 300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 xml:space="preserve">  Mzdy, platy, služobné príjmy a ostatné osobné vyrovnania (610)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  <w:vertAlign w:val="superscript"/>
              </w:rPr>
            </w:pPr>
            <w:r w:rsidRPr="00FA61B6">
              <w:rPr>
                <w:sz w:val="24"/>
                <w:szCs w:val="24"/>
              </w:rPr>
              <w:t xml:space="preserve">  Poistné a príspevok do poisťovní (620)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  <w:vertAlign w:val="superscript"/>
              </w:rPr>
            </w:pPr>
            <w:r w:rsidRPr="00FA61B6">
              <w:rPr>
                <w:sz w:val="24"/>
                <w:szCs w:val="24"/>
              </w:rPr>
              <w:t xml:space="preserve">  Tovary a služby (630)</w:t>
            </w:r>
            <w:r w:rsidRPr="00FA61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 xml:space="preserve">  Bežné transfery (</w:t>
            </w:r>
            <w:r w:rsidRPr="00FA61B6">
              <w:rPr>
                <w:color w:val="000000"/>
                <w:sz w:val="24"/>
                <w:szCs w:val="24"/>
              </w:rPr>
              <w:t xml:space="preserve">641001) </w:t>
            </w:r>
            <w:r w:rsidRPr="00FA61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3 300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300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Označovanie prírodnej rezervácie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 xml:space="preserve">  Splácanie úrokov a ostatné platby súvisiace s  úverom, pôžičkou, návratnou finančnou </w:t>
            </w:r>
            <w:r w:rsidRPr="00FA61B6">
              <w:rPr>
                <w:sz w:val="24"/>
                <w:szCs w:val="24"/>
              </w:rPr>
              <w:lastRenderedPageBreak/>
              <w:t>výpomocou a finančným prenájmom (650)</w:t>
            </w:r>
            <w:r w:rsidRPr="00FA61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lastRenderedPageBreak/>
              <w:t>Kapitálové výdavky (700)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 xml:space="preserve">  Obstarávanie kapitálových aktív (710)</w:t>
            </w:r>
            <w:r w:rsidRPr="00FA61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 xml:space="preserve">  Kapitálové transfery (720)</w:t>
            </w:r>
            <w:r w:rsidRPr="00FA61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Výdavky z transakcií s finančnými aktívami a finančnými pasívami (800)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Dopad na výdavky verejnej správy celkom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3 300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</w:tbl>
    <w:p w:rsidR="008352DB" w:rsidRDefault="008352DB" w:rsidP="00B05C7E">
      <w:pPr>
        <w:tabs>
          <w:tab w:val="num" w:pos="1080"/>
        </w:tabs>
        <w:jc w:val="both"/>
        <w:rPr>
          <w:bCs/>
        </w:rPr>
      </w:pPr>
    </w:p>
    <w:p w:rsidR="008352DB" w:rsidRPr="007D5748" w:rsidRDefault="008352DB" w:rsidP="00B05C7E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8352DB" w:rsidRPr="007D5748" w:rsidRDefault="008352DB" w:rsidP="00B05C7E">
      <w:pPr>
        <w:tabs>
          <w:tab w:val="num" w:pos="1080"/>
        </w:tabs>
        <w:jc w:val="both"/>
        <w:rPr>
          <w:bCs/>
          <w:sz w:val="24"/>
        </w:rPr>
      </w:pPr>
    </w:p>
    <w:p w:rsidR="008352DB" w:rsidRPr="007D5748" w:rsidRDefault="008352DB" w:rsidP="00B05C7E">
      <w:pPr>
        <w:tabs>
          <w:tab w:val="num" w:pos="1080"/>
        </w:tabs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8352DB" w:rsidRPr="007D5748" w:rsidRDefault="008352DB" w:rsidP="00B05C7E">
      <w:pPr>
        <w:tabs>
          <w:tab w:val="num" w:pos="1080"/>
        </w:tabs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8352DB" w:rsidRPr="007D5748" w:rsidRDefault="008352DB" w:rsidP="00B05C7E">
      <w:pPr>
        <w:tabs>
          <w:tab w:val="num" w:pos="1080"/>
        </w:tabs>
        <w:jc w:val="both"/>
        <w:rPr>
          <w:bCs/>
        </w:rPr>
      </w:pPr>
    </w:p>
    <w:p w:rsidR="008352DB" w:rsidRPr="007D5748" w:rsidRDefault="008352DB" w:rsidP="008352DB">
      <w:pPr>
        <w:tabs>
          <w:tab w:val="num" w:pos="1080"/>
        </w:tabs>
        <w:ind w:left="-900"/>
        <w:jc w:val="both"/>
        <w:rPr>
          <w:bCs/>
        </w:rPr>
      </w:pPr>
    </w:p>
    <w:p w:rsidR="008352DB" w:rsidRPr="007D5748" w:rsidRDefault="008352DB" w:rsidP="008352DB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8352DB" w:rsidRPr="007D5748" w:rsidRDefault="008352DB" w:rsidP="008352DB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086"/>
        <w:gridCol w:w="1138"/>
        <w:gridCol w:w="514"/>
        <w:gridCol w:w="1085"/>
        <w:gridCol w:w="1101"/>
        <w:gridCol w:w="246"/>
        <w:gridCol w:w="335"/>
      </w:tblGrid>
      <w:tr w:rsidR="008352DB" w:rsidRPr="00FA61B6" w:rsidTr="008352DB">
        <w:trPr>
          <w:cantSplit/>
          <w:trHeight w:val="255"/>
        </w:trPr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8352DB" w:rsidRPr="00FA61B6" w:rsidTr="008352DB">
        <w:trPr>
          <w:cantSplit/>
          <w:trHeight w:val="255"/>
        </w:trPr>
        <w:tc>
          <w:tcPr>
            <w:tcW w:w="2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2DB" w:rsidRPr="00FA61B6" w:rsidRDefault="008352DB" w:rsidP="008352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0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2DB" w:rsidRPr="00FA61B6" w:rsidRDefault="008352DB" w:rsidP="008352DB">
            <w:pPr>
              <w:jc w:val="center"/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 </w:t>
            </w: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352DB" w:rsidRPr="00FA61B6" w:rsidRDefault="008352DB" w:rsidP="008352DB">
            <w:pPr>
              <w:rPr>
                <w:b/>
                <w:bCs/>
                <w:sz w:val="24"/>
                <w:szCs w:val="24"/>
              </w:rPr>
            </w:pPr>
            <w:r w:rsidRPr="00FA61B6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447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352DB" w:rsidRPr="00FA61B6" w:rsidRDefault="008352DB" w:rsidP="008352DB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FA61B6">
              <w:rPr>
                <w:bCs/>
                <w:sz w:val="24"/>
                <w:szCs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</w:tr>
      <w:tr w:rsidR="008352DB" w:rsidRPr="00FA61B6" w:rsidTr="008352DB">
        <w:trPr>
          <w:trHeight w:val="255"/>
        </w:trPr>
        <w:tc>
          <w:tcPr>
            <w:tcW w:w="336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  <w:r w:rsidRPr="00FA61B6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52DB" w:rsidRPr="00FA61B6" w:rsidRDefault="008352DB" w:rsidP="008352DB">
            <w:pPr>
              <w:rPr>
                <w:sz w:val="24"/>
                <w:szCs w:val="24"/>
              </w:rPr>
            </w:pPr>
          </w:p>
        </w:tc>
      </w:tr>
    </w:tbl>
    <w:p w:rsidR="008352DB" w:rsidRDefault="008352DB"/>
    <w:p w:rsidR="00660FED" w:rsidRDefault="00660FED"/>
    <w:p w:rsidR="00660FED" w:rsidRDefault="00660FED"/>
    <w:p w:rsidR="00660FED" w:rsidRDefault="00660FE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0FED" w:rsidRPr="00F04CCD" w:rsidTr="0058197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660FED" w:rsidRPr="00042C66" w:rsidRDefault="00660FED" w:rsidP="0058197F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lastRenderedPageBreak/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660FED" w:rsidRPr="00F04CCD" w:rsidRDefault="00660FED" w:rsidP="0058197F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660FED" w:rsidRPr="00F04CCD" w:rsidTr="0058197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660FED" w:rsidRPr="00042C66" w:rsidRDefault="00660FED" w:rsidP="0058197F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660FED" w:rsidRPr="00F04CCD" w:rsidTr="0058197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660FED" w:rsidRPr="00F04CCD" w:rsidTr="0058197F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60FED" w:rsidRPr="00F04CCD" w:rsidRDefault="00660FED" w:rsidP="0058197F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60FED" w:rsidRPr="00F04CCD" w:rsidRDefault="00660FED" w:rsidP="0058197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660FED" w:rsidRPr="00F04CCD" w:rsidTr="0058197F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60FED" w:rsidRPr="00F04CCD" w:rsidRDefault="00660FED" w:rsidP="0058197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60FED" w:rsidRPr="00F04CCD" w:rsidRDefault="00660FED" w:rsidP="0058197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660FED" w:rsidRPr="00F04CCD" w:rsidTr="0058197F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660FED" w:rsidRPr="00F04CCD" w:rsidRDefault="00660FED" w:rsidP="0058197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660FED" w:rsidRPr="00F04CCD" w:rsidRDefault="00660FED" w:rsidP="0058197F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660FED" w:rsidRPr="00F04CCD" w:rsidRDefault="00660FED" w:rsidP="0058197F">
            <w:pPr>
              <w:rPr>
                <w:b/>
              </w:rPr>
            </w:pPr>
          </w:p>
        </w:tc>
      </w:tr>
      <w:tr w:rsidR="00660FED" w:rsidRPr="00F04CCD" w:rsidTr="0058197F">
        <w:tc>
          <w:tcPr>
            <w:tcW w:w="9212" w:type="dxa"/>
            <w:shd w:val="clear" w:color="auto" w:fill="D9D9D9" w:themeFill="background1" w:themeFillShade="D9"/>
          </w:tcPr>
          <w:p w:rsidR="00660FED" w:rsidRPr="00042C66" w:rsidRDefault="00660FED" w:rsidP="00581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.1 Dotknuté podnikateľské subjekty</w:t>
            </w:r>
          </w:p>
          <w:p w:rsidR="00660FED" w:rsidRPr="00F04CCD" w:rsidRDefault="00660FED" w:rsidP="0058197F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660FED" w:rsidRPr="00F04CCD" w:rsidTr="0058197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60FED" w:rsidRDefault="00660FED" w:rsidP="0058197F">
            <w:pPr>
              <w:rPr>
                <w:i/>
              </w:rPr>
            </w:pPr>
            <w:r w:rsidRPr="00577355">
              <w:rPr>
                <w:i/>
              </w:rPr>
              <w:t xml:space="preserve">Návrhom bude ovplyvnený jeden </w:t>
            </w:r>
            <w:r>
              <w:rPr>
                <w:i/>
              </w:rPr>
              <w:t xml:space="preserve">podnikateľský </w:t>
            </w:r>
            <w:r w:rsidRPr="00577355">
              <w:rPr>
                <w:i/>
              </w:rPr>
              <w:t xml:space="preserve">subjekt 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Lesopoľnohospodársky</w:t>
            </w:r>
            <w:proofErr w:type="spellEnd"/>
            <w:r>
              <w:rPr>
                <w:i/>
              </w:rPr>
              <w:t xml:space="preserve"> majetok Ulič, štátny podnik (ďalej len „LPM Ulič“), správca pozemkov vo vlastníctve štátu.</w:t>
            </w:r>
          </w:p>
          <w:p w:rsidR="00660FED" w:rsidRDefault="00660FED" w:rsidP="0058197F">
            <w:pPr>
              <w:rPr>
                <w:i/>
              </w:rPr>
            </w:pPr>
          </w:p>
          <w:p w:rsidR="00660FED" w:rsidRPr="00F04CCD" w:rsidRDefault="00660FED" w:rsidP="0058197F">
            <w:pPr>
              <w:rPr>
                <w:i/>
              </w:rPr>
            </w:pPr>
          </w:p>
        </w:tc>
      </w:tr>
      <w:tr w:rsidR="00660FED" w:rsidRPr="00F04CCD" w:rsidTr="0058197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0FED" w:rsidRPr="00042C66" w:rsidRDefault="00660FED" w:rsidP="00581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660FED" w:rsidRPr="00F04CCD" w:rsidRDefault="00660FED" w:rsidP="0058197F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0FED" w:rsidRPr="00F04CCD" w:rsidTr="0058197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660FED" w:rsidRPr="000D2622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660FED" w:rsidRPr="00F04CCD" w:rsidTr="0058197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60FED" w:rsidRDefault="00660FED" w:rsidP="0058197F">
            <w:pPr>
              <w:jc w:val="both"/>
              <w:rPr>
                <w:i/>
              </w:rPr>
            </w:pPr>
            <w:r w:rsidRPr="00CD6923">
              <w:rPr>
                <w:i/>
              </w:rPr>
              <w:t xml:space="preserve">Zámer na vyhlásenie prírodnej rezervácie prešiel procesom prerokovania </w:t>
            </w:r>
            <w:r>
              <w:rPr>
                <w:i/>
              </w:rPr>
              <w:t xml:space="preserve">podľa § 50 zákona č. 543/2002 Z. z. o ochrane prírody a krajiny v znení neskorších predpisov, </w:t>
            </w:r>
            <w:r w:rsidRPr="00CD6923">
              <w:rPr>
                <w:i/>
              </w:rPr>
              <w:t>s</w:t>
            </w:r>
            <w:r>
              <w:rPr>
                <w:i/>
              </w:rPr>
              <w:t>o</w:t>
            </w:r>
            <w:r w:rsidRPr="00CD6923">
              <w:rPr>
                <w:i/>
              </w:rPr>
              <w:t xml:space="preserve"> subjektmi dotknutými navrhovaným </w:t>
            </w:r>
            <w:r>
              <w:rPr>
                <w:i/>
              </w:rPr>
              <w:t>vyhlásením prírodnej rezervácie. O</w:t>
            </w:r>
            <w:r w:rsidRPr="00BA7F7E">
              <w:rPr>
                <w:i/>
              </w:rPr>
              <w:t xml:space="preserve">d doručenia </w:t>
            </w:r>
            <w:r>
              <w:rPr>
                <w:i/>
              </w:rPr>
              <w:t xml:space="preserve">oznámenia zámeru okresného úradu vyhlásiť navrhované územie za chránené územie </w:t>
            </w:r>
            <w:r w:rsidRPr="00BA7F7E">
              <w:rPr>
                <w:i/>
              </w:rPr>
              <w:t>alebo jeho verejného oznámenia</w:t>
            </w:r>
            <w:r>
              <w:rPr>
                <w:i/>
              </w:rPr>
              <w:t xml:space="preserve"> má v</w:t>
            </w:r>
            <w:r w:rsidRPr="00C71A33">
              <w:rPr>
                <w:i/>
              </w:rPr>
              <w:t>lastník, správca a nájomca dotknut</w:t>
            </w:r>
            <w:r>
              <w:rPr>
                <w:i/>
              </w:rPr>
              <w:t>ého</w:t>
            </w:r>
            <w:r w:rsidRPr="00C71A33">
              <w:rPr>
                <w:i/>
              </w:rPr>
              <w:t xml:space="preserve"> pozemku, obec a dotknutý orgán štátnej správy</w:t>
            </w:r>
            <w:r>
              <w:rPr>
                <w:i/>
              </w:rPr>
              <w:t xml:space="preserve"> právo podať k nemu do </w:t>
            </w:r>
            <w:r w:rsidRPr="00BA7F7E">
              <w:rPr>
                <w:i/>
              </w:rPr>
              <w:t xml:space="preserve">30 dní </w:t>
            </w:r>
            <w:r>
              <w:rPr>
                <w:i/>
              </w:rPr>
              <w:t xml:space="preserve">písomné pripomienky. V rámci procesu  oznámenia zámeru dotknutým subjektom boli príslušnému okresnému doručené potvrdenia obcí o informovaní verejnosti a tri pripomienky vznesené dotknutými </w:t>
            </w:r>
            <w:proofErr w:type="spellStart"/>
            <w:r>
              <w:rPr>
                <w:i/>
              </w:rPr>
              <w:t>subjektami</w:t>
            </w:r>
            <w:proofErr w:type="spellEnd"/>
            <w:r>
              <w:rPr>
                <w:i/>
              </w:rPr>
              <w:t>. Okresný úrad na základe doručených pripomienok uskutočnil dve prerokovania, vznesené pripomienky boli zohľadnené. Proces od oznámenia zámeru po ukončenie prerokovania vznesených pripomienok trval od 19.februára do 2.júla 2015.</w:t>
            </w:r>
          </w:p>
          <w:p w:rsidR="00660FED" w:rsidRDefault="00660FED" w:rsidP="0058197F">
            <w:pPr>
              <w:jc w:val="both"/>
              <w:rPr>
                <w:i/>
              </w:rPr>
            </w:pPr>
            <w:r>
              <w:rPr>
                <w:i/>
              </w:rPr>
              <w:t xml:space="preserve">Sprísnenie doterajšej ochrany v Národnom parku </w:t>
            </w:r>
            <w:proofErr w:type="spellStart"/>
            <w:r>
              <w:rPr>
                <w:i/>
              </w:rPr>
              <w:t>Poloniny</w:t>
            </w:r>
            <w:proofErr w:type="spellEnd"/>
            <w:r>
              <w:rPr>
                <w:i/>
              </w:rPr>
              <w:t xml:space="preserve"> vyhlásením Prírodnej rezervácie Borsukov vrch je súčasťou opatrení, ktorými Slovenská republika plní podmienky a odporúčania vyplývajúce z prijatých medzinárodných záväzkov (ochrana svetového prírodného dedičstva, diplom Rady Európy). Konzultácie so zástupcami </w:t>
            </w:r>
            <w:r w:rsidRPr="00515F94">
              <w:rPr>
                <w:i/>
              </w:rPr>
              <w:t>vlastník</w:t>
            </w:r>
            <w:r>
              <w:rPr>
                <w:i/>
              </w:rPr>
              <w:t>ov, správcami</w:t>
            </w:r>
            <w:r w:rsidRPr="00515F94">
              <w:rPr>
                <w:i/>
              </w:rPr>
              <w:t xml:space="preserve"> a nájomc</w:t>
            </w:r>
            <w:r>
              <w:rPr>
                <w:i/>
              </w:rPr>
              <w:t>ami</w:t>
            </w:r>
            <w:r w:rsidRPr="00515F94">
              <w:rPr>
                <w:i/>
              </w:rPr>
              <w:t xml:space="preserve"> dotknut</w:t>
            </w:r>
            <w:r>
              <w:rPr>
                <w:i/>
              </w:rPr>
              <w:t>ých</w:t>
            </w:r>
            <w:r w:rsidRPr="00515F94">
              <w:rPr>
                <w:i/>
              </w:rPr>
              <w:t xml:space="preserve"> pozemk</w:t>
            </w:r>
            <w:r>
              <w:rPr>
                <w:i/>
              </w:rPr>
              <w:t>ov</w:t>
            </w:r>
            <w:r w:rsidRPr="00515F94">
              <w:rPr>
                <w:i/>
              </w:rPr>
              <w:t>, obc</w:t>
            </w:r>
            <w:r>
              <w:rPr>
                <w:i/>
              </w:rPr>
              <w:t>ami</w:t>
            </w:r>
            <w:r w:rsidRPr="00515F94">
              <w:rPr>
                <w:i/>
              </w:rPr>
              <w:t xml:space="preserve"> a dotknutý</w:t>
            </w:r>
            <w:r>
              <w:rPr>
                <w:i/>
              </w:rPr>
              <w:t>mi</w:t>
            </w:r>
            <w:r w:rsidRPr="00515F94">
              <w:rPr>
                <w:i/>
              </w:rPr>
              <w:t xml:space="preserve"> orgán</w:t>
            </w:r>
            <w:r>
              <w:rPr>
                <w:i/>
              </w:rPr>
              <w:t>mi</w:t>
            </w:r>
            <w:r w:rsidRPr="00515F94">
              <w:rPr>
                <w:i/>
              </w:rPr>
              <w:t xml:space="preserve"> štátnej správy</w:t>
            </w:r>
            <w:r>
              <w:rPr>
                <w:i/>
              </w:rPr>
              <w:t xml:space="preserve"> o spôsobe naplnenia prijatých záväzkov prebiehajú od mája 2014 a naďalej  pokračujú.</w:t>
            </w:r>
          </w:p>
          <w:p w:rsidR="00660FED" w:rsidRPr="00F04CCD" w:rsidRDefault="00660FED" w:rsidP="0058197F">
            <w:pPr>
              <w:rPr>
                <w:i/>
              </w:rPr>
            </w:pPr>
          </w:p>
        </w:tc>
      </w:tr>
      <w:tr w:rsidR="00660FED" w:rsidRPr="00F04CCD" w:rsidTr="0058197F">
        <w:tc>
          <w:tcPr>
            <w:tcW w:w="9212" w:type="dxa"/>
            <w:shd w:val="clear" w:color="auto" w:fill="D9D9D9" w:themeFill="background1" w:themeFillShade="D9"/>
          </w:tcPr>
          <w:p w:rsidR="00660FED" w:rsidRPr="00042C66" w:rsidRDefault="00660FED" w:rsidP="00581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660FED" w:rsidRPr="00F04CCD" w:rsidRDefault="00660FED" w:rsidP="0058197F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Default="00660FED" w:rsidP="0058197F">
            <w:pPr>
              <w:rPr>
                <w:i/>
              </w:rPr>
            </w:pPr>
          </w:p>
          <w:p w:rsidR="00660FED" w:rsidRDefault="00660FED" w:rsidP="0058197F">
            <w:pPr>
              <w:jc w:val="both"/>
              <w:rPr>
                <w:i/>
              </w:rPr>
            </w:pPr>
            <w:r w:rsidRPr="00CD6923">
              <w:rPr>
                <w:i/>
              </w:rPr>
              <w:t>Vyhlásením prírodn</w:t>
            </w:r>
            <w:r>
              <w:rPr>
                <w:i/>
              </w:rPr>
              <w:t xml:space="preserve">ej rezervácie Borsukov vrch sa </w:t>
            </w:r>
            <w:r w:rsidRPr="00CD6923">
              <w:rPr>
                <w:i/>
              </w:rPr>
              <w:t xml:space="preserve"> výmera</w:t>
            </w:r>
            <w:r>
              <w:rPr>
                <w:i/>
              </w:rPr>
              <w:t xml:space="preserve"> </w:t>
            </w:r>
            <w:r w:rsidRPr="00CD6923">
              <w:rPr>
                <w:i/>
              </w:rPr>
              <w:t xml:space="preserve"> </w:t>
            </w:r>
            <w:r w:rsidRPr="00430CAB">
              <w:rPr>
                <w:i/>
              </w:rPr>
              <w:t xml:space="preserve">lesných pozemkov s piatym stupňom ochrany v správe LPM Ulič </w:t>
            </w:r>
            <w:r w:rsidRPr="00CD6923">
              <w:rPr>
                <w:i/>
              </w:rPr>
              <w:t xml:space="preserve">zvýši o 0,60% na 6,57% z celkovej </w:t>
            </w:r>
            <w:r>
              <w:rPr>
                <w:i/>
              </w:rPr>
              <w:t xml:space="preserve">spravovanej </w:t>
            </w:r>
            <w:r w:rsidRPr="00CD6923">
              <w:rPr>
                <w:i/>
              </w:rPr>
              <w:t xml:space="preserve">výmery 24 527 ha  lesných pozemkov. </w:t>
            </w:r>
            <w:r>
              <w:rPr>
                <w:i/>
              </w:rPr>
              <w:t>Vyhlásením prírodnej rezervácie dôjde aj k z</w:t>
            </w:r>
            <w:r w:rsidRPr="00CD6923">
              <w:rPr>
                <w:i/>
              </w:rPr>
              <w:t>men</w:t>
            </w:r>
            <w:r>
              <w:rPr>
                <w:i/>
              </w:rPr>
              <w:t>e</w:t>
            </w:r>
            <w:r w:rsidRPr="00CD6923">
              <w:rPr>
                <w:i/>
              </w:rPr>
              <w:t xml:space="preserve"> kategórie lesa z hospodárskeho na les osobitného určenia</w:t>
            </w:r>
            <w:r>
              <w:rPr>
                <w:i/>
              </w:rPr>
              <w:t>.</w:t>
            </w:r>
            <w:r w:rsidRPr="00CD6923">
              <w:rPr>
                <w:i/>
              </w:rPr>
              <w:t xml:space="preserve"> </w:t>
            </w:r>
            <w:r>
              <w:rPr>
                <w:i/>
              </w:rPr>
              <w:t xml:space="preserve">Z </w:t>
            </w:r>
            <w:r w:rsidRPr="00CD6923">
              <w:rPr>
                <w:i/>
              </w:rPr>
              <w:t>lesného pozemku, na ktorom nie</w:t>
            </w:r>
            <w:r>
              <w:rPr>
                <w:i/>
              </w:rPr>
              <w:t xml:space="preserve"> sú hospodárske lesy, sa ne</w:t>
            </w:r>
            <w:r w:rsidRPr="00CD6923">
              <w:rPr>
                <w:i/>
              </w:rPr>
              <w:t>plat</w:t>
            </w:r>
            <w:r>
              <w:rPr>
                <w:i/>
              </w:rPr>
              <w:t>í</w:t>
            </w:r>
            <w:r w:rsidRPr="00CD6923">
              <w:rPr>
                <w:i/>
              </w:rPr>
              <w:t xml:space="preserve"> daň z pozemku. </w:t>
            </w:r>
            <w:r w:rsidRPr="00EB7824">
              <w:rPr>
                <w:i/>
              </w:rPr>
              <w:t>Výpočet základu dane a sadzby dane z lesných pozemkov, na ktorých sú hospodárske lesy za rok a m</w:t>
            </w:r>
            <w:r w:rsidRPr="00F82C85">
              <w:rPr>
                <w:i/>
                <w:vertAlign w:val="superscript"/>
              </w:rPr>
              <w:t>2</w:t>
            </w:r>
            <w:r w:rsidRPr="00EB7824">
              <w:rPr>
                <w:i/>
              </w:rPr>
              <w:t xml:space="preserve">  plochy vychádza zo všeobecne záväzných nariadení o dani z nehnuteľností a dani za psa obcí Zboj a Nová Sedlica za kalendárny rok. </w:t>
            </w:r>
            <w:r>
              <w:rPr>
                <w:i/>
              </w:rPr>
              <w:t xml:space="preserve">Predpokladaný výpadok dane z pozemkov pre obce Zboj a Nová Sedlica je 400 Eur ročne. , </w:t>
            </w:r>
          </w:p>
          <w:p w:rsidR="00660FED" w:rsidRDefault="00660FED" w:rsidP="0058197F">
            <w:pPr>
              <w:jc w:val="both"/>
              <w:rPr>
                <w:i/>
              </w:rPr>
            </w:pPr>
            <w:r w:rsidRPr="00CD6923">
              <w:rPr>
                <w:i/>
              </w:rPr>
              <w:t>Správca dane z nehnuteľností (pozemkov) nemôže vyrubiť daň z</w:t>
            </w:r>
            <w:r>
              <w:rPr>
                <w:i/>
              </w:rPr>
              <w:t> pozemkov, na ktorých nie sú hospodárske lesy</w:t>
            </w:r>
            <w:r w:rsidRPr="00CD6923">
              <w:rPr>
                <w:i/>
              </w:rPr>
              <w:t>, má však možnosť upraviť sadzbu dane z poz</w:t>
            </w:r>
            <w:r>
              <w:rPr>
                <w:i/>
              </w:rPr>
              <w:t>emkov. Je možné očakávať, že obe</w:t>
            </w:r>
            <w:r w:rsidRPr="00CD6923">
              <w:rPr>
                <w:i/>
              </w:rPr>
              <w:t>c pre zachovanie súčasných príjmov z dane z pozemkov zvýši sadzbu dane</w:t>
            </w:r>
            <w:r>
              <w:rPr>
                <w:i/>
              </w:rPr>
              <w:t xml:space="preserve"> z pozemkov</w:t>
            </w:r>
            <w:r w:rsidRPr="00CD6923">
              <w:rPr>
                <w:i/>
              </w:rPr>
              <w:t xml:space="preserve">. Daňové zaťaženie </w:t>
            </w:r>
            <w:r>
              <w:rPr>
                <w:i/>
              </w:rPr>
              <w:t xml:space="preserve">daňou z pozemkov </w:t>
            </w:r>
            <w:r w:rsidRPr="00CD6923">
              <w:rPr>
                <w:i/>
              </w:rPr>
              <w:t>na LPM Ulič</w:t>
            </w:r>
            <w:r>
              <w:rPr>
                <w:i/>
              </w:rPr>
              <w:t xml:space="preserve"> sa zrejme nezmení</w:t>
            </w:r>
            <w:r w:rsidRPr="00CD6923">
              <w:rPr>
                <w:i/>
              </w:rPr>
              <w:t>.</w:t>
            </w:r>
          </w:p>
          <w:p w:rsidR="00660FED" w:rsidRPr="002947EA" w:rsidRDefault="00660FED" w:rsidP="0058197F">
            <w:pPr>
              <w:jc w:val="both"/>
              <w:rPr>
                <w:i/>
              </w:rPr>
            </w:pPr>
            <w:r>
              <w:rPr>
                <w:i/>
              </w:rPr>
              <w:t>Potenciálna</w:t>
            </w:r>
            <w:r w:rsidRPr="00430CAB">
              <w:rPr>
                <w:i/>
              </w:rPr>
              <w:t xml:space="preserve"> </w:t>
            </w:r>
            <w:proofErr w:type="spellStart"/>
            <w:r w:rsidRPr="00430CAB">
              <w:rPr>
                <w:i/>
              </w:rPr>
              <w:t>decenálna</w:t>
            </w:r>
            <w:proofErr w:type="spellEnd"/>
            <w:r w:rsidRPr="00430CAB">
              <w:rPr>
                <w:i/>
              </w:rPr>
              <w:t xml:space="preserve"> strata z produkcie dreva </w:t>
            </w:r>
            <w:r>
              <w:rPr>
                <w:i/>
              </w:rPr>
              <w:t>z výmery 146,8 ha lesných pozemkov s </w:t>
            </w:r>
            <w:proofErr w:type="spellStart"/>
            <w:r>
              <w:rPr>
                <w:i/>
              </w:rPr>
              <w:t>porastami</w:t>
            </w:r>
            <w:proofErr w:type="spellEnd"/>
            <w:r>
              <w:rPr>
                <w:i/>
              </w:rPr>
              <w:t xml:space="preserve"> </w:t>
            </w:r>
            <w:r w:rsidRPr="00430CAB">
              <w:rPr>
                <w:i/>
              </w:rPr>
              <w:t>predstav</w:t>
            </w:r>
            <w:r>
              <w:rPr>
                <w:i/>
              </w:rPr>
              <w:t>uje</w:t>
            </w:r>
            <w:r w:rsidRPr="00430CAB">
              <w:rPr>
                <w:i/>
              </w:rPr>
              <w:t xml:space="preserve"> objem </w:t>
            </w:r>
            <w:r>
              <w:rPr>
                <w:i/>
              </w:rPr>
              <w:t xml:space="preserve">334 305 Eur na obdobie desiatich rokov – ročne 33 430 Eur. Reálne vyčíslenie straty z produkcie dreva by zrejme ovplyvnili </w:t>
            </w:r>
            <w:r w:rsidRPr="002947EA">
              <w:rPr>
                <w:i/>
              </w:rPr>
              <w:t>náklady na</w:t>
            </w:r>
            <w:r>
              <w:rPr>
                <w:i/>
              </w:rPr>
              <w:t xml:space="preserve"> sprístupnenie porastov, ktoré sú</w:t>
            </w:r>
            <w:r w:rsidRPr="002947EA">
              <w:rPr>
                <w:i/>
              </w:rPr>
              <w:t xml:space="preserve"> daných terénnych podmienkach </w:t>
            </w:r>
            <w:r>
              <w:rPr>
                <w:i/>
              </w:rPr>
              <w:t>nadpriemerné.</w:t>
            </w:r>
          </w:p>
          <w:p w:rsidR="00660FED" w:rsidRPr="00F04CCD" w:rsidRDefault="00660FED" w:rsidP="0058197F">
            <w:pPr>
              <w:rPr>
                <w:b/>
                <w:i/>
              </w:rPr>
            </w:pP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A454FD" w:rsidRDefault="00660FED" w:rsidP="0058197F">
            <w:pPr>
              <w:rPr>
                <w:i/>
              </w:rPr>
            </w:pPr>
            <w:r w:rsidRPr="00A454FD">
              <w:rPr>
                <w:i/>
              </w:rPr>
              <w:t>X</w:t>
            </w:r>
          </w:p>
          <w:p w:rsidR="00660FED" w:rsidRPr="00F04CCD" w:rsidRDefault="00660FED" w:rsidP="0058197F">
            <w:pPr>
              <w:rPr>
                <w:b/>
                <w:i/>
              </w:rPr>
            </w:pPr>
          </w:p>
          <w:p w:rsidR="00660FED" w:rsidRPr="00F04CCD" w:rsidRDefault="00660FED" w:rsidP="0058197F">
            <w:pPr>
              <w:rPr>
                <w:b/>
                <w:i/>
              </w:rPr>
            </w:pPr>
          </w:p>
          <w:p w:rsidR="00660FED" w:rsidRPr="00F04CCD" w:rsidRDefault="00660FED" w:rsidP="0058197F">
            <w:pPr>
              <w:rPr>
                <w:b/>
                <w:i/>
              </w:rPr>
            </w:pP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b/>
                <w:i/>
              </w:rPr>
            </w:pPr>
          </w:p>
          <w:p w:rsidR="00660FED" w:rsidRPr="00F04CCD" w:rsidRDefault="00660FED" w:rsidP="0058197F">
            <w:pPr>
              <w:rPr>
                <w:b/>
                <w:i/>
              </w:rPr>
            </w:pPr>
          </w:p>
          <w:p w:rsidR="00660FED" w:rsidRPr="00F04CCD" w:rsidRDefault="00660FED" w:rsidP="0058197F">
            <w:pPr>
              <w:rPr>
                <w:b/>
                <w:i/>
              </w:rPr>
            </w:pPr>
          </w:p>
          <w:p w:rsidR="00660FED" w:rsidRPr="00F04CCD" w:rsidRDefault="00660FED" w:rsidP="0058197F">
            <w:pPr>
              <w:rPr>
                <w:b/>
                <w:i/>
              </w:rPr>
            </w:pPr>
          </w:p>
        </w:tc>
      </w:tr>
      <w:tr w:rsidR="00660FED" w:rsidRPr="00F04CCD" w:rsidTr="0058197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660FED" w:rsidRPr="00F04CCD" w:rsidRDefault="00660FED" w:rsidP="0058197F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660FED" w:rsidRPr="00F04CCD" w:rsidTr="0058197F">
              <w:tc>
                <w:tcPr>
                  <w:tcW w:w="2993" w:type="dxa"/>
                </w:tcPr>
                <w:p w:rsidR="00660FED" w:rsidRPr="00F04CCD" w:rsidRDefault="00660FED" w:rsidP="0058197F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660FED" w:rsidRPr="00F04CCD" w:rsidTr="0058197F">
              <w:tc>
                <w:tcPr>
                  <w:tcW w:w="2993" w:type="dxa"/>
                </w:tcPr>
                <w:p w:rsidR="00660FED" w:rsidRPr="00F04CCD" w:rsidRDefault="00660FED" w:rsidP="0058197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33 430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33 430</w:t>
                  </w:r>
                </w:p>
              </w:tc>
            </w:tr>
            <w:tr w:rsidR="00660FED" w:rsidRPr="00F04CCD" w:rsidTr="0058197F">
              <w:tc>
                <w:tcPr>
                  <w:tcW w:w="2993" w:type="dxa"/>
                </w:tcPr>
                <w:p w:rsidR="00660FED" w:rsidRPr="00F04CCD" w:rsidRDefault="00660FED" w:rsidP="0058197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660FED" w:rsidRPr="00F04CCD" w:rsidTr="0058197F">
              <w:tc>
                <w:tcPr>
                  <w:tcW w:w="2993" w:type="dxa"/>
                </w:tcPr>
                <w:p w:rsidR="00660FED" w:rsidRPr="00F04CCD" w:rsidRDefault="00660FED" w:rsidP="0058197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660FED" w:rsidRPr="00425BDD" w:rsidRDefault="00660FED" w:rsidP="0058197F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660FED" w:rsidRPr="00425BDD" w:rsidRDefault="00660FED" w:rsidP="0058197F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60FED" w:rsidRPr="00F04CCD" w:rsidTr="0058197F">
              <w:tc>
                <w:tcPr>
                  <w:tcW w:w="2993" w:type="dxa"/>
                </w:tcPr>
                <w:p w:rsidR="00660FED" w:rsidRPr="00F04CCD" w:rsidRDefault="00660FED" w:rsidP="0058197F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33 430</w:t>
                  </w:r>
                </w:p>
              </w:tc>
              <w:tc>
                <w:tcPr>
                  <w:tcW w:w="2994" w:type="dxa"/>
                </w:tcPr>
                <w:p w:rsidR="00660FED" w:rsidRPr="00F04CCD" w:rsidRDefault="00660FED" w:rsidP="0058197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33 430</w:t>
                  </w:r>
                </w:p>
              </w:tc>
            </w:tr>
          </w:tbl>
          <w:p w:rsidR="00660FED" w:rsidRPr="00F04CCD" w:rsidRDefault="00660FED" w:rsidP="0058197F">
            <w:pPr>
              <w:rPr>
                <w:i/>
              </w:rPr>
            </w:pPr>
          </w:p>
        </w:tc>
      </w:tr>
      <w:tr w:rsidR="00660FED" w:rsidRPr="00F04CCD" w:rsidTr="0058197F">
        <w:tc>
          <w:tcPr>
            <w:tcW w:w="9212" w:type="dxa"/>
            <w:shd w:val="clear" w:color="auto" w:fill="D9D9D9" w:themeFill="background1" w:themeFillShade="D9"/>
          </w:tcPr>
          <w:p w:rsidR="00660FED" w:rsidRPr="00042C66" w:rsidRDefault="00660FED" w:rsidP="00581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660FED" w:rsidRPr="00F04CCD" w:rsidRDefault="00660FED" w:rsidP="0058197F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0FED" w:rsidRPr="00F04CCD" w:rsidTr="0058197F">
        <w:tc>
          <w:tcPr>
            <w:tcW w:w="9212" w:type="dxa"/>
            <w:tcBorders>
              <w:bottom w:val="single" w:sz="4" w:space="0" w:color="auto"/>
            </w:tcBorders>
          </w:tcPr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660FED" w:rsidRPr="00F04CCD" w:rsidTr="0058197F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660FED" w:rsidRPr="00577355" w:rsidRDefault="00660FED" w:rsidP="0058197F">
            <w:pPr>
              <w:rPr>
                <w:b/>
                <w:i/>
              </w:rPr>
            </w:pPr>
            <w:r w:rsidRPr="00577355">
              <w:rPr>
                <w:b/>
                <w:i/>
              </w:rPr>
              <w:t>X</w:t>
            </w:r>
          </w:p>
        </w:tc>
      </w:tr>
      <w:tr w:rsidR="00660FED" w:rsidRPr="00F04CCD" w:rsidTr="0058197F">
        <w:tc>
          <w:tcPr>
            <w:tcW w:w="9212" w:type="dxa"/>
            <w:shd w:val="clear" w:color="auto" w:fill="D9D9D9" w:themeFill="background1" w:themeFillShade="D9"/>
          </w:tcPr>
          <w:p w:rsidR="00660FED" w:rsidRPr="00042C66" w:rsidRDefault="00660FED" w:rsidP="00581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660FED" w:rsidRPr="00F04CCD" w:rsidRDefault="00660FED" w:rsidP="0058197F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60FED" w:rsidRPr="00F04CCD" w:rsidTr="0058197F">
        <w:tc>
          <w:tcPr>
            <w:tcW w:w="9212" w:type="dxa"/>
          </w:tcPr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660FED" w:rsidRPr="00F04CC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660FED" w:rsidRDefault="00660FED" w:rsidP="0058197F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660FED" w:rsidRPr="00F04CCD" w:rsidRDefault="00660FED" w:rsidP="0058197F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660FED" w:rsidRPr="00F04CCD" w:rsidTr="0058197F">
        <w:trPr>
          <w:trHeight w:val="1516"/>
        </w:trPr>
        <w:tc>
          <w:tcPr>
            <w:tcW w:w="9212" w:type="dxa"/>
          </w:tcPr>
          <w:p w:rsidR="00660FED" w:rsidRPr="00577355" w:rsidRDefault="00660FED" w:rsidP="0058197F">
            <w:pPr>
              <w:rPr>
                <w:b/>
                <w:i/>
              </w:rPr>
            </w:pPr>
            <w:r w:rsidRPr="00577355">
              <w:rPr>
                <w:b/>
                <w:i/>
              </w:rPr>
              <w:t>X</w:t>
            </w:r>
          </w:p>
        </w:tc>
      </w:tr>
    </w:tbl>
    <w:p w:rsidR="00660FED" w:rsidRDefault="00660FED" w:rsidP="00660FED">
      <w:pPr>
        <w:spacing w:before="240"/>
      </w:pPr>
    </w:p>
    <w:tbl>
      <w:tblPr>
        <w:tblpPr w:leftFromText="141" w:rightFromText="141" w:vertAnchor="page" w:horzAnchor="margin" w:tblpXSpec="center" w:tblpY="1590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68"/>
        <w:gridCol w:w="5685"/>
      </w:tblGrid>
      <w:tr w:rsidR="00660FED" w:rsidRPr="00CD4982" w:rsidTr="0058197F">
        <w:trPr>
          <w:trHeight w:val="301"/>
        </w:trPr>
        <w:tc>
          <w:tcPr>
            <w:tcW w:w="5000" w:type="pct"/>
            <w:gridSpan w:val="2"/>
            <w:shd w:val="clear" w:color="auto" w:fill="D9D9D9"/>
          </w:tcPr>
          <w:p w:rsidR="00660FED" w:rsidRPr="00CD4982" w:rsidRDefault="00660FED" w:rsidP="0058197F">
            <w:pPr>
              <w:ind w:left="-284" w:firstLine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lastRenderedPageBreak/>
              <w:t>Analýza s</w:t>
            </w:r>
            <w:r w:rsidRPr="00CD4982">
              <w:rPr>
                <w:rFonts w:eastAsia="Calibri"/>
                <w:b/>
                <w:sz w:val="28"/>
              </w:rPr>
              <w:t>ociáln</w:t>
            </w:r>
            <w:r>
              <w:rPr>
                <w:rFonts w:eastAsia="Calibri"/>
                <w:b/>
                <w:sz w:val="28"/>
              </w:rPr>
              <w:t>ych</w:t>
            </w:r>
            <w:r w:rsidRPr="00CD4982">
              <w:rPr>
                <w:rFonts w:eastAsia="Calibri"/>
                <w:b/>
                <w:sz w:val="28"/>
              </w:rPr>
              <w:t xml:space="preserve"> vplyv</w:t>
            </w:r>
            <w:r>
              <w:rPr>
                <w:rFonts w:eastAsia="Calibri"/>
                <w:b/>
                <w:sz w:val="28"/>
              </w:rPr>
              <w:t>ov</w:t>
            </w:r>
          </w:p>
          <w:p w:rsidR="00660FED" w:rsidRPr="00CD4982" w:rsidRDefault="00660FED" w:rsidP="0058197F">
            <w:pPr>
              <w:jc w:val="center"/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  <w:sz w:val="24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660FED" w:rsidRPr="00CD4982" w:rsidTr="0058197F">
        <w:trPr>
          <w:trHeight w:val="305"/>
        </w:trPr>
        <w:tc>
          <w:tcPr>
            <w:tcW w:w="5000" w:type="pct"/>
            <w:gridSpan w:val="2"/>
            <w:shd w:val="clear" w:color="auto" w:fill="D9D9D9"/>
          </w:tcPr>
          <w:p w:rsidR="00660FED" w:rsidRPr="00CD4982" w:rsidRDefault="00660FED" w:rsidP="0058197F">
            <w:pPr>
              <w:rPr>
                <w:rFonts w:eastAsia="Calibri"/>
                <w:b/>
              </w:rPr>
            </w:pPr>
            <w:r w:rsidRPr="00CD4982">
              <w:rPr>
                <w:rFonts w:eastAsia="Calibri"/>
                <w:b/>
              </w:rPr>
              <w:t xml:space="preserve">4.1 </w:t>
            </w:r>
            <w:r w:rsidRPr="00CD4982">
              <w:rPr>
                <w:rFonts w:eastAsia="Calibri"/>
                <w:b/>
                <w:sz w:val="24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660FED" w:rsidRPr="00CD4982" w:rsidTr="0058197F">
        <w:trPr>
          <w:trHeight w:val="41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shd w:val="clear" w:color="auto" w:fill="F2F2F2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Vedie návrh k zvýšeniu alebo zníženiu príjmov alebo výdavkov domácností? </w:t>
            </w:r>
          </w:p>
          <w:p w:rsidR="00660FED" w:rsidRPr="00CD4982" w:rsidRDefault="00660FED" w:rsidP="0058197F">
            <w:pPr>
              <w:shd w:val="clear" w:color="auto" w:fill="F2F2F2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Ktoré skupiny domácností/obyvateľstva sú takto ovplyvnené a akým spôsobom? </w:t>
            </w:r>
          </w:p>
          <w:p w:rsidR="00660FED" w:rsidRPr="00CD4982" w:rsidRDefault="00660FED" w:rsidP="0058197F">
            <w:pPr>
              <w:shd w:val="clear" w:color="auto" w:fill="F2F2F2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Sú medzi potenciálne ovplyvnenými skupinami skupiny v riziku chudoby alebo sociálneho vylúčenia?</w:t>
            </w:r>
          </w:p>
        </w:tc>
      </w:tr>
      <w:tr w:rsidR="00660FED" w:rsidRPr="00CD4982" w:rsidTr="0058197F">
        <w:trPr>
          <w:trHeight w:val="145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Popíšte pozitívny vplyv na hospodárenie domácností s uvedením, či ide o zvýšenie príjmov alebo zníženie výdavkov:</w:t>
            </w:r>
          </w:p>
        </w:tc>
      </w:tr>
      <w:tr w:rsidR="00660FED" w:rsidRPr="00CD4982" w:rsidTr="0058197F">
        <w:trPr>
          <w:trHeight w:val="176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6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pozitívne ovplyvnené skupiny:</w:t>
            </w:r>
          </w:p>
        </w:tc>
      </w:tr>
      <w:tr w:rsidR="00660FED" w:rsidRPr="00CD4982" w:rsidTr="0058197F">
        <w:trPr>
          <w:trHeight w:val="159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</w:tc>
      </w:tr>
      <w:tr w:rsidR="00660FED" w:rsidRPr="00CD4982" w:rsidTr="0058197F">
        <w:trPr>
          <w:trHeight w:val="18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Popíšte negatívny vplyv na hospodárenie domácností s uvedením, či ide o zníženie príjmov alebo zvýšenie výdavkov domácností </w:t>
            </w:r>
          </w:p>
        </w:tc>
      </w:tr>
      <w:tr w:rsidR="00660FED" w:rsidRPr="00CD4982" w:rsidTr="0058197F">
        <w:trPr>
          <w:trHeight w:val="261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68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negatívne ovplyvnené skupiny:</w:t>
            </w:r>
          </w:p>
        </w:tc>
      </w:tr>
      <w:tr w:rsidR="00660FED" w:rsidRPr="00CD4982" w:rsidTr="0058197F">
        <w:trPr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53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Špecifikujte ovplyvnené skupiny v riziku chudoby alebo sociálneho vylúčenia a popíšte vplyv:</w:t>
            </w:r>
          </w:p>
        </w:tc>
      </w:tr>
      <w:tr w:rsidR="00660FED" w:rsidRPr="00CD4982" w:rsidTr="0058197F">
        <w:trPr>
          <w:trHeight w:val="150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tabs>
                <w:tab w:val="left" w:pos="3030"/>
              </w:tabs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439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660FED" w:rsidRPr="00CD4982" w:rsidRDefault="00660FED" w:rsidP="0058197F">
            <w:pPr>
              <w:jc w:val="both"/>
              <w:rPr>
                <w:rFonts w:ascii="Calibri" w:eastAsia="Calibri" w:hAnsi="Calibri"/>
                <w:i/>
                <w:highlight w:val="cyan"/>
              </w:rPr>
            </w:pPr>
            <w:r w:rsidRPr="00CD4982">
              <w:rPr>
                <w:rFonts w:eastAsia="Calibri"/>
                <w:i/>
              </w:rPr>
              <w:t>V prípade, ak neuvádzate kvantifikáciu, uveďte dôvod.</w:t>
            </w:r>
          </w:p>
        </w:tc>
      </w:tr>
      <w:tr w:rsidR="00660FED" w:rsidRPr="00CD4982" w:rsidTr="0058197F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Ovplyvnená skupina č. 1:</w:t>
            </w:r>
          </w:p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Pozitívny vplyv - priemerný rast príjmov/ pokles výdavkov v skupine v eurách a/alebo v % / obdobie: </w:t>
            </w:r>
          </w:p>
        </w:tc>
      </w:tr>
      <w:tr w:rsidR="00660FED" w:rsidRPr="00CD4982" w:rsidTr="0058197F">
        <w:trPr>
          <w:trHeight w:val="130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22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Negatívny vplyv - priemerný pokles príjmov/ rast výdavkov v skupine v eurách a/alebo v % / obdobie: </w:t>
            </w:r>
          </w:p>
        </w:tc>
      </w:tr>
      <w:tr w:rsidR="00660FED" w:rsidRPr="00CD4982" w:rsidTr="0058197F">
        <w:trPr>
          <w:trHeight w:val="19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37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Veľkosť skupiny (počet obyvateľov):</w:t>
            </w:r>
          </w:p>
        </w:tc>
      </w:tr>
      <w:tr w:rsidR="00660FED" w:rsidRPr="00CD4982" w:rsidTr="0058197F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</w:tc>
      </w:tr>
      <w:tr w:rsidR="00660FED" w:rsidRPr="00CD4982" w:rsidTr="0058197F">
        <w:trPr>
          <w:trHeight w:val="27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Ovplyvnená skupina č. 2:</w:t>
            </w:r>
          </w:p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Pozitívny vplyv - priemerný rast príjmov/pokles výdavkov v skupine v eurách a/alebo v % / obdobie:</w:t>
            </w:r>
          </w:p>
        </w:tc>
      </w:tr>
      <w:tr w:rsidR="00660FED" w:rsidRPr="00CD4982" w:rsidTr="0058197F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76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 xml:space="preserve">Negatívny vplyv - priemerný pokles príjmov/ rast výdavkov v skupine v eurách a/alebo v % / obdobie: </w:t>
            </w:r>
          </w:p>
        </w:tc>
      </w:tr>
      <w:tr w:rsidR="00660FED" w:rsidRPr="00CD4982" w:rsidTr="0058197F">
        <w:trPr>
          <w:trHeight w:val="99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45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Veľkosť skupiny (počet obyvateľov):</w:t>
            </w:r>
          </w:p>
        </w:tc>
      </w:tr>
      <w:tr w:rsidR="00660FED" w:rsidRPr="00CD4982" w:rsidTr="0058197F">
        <w:trPr>
          <w:trHeight w:val="53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</w:tc>
      </w:tr>
      <w:tr w:rsidR="00660FED" w:rsidRPr="00CD4982" w:rsidTr="0058197F">
        <w:trPr>
          <w:trHeight w:val="145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...</w:t>
            </w:r>
          </w:p>
        </w:tc>
      </w:tr>
      <w:tr w:rsidR="00660FED" w:rsidRPr="00CD4982" w:rsidTr="0058197F">
        <w:trPr>
          <w:trHeight w:val="275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Dôvod chýbajúcej kvantifikácie:</w:t>
            </w:r>
          </w:p>
        </w:tc>
      </w:tr>
      <w:tr w:rsidR="00660FED" w:rsidRPr="00CD4982" w:rsidTr="0058197F">
        <w:trPr>
          <w:trHeight w:val="176"/>
        </w:trPr>
        <w:tc>
          <w:tcPr>
            <w:tcW w:w="5000" w:type="pct"/>
            <w:gridSpan w:val="2"/>
            <w:tcBorders>
              <w:top w:val="single" w:sz="4" w:space="0" w:color="D9D9D9"/>
              <w:bottom w:val="dotted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</w:tc>
      </w:tr>
      <w:tr w:rsidR="00660FED" w:rsidRPr="00CD4982" w:rsidTr="0058197F">
        <w:trPr>
          <w:trHeight w:val="429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D9D9D9"/>
            </w:tcBorders>
            <w:shd w:val="clear" w:color="auto" w:fill="auto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V prípade významných vplyvov na príjmy alebo výdavky vyššie špecifikovaných domácností v riziku chudoby, identifikujte a kvantifikujte vplyv na chudobu obyvateľstva (napr. mieru rizika chudoby, podiel rastu/poklesu </w:t>
            </w:r>
            <w:r w:rsidRPr="00CD4982">
              <w:rPr>
                <w:rFonts w:eastAsia="Calibri"/>
                <w:i/>
              </w:rPr>
              <w:lastRenderedPageBreak/>
              <w:t>výdavkov na celkových výdavkoch/príjme):</w:t>
            </w:r>
          </w:p>
        </w:tc>
      </w:tr>
      <w:tr w:rsidR="00660FED" w:rsidRPr="00CD4982" w:rsidTr="0058197F">
        <w:trPr>
          <w:trHeight w:val="214"/>
        </w:trPr>
        <w:tc>
          <w:tcPr>
            <w:tcW w:w="5000" w:type="pct"/>
            <w:gridSpan w:val="2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X</w:t>
            </w:r>
          </w:p>
        </w:tc>
      </w:tr>
      <w:tr w:rsidR="00660FED" w:rsidRPr="00CD4982" w:rsidTr="0058197F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60FED" w:rsidRPr="00CD4982" w:rsidRDefault="00660FED" w:rsidP="0058197F">
            <w:pPr>
              <w:rPr>
                <w:rFonts w:eastAsia="Calibri"/>
                <w:b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660FED" w:rsidRPr="00CD4982" w:rsidTr="0058197F">
        <w:trPr>
          <w:trHeight w:val="1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 xml:space="preserve">Má návrh vplyv na prístup k zdrojom, právam, tovarom a službám? </w:t>
            </w:r>
          </w:p>
          <w:p w:rsidR="00660FED" w:rsidRPr="00CD4982" w:rsidRDefault="00660FED" w:rsidP="0058197F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660FED" w:rsidRPr="00CD4982" w:rsidTr="0058197F">
        <w:trPr>
          <w:trHeight w:val="314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Rozumie sa najmä na prístup k: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rFonts w:eastAsia="Calibri"/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bývaniu a súvisiacim základným komunálnym službám,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doprave,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ďalším službám najmä službám všeobecného záujmu a tovarom,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spravodlivosti, právnej ochrane, právnym službám,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informáciám</w:t>
            </w:r>
          </w:p>
          <w:p w:rsidR="00660FED" w:rsidRPr="00CD4982" w:rsidRDefault="00660FED" w:rsidP="00660FED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5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 xml:space="preserve">Má návrh významný vplyv na niektorú zo zraniteľných skupín obyvateľstva alebo skupín v riziku chudoby alebo sociálneho vylúčenia? </w:t>
            </w:r>
          </w:p>
          <w:p w:rsidR="00660FED" w:rsidRPr="00CD4982" w:rsidRDefault="00660FED" w:rsidP="0058197F">
            <w:pPr>
              <w:jc w:val="both"/>
              <w:rPr>
                <w:rFonts w:ascii="Calibri" w:eastAsia="Calibri" w:hAnsi="Calibri"/>
                <w:i/>
              </w:rPr>
            </w:pPr>
            <w:r w:rsidRPr="00CD4982">
              <w:rPr>
                <w:rFonts w:eastAsia="Calibri"/>
                <w:i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660FED" w:rsidRPr="00CD4982" w:rsidTr="0058197F">
        <w:trPr>
          <w:trHeight w:val="382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Zraniteľné skupiny alebo s</w:t>
            </w:r>
            <w:r w:rsidRPr="00CD4982">
              <w:rPr>
                <w:rFonts w:eastAsia="Calibri"/>
                <w:i/>
                <w:sz w:val="18"/>
                <w:szCs w:val="18"/>
              </w:rPr>
              <w:t>kupiny v riziku chudoby alebo sociálneho vylúčenia</w:t>
            </w:r>
            <w:r>
              <w:rPr>
                <w:rFonts w:eastAsia="Calibri"/>
                <w:i/>
                <w:sz w:val="18"/>
                <w:szCs w:val="18"/>
              </w:rPr>
              <w:t xml:space="preserve"> sú napr.</w:t>
            </w:r>
            <w:r w:rsidRPr="00CD4982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deti (0 – 17),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mladí ľudia (18 – 25 rokov),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starší ľudia, napr. ľudia vo veku nad 65 rokov alebo dôchodcovia,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ľudia so zdravotným postihnutím,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proofErr w:type="spellStart"/>
            <w:r w:rsidRPr="00CD4982">
              <w:rPr>
                <w:rFonts w:eastAsia="Calibri"/>
                <w:i/>
                <w:sz w:val="18"/>
                <w:szCs w:val="18"/>
              </w:rPr>
              <w:t>marginalizované</w:t>
            </w:r>
            <w:proofErr w:type="spellEnd"/>
            <w:r w:rsidRPr="00CD4982">
              <w:rPr>
                <w:rFonts w:eastAsia="Calibri"/>
                <w:i/>
                <w:sz w:val="18"/>
                <w:szCs w:val="18"/>
              </w:rPr>
              <w:t xml:space="preserve"> rómske komunity 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domácnosti s 3 a viac deťmi,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príslušníci tretích krajín, azylanti, </w:t>
            </w:r>
            <w:r w:rsidRPr="00CD4982">
              <w:rPr>
                <w:rFonts w:eastAsia="Calibri"/>
                <w:i/>
                <w:sz w:val="18"/>
                <w:szCs w:val="18"/>
              </w:rPr>
              <w:lastRenderedPageBreak/>
              <w:t>žiadatelia o azyl,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81"/>
        </w:trPr>
        <w:tc>
          <w:tcPr>
            <w:tcW w:w="5000" w:type="pct"/>
            <w:gridSpan w:val="2"/>
            <w:shd w:val="clear" w:color="auto" w:fill="D9D9D9"/>
          </w:tcPr>
          <w:p w:rsidR="00660FED" w:rsidRPr="00CD4982" w:rsidRDefault="00660FED" w:rsidP="0058197F">
            <w:pPr>
              <w:rPr>
                <w:rFonts w:eastAsia="Calibri"/>
                <w:b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lastRenderedPageBreak/>
              <w:t>4.3 Identifikujte a popíšte vplyv na rovnosť príležitostí.</w:t>
            </w:r>
          </w:p>
          <w:p w:rsidR="00660FED" w:rsidRPr="00CD4982" w:rsidRDefault="00660FED" w:rsidP="0058197F">
            <w:pPr>
              <w:ind w:left="34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D4982">
              <w:rPr>
                <w:rFonts w:eastAsia="Calibri"/>
                <w:b/>
                <w:sz w:val="24"/>
                <w:szCs w:val="24"/>
              </w:rPr>
              <w:t>Identifikujte, popíšte a kvantifikujte vplyv na rodovú rovnosť.</w:t>
            </w:r>
          </w:p>
        </w:tc>
      </w:tr>
      <w:tr w:rsidR="00660FED" w:rsidRPr="00CD4982" w:rsidTr="0058197F">
        <w:trPr>
          <w:trHeight w:val="8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660FED" w:rsidRPr="00CD4982" w:rsidTr="0058197F">
        <w:trPr>
          <w:trHeight w:val="5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 w:rsidRPr="00CD4982">
              <w:rPr>
                <w:rFonts w:eastAsia="Calibri"/>
                <w:i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660FED" w:rsidRPr="00CD4982" w:rsidTr="0058197F">
        <w:trPr>
          <w:trHeight w:val="697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vyrovnávania ekonomickej nezávislosti, 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podpora rovnej participácie na rozhodovaní, 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660FED" w:rsidRPr="00CD4982" w:rsidRDefault="00660FED" w:rsidP="00660FED">
            <w:pPr>
              <w:numPr>
                <w:ilvl w:val="0"/>
                <w:numId w:val="3"/>
              </w:numPr>
              <w:jc w:val="both"/>
              <w:rPr>
                <w:rFonts w:eastAsia="Calibri"/>
                <w:i/>
                <w:sz w:val="18"/>
                <w:szCs w:val="18"/>
              </w:rPr>
            </w:pPr>
            <w:r w:rsidRPr="00CD4982">
              <w:rPr>
                <w:rFonts w:eastAsia="Calibri"/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81"/>
        </w:trPr>
        <w:tc>
          <w:tcPr>
            <w:tcW w:w="5000" w:type="pct"/>
            <w:gridSpan w:val="2"/>
            <w:shd w:val="clear" w:color="auto" w:fill="D9D9D9"/>
          </w:tcPr>
          <w:p w:rsidR="00660FED" w:rsidRPr="00CD4982" w:rsidRDefault="00660FED" w:rsidP="0058197F">
            <w:pPr>
              <w:rPr>
                <w:rFonts w:eastAsia="Calibri"/>
              </w:rPr>
            </w:pPr>
            <w:r w:rsidRPr="00CD4982">
              <w:rPr>
                <w:rFonts w:eastAsia="Calibri"/>
                <w:b/>
                <w:sz w:val="24"/>
              </w:rPr>
              <w:t>4.4 Identifikujte, popíšte a kvantifikujte vplyvy na zamestnanosť a na trh práce.</w:t>
            </w:r>
          </w:p>
        </w:tc>
      </w:tr>
      <w:tr w:rsidR="00660FED" w:rsidRPr="00CD4982" w:rsidTr="0058197F">
        <w:trPr>
          <w:trHeight w:val="14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Uľahčuje návrh vznik nových pracovných miest?</w:t>
            </w:r>
          </w:p>
        </w:tc>
      </w:tr>
      <w:tr w:rsidR="00660FED" w:rsidRPr="00CD4982" w:rsidTr="0058197F">
        <w:trPr>
          <w:trHeight w:val="1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6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Vedie návrh k zániku pracovných miest?</w:t>
            </w:r>
          </w:p>
        </w:tc>
      </w:tr>
      <w:tr w:rsidR="00660FED" w:rsidRPr="00CD4982" w:rsidTr="0058197F">
        <w:trPr>
          <w:trHeight w:val="39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5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Ovplyvňuje návrh dopyt po práci?</w:t>
            </w:r>
          </w:p>
        </w:tc>
      </w:tr>
      <w:tr w:rsidR="00660FED" w:rsidRPr="00CD4982" w:rsidTr="0058197F">
        <w:trPr>
          <w:trHeight w:val="2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7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Má návrh dosah na fungovanie trhu práce?</w:t>
            </w:r>
          </w:p>
        </w:tc>
      </w:tr>
      <w:tr w:rsidR="00660FED" w:rsidRPr="00CD4982" w:rsidTr="0058197F">
        <w:trPr>
          <w:trHeight w:val="39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X</w:t>
            </w: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Má návrh špecifické negatívne dôsledky pre isté skupiny profesií, skupín zamestnancov či živnostníkov?</w:t>
            </w:r>
          </w:p>
        </w:tc>
      </w:tr>
      <w:tr w:rsidR="00660FED" w:rsidRPr="00CD4982" w:rsidTr="0058197F">
        <w:trPr>
          <w:trHeight w:val="39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  <w:p w:rsidR="00660FED" w:rsidRPr="00CD4982" w:rsidRDefault="00660FED" w:rsidP="0058197F">
            <w:pPr>
              <w:rPr>
                <w:rFonts w:eastAsia="Calibri"/>
                <w:i/>
              </w:rPr>
            </w:pPr>
          </w:p>
        </w:tc>
      </w:tr>
      <w:tr w:rsidR="00660FED" w:rsidRPr="00CD4982" w:rsidTr="0058197F">
        <w:trPr>
          <w:trHeight w:val="12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60FED" w:rsidRPr="00CD4982" w:rsidRDefault="00660FED" w:rsidP="0058197F">
            <w:pPr>
              <w:rPr>
                <w:rFonts w:eastAsia="Calibri"/>
                <w:i/>
                <w:szCs w:val="24"/>
              </w:rPr>
            </w:pPr>
            <w:r w:rsidRPr="00CD4982">
              <w:rPr>
                <w:rFonts w:eastAsia="Calibri"/>
                <w:i/>
                <w:szCs w:val="24"/>
              </w:rPr>
              <w:t>Ovplyvňuje návrh špecifické vekové skupiny zamestnancov?</w:t>
            </w:r>
          </w:p>
        </w:tc>
      </w:tr>
      <w:tr w:rsidR="00660FED" w:rsidRPr="00CD4982" w:rsidTr="0058197F">
        <w:trPr>
          <w:trHeight w:val="47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0FED" w:rsidRPr="00CD4982" w:rsidRDefault="00660FED" w:rsidP="0058197F">
            <w:pPr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i/>
                <w:lang w:val="en-US"/>
              </w:rPr>
              <w:t>X</w:t>
            </w:r>
          </w:p>
        </w:tc>
      </w:tr>
    </w:tbl>
    <w:p w:rsidR="00660FED" w:rsidRPr="00FA459D" w:rsidRDefault="00660FED" w:rsidP="00660FED">
      <w:pPr>
        <w:outlineLvl w:val="0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0FED" w:rsidRPr="002E32C0" w:rsidTr="0058197F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660FED" w:rsidRPr="002E32C0" w:rsidRDefault="00660FED" w:rsidP="0058197F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660FED" w:rsidRPr="002E32C0" w:rsidTr="0058197F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660FED" w:rsidRPr="002E32C0" w:rsidRDefault="00660FED" w:rsidP="0058197F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660FED" w:rsidRPr="002E32C0" w:rsidTr="0058197F">
        <w:trPr>
          <w:trHeight w:val="995"/>
        </w:trPr>
        <w:tc>
          <w:tcPr>
            <w:tcW w:w="9212" w:type="dxa"/>
          </w:tcPr>
          <w:p w:rsidR="00660FED" w:rsidRPr="002E32C0" w:rsidRDefault="00660FED" w:rsidP="0058197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</w:t>
            </w:r>
            <w:r w:rsidRPr="00666B91">
              <w:rPr>
                <w:i/>
                <w:sz w:val="24"/>
                <w:szCs w:val="24"/>
              </w:rPr>
              <w:t xml:space="preserve">vrh bude mať </w:t>
            </w:r>
            <w:r>
              <w:rPr>
                <w:i/>
                <w:sz w:val="24"/>
                <w:szCs w:val="24"/>
              </w:rPr>
              <w:t>dlhodobý pozitívny vplyv na zložky</w:t>
            </w:r>
            <w:r w:rsidRPr="00666B91">
              <w:rPr>
                <w:i/>
                <w:sz w:val="24"/>
                <w:szCs w:val="24"/>
              </w:rPr>
              <w:t xml:space="preserve"> životného prostredia,</w:t>
            </w:r>
            <w:r>
              <w:rPr>
                <w:i/>
                <w:sz w:val="24"/>
                <w:szCs w:val="24"/>
              </w:rPr>
              <w:t xml:space="preserve"> najmä pôdu,</w:t>
            </w:r>
            <w:r w:rsidRPr="00666B91">
              <w:rPr>
                <w:i/>
                <w:sz w:val="24"/>
                <w:szCs w:val="24"/>
              </w:rPr>
              <w:t xml:space="preserve"> druhy a biotopy uvedené v § 1 návrhu nariadenia, ktorým sa vyhlasuje prírodná rezervácia Borsukov vrch.</w:t>
            </w:r>
          </w:p>
        </w:tc>
      </w:tr>
      <w:tr w:rsidR="00660FED" w:rsidRPr="002E32C0" w:rsidTr="0058197F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660FED" w:rsidRPr="002E32C0" w:rsidRDefault="00660FED" w:rsidP="0058197F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660FED" w:rsidRPr="002E32C0" w:rsidTr="0058197F">
        <w:trPr>
          <w:trHeight w:val="987"/>
        </w:trPr>
        <w:tc>
          <w:tcPr>
            <w:tcW w:w="9212" w:type="dxa"/>
          </w:tcPr>
          <w:p w:rsidR="00660FED" w:rsidRPr="002E32C0" w:rsidRDefault="00660FED" w:rsidP="0058197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</w:t>
            </w:r>
            <w:r w:rsidRPr="00666B91">
              <w:rPr>
                <w:i/>
                <w:sz w:val="24"/>
                <w:szCs w:val="24"/>
              </w:rPr>
              <w:t xml:space="preserve">vrh </w:t>
            </w:r>
            <w:r>
              <w:rPr>
                <w:i/>
                <w:sz w:val="24"/>
                <w:szCs w:val="24"/>
              </w:rPr>
              <w:t xml:space="preserve">na vyhlásenie </w:t>
            </w:r>
            <w:r w:rsidRPr="00666B91">
              <w:rPr>
                <w:i/>
                <w:sz w:val="24"/>
                <w:szCs w:val="24"/>
              </w:rPr>
              <w:t>prírodnej rezervácie bude mať pozitívny vplyv</w:t>
            </w:r>
            <w:r>
              <w:rPr>
                <w:i/>
                <w:sz w:val="24"/>
                <w:szCs w:val="24"/>
              </w:rPr>
              <w:t xml:space="preserve"> na chránené územie.</w:t>
            </w:r>
            <w:r w:rsidRPr="00666B9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V Národnom parku </w:t>
            </w:r>
            <w:proofErr w:type="spellStart"/>
            <w:r>
              <w:rPr>
                <w:i/>
                <w:sz w:val="24"/>
                <w:szCs w:val="24"/>
              </w:rPr>
              <w:t>Poloniny</w:t>
            </w:r>
            <w:proofErr w:type="spellEnd"/>
            <w:r>
              <w:rPr>
                <w:i/>
                <w:sz w:val="24"/>
                <w:szCs w:val="24"/>
              </w:rPr>
              <w:t xml:space="preserve"> c</w:t>
            </w:r>
            <w:r w:rsidRPr="00666B91">
              <w:rPr>
                <w:i/>
                <w:sz w:val="24"/>
                <w:szCs w:val="24"/>
              </w:rPr>
              <w:t xml:space="preserve">hráni </w:t>
            </w:r>
            <w:r>
              <w:rPr>
                <w:i/>
                <w:sz w:val="24"/>
                <w:szCs w:val="24"/>
              </w:rPr>
              <w:t>lokalitu</w:t>
            </w:r>
            <w:r w:rsidRPr="000B25C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jedinečnej svetovej hodnoty pred ľudskou činnosťou.</w:t>
            </w:r>
          </w:p>
        </w:tc>
      </w:tr>
      <w:tr w:rsidR="00660FED" w:rsidRPr="002E32C0" w:rsidTr="0058197F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660FED" w:rsidRPr="002E32C0" w:rsidRDefault="00660FED" w:rsidP="0058197F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660FED" w:rsidRPr="002E32C0" w:rsidTr="0058197F">
        <w:trPr>
          <w:trHeight w:val="969"/>
        </w:trPr>
        <w:tc>
          <w:tcPr>
            <w:tcW w:w="9212" w:type="dxa"/>
          </w:tcPr>
          <w:p w:rsidR="00660FED" w:rsidRDefault="00660FED" w:rsidP="0058197F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660FED" w:rsidRPr="00633E81" w:rsidRDefault="00660FED" w:rsidP="0058197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</w:t>
            </w:r>
            <w:r w:rsidRPr="00633E81">
              <w:rPr>
                <w:i/>
                <w:sz w:val="24"/>
                <w:szCs w:val="24"/>
              </w:rPr>
              <w:t>vrh môže</w:t>
            </w:r>
            <w:r>
              <w:rPr>
                <w:i/>
                <w:sz w:val="24"/>
                <w:szCs w:val="24"/>
              </w:rPr>
              <w:t xml:space="preserve"> mať</w:t>
            </w:r>
            <w:r w:rsidRPr="00633E8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nepatrný </w:t>
            </w:r>
            <w:r w:rsidRPr="00633E81">
              <w:rPr>
                <w:i/>
                <w:sz w:val="24"/>
                <w:szCs w:val="24"/>
              </w:rPr>
              <w:t>pozitívny vplyv na životné prostredie presahujúce štátne hranice</w:t>
            </w:r>
            <w:r>
              <w:rPr>
                <w:i/>
                <w:sz w:val="24"/>
                <w:szCs w:val="24"/>
              </w:rPr>
              <w:t>.</w:t>
            </w:r>
            <w:r w:rsidRPr="00633E8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V</w:t>
            </w:r>
            <w:r w:rsidRPr="00633E81">
              <w:rPr>
                <w:i/>
                <w:sz w:val="24"/>
                <w:szCs w:val="24"/>
              </w:rPr>
              <w:t xml:space="preserve"> dôsledku </w:t>
            </w:r>
            <w:r>
              <w:rPr>
                <w:i/>
                <w:sz w:val="24"/>
                <w:szCs w:val="24"/>
              </w:rPr>
              <w:t>blízkosti</w:t>
            </w:r>
            <w:r w:rsidRPr="00633E81">
              <w:rPr>
                <w:i/>
                <w:sz w:val="24"/>
                <w:szCs w:val="24"/>
              </w:rPr>
              <w:t xml:space="preserve"> slovensko-poľskej štátnej hranice  </w:t>
            </w:r>
            <w:r>
              <w:rPr>
                <w:i/>
                <w:sz w:val="24"/>
                <w:szCs w:val="24"/>
              </w:rPr>
              <w:t>môže zlepšovať stav ochrany rastlín a živočíchov</w:t>
            </w:r>
            <w:r w:rsidRPr="00633E81">
              <w:rPr>
                <w:i/>
                <w:sz w:val="24"/>
                <w:szCs w:val="24"/>
              </w:rPr>
              <w:t>.</w:t>
            </w:r>
          </w:p>
        </w:tc>
      </w:tr>
      <w:tr w:rsidR="00660FED" w:rsidRPr="002E32C0" w:rsidTr="0058197F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660FED" w:rsidRPr="002E32C0" w:rsidRDefault="00660FED" w:rsidP="0058197F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660FED" w:rsidRPr="002E32C0" w:rsidTr="0058197F">
        <w:trPr>
          <w:trHeight w:val="979"/>
        </w:trPr>
        <w:tc>
          <w:tcPr>
            <w:tcW w:w="9212" w:type="dxa"/>
            <w:shd w:val="clear" w:color="auto" w:fill="FFFFFF"/>
          </w:tcPr>
          <w:p w:rsidR="00660FED" w:rsidRPr="000B25C3" w:rsidRDefault="00660FED" w:rsidP="0058197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Návrh nemá negatívny vplyv na životné prostredie.</w:t>
            </w:r>
          </w:p>
        </w:tc>
      </w:tr>
    </w:tbl>
    <w:p w:rsidR="00660FED" w:rsidRPr="002E32C0" w:rsidRDefault="00660FED" w:rsidP="00660FED">
      <w:pPr>
        <w:jc w:val="center"/>
        <w:rPr>
          <w:b/>
          <w:bCs/>
          <w:sz w:val="28"/>
          <w:szCs w:val="28"/>
        </w:rPr>
      </w:pPr>
    </w:p>
    <w:p w:rsidR="00660FED" w:rsidRPr="00977BC3" w:rsidRDefault="00660FED" w:rsidP="00660FED">
      <w:pPr>
        <w:rPr>
          <w:sz w:val="24"/>
          <w:szCs w:val="24"/>
        </w:rPr>
      </w:pPr>
    </w:p>
    <w:p w:rsidR="00660FED" w:rsidRDefault="00660FED"/>
    <w:sectPr w:rsidR="00660FE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D6" w:rsidRDefault="000841D6" w:rsidP="008352DB">
      <w:r>
        <w:separator/>
      </w:r>
    </w:p>
  </w:endnote>
  <w:endnote w:type="continuationSeparator" w:id="0">
    <w:p w:rsidR="000841D6" w:rsidRDefault="000841D6" w:rsidP="008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B" w:rsidRDefault="008352D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352DB" w:rsidRDefault="008352D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B" w:rsidRDefault="008352D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B" w:rsidRDefault="008352D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352DB" w:rsidRDefault="00835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D6" w:rsidRDefault="000841D6" w:rsidP="008352DB">
      <w:r>
        <w:separator/>
      </w:r>
    </w:p>
  </w:footnote>
  <w:footnote w:type="continuationSeparator" w:id="0">
    <w:p w:rsidR="000841D6" w:rsidRDefault="000841D6" w:rsidP="0083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B" w:rsidRDefault="008352DB" w:rsidP="008352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352DB" w:rsidRPr="00EB59C8" w:rsidRDefault="008352DB" w:rsidP="008352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DB" w:rsidRPr="000A15AE" w:rsidRDefault="008352DB" w:rsidP="008352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86"/>
    <w:rsid w:val="000841D6"/>
    <w:rsid w:val="003C2986"/>
    <w:rsid w:val="004D289F"/>
    <w:rsid w:val="00605027"/>
    <w:rsid w:val="00660FED"/>
    <w:rsid w:val="007B0328"/>
    <w:rsid w:val="008352DB"/>
    <w:rsid w:val="008C73FA"/>
    <w:rsid w:val="00B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5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2D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52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52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52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52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352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5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2D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52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52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52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52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352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8710-BA46-4BA1-A11A-C6DAB24183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F88F2D-6D8C-4839-AAAB-97AE70F3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C404E-0278-4F57-9749-63C8D90D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BEF597-336C-48C4-8A4F-121B43BD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Beláňová Sylvia</cp:lastModifiedBy>
  <cp:revision>2</cp:revision>
  <dcterms:created xsi:type="dcterms:W3CDTF">2015-11-25T11:48:00Z</dcterms:created>
  <dcterms:modified xsi:type="dcterms:W3CDTF">2015-11-25T11:48:00Z</dcterms:modified>
</cp:coreProperties>
</file>