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0F" w:rsidRDefault="00D75A0F" w:rsidP="00D75A0F">
      <w:pPr>
        <w:shd w:val="clear" w:color="auto" w:fill="auto"/>
        <w:spacing w:after="120" w:line="240" w:lineRule="auto"/>
        <w:ind w:left="360"/>
        <w:rPr>
          <w:rFonts w:cs="Cambria"/>
          <w:smallCaps/>
          <w:color w:val="17365D"/>
          <w:spacing w:val="5"/>
          <w:sz w:val="52"/>
          <w:szCs w:val="72"/>
          <w:lang w:bidi="ar-SA"/>
        </w:rPr>
      </w:pPr>
    </w:p>
    <w:p w:rsidR="00BE33BB" w:rsidRDefault="00BE33BB" w:rsidP="00D75A0F">
      <w:pPr>
        <w:shd w:val="clear" w:color="auto" w:fill="auto"/>
        <w:spacing w:after="120" w:line="240" w:lineRule="auto"/>
        <w:ind w:left="360"/>
        <w:rPr>
          <w:rFonts w:cs="Cambria"/>
          <w:smallCaps/>
          <w:color w:val="17365D"/>
          <w:spacing w:val="5"/>
          <w:sz w:val="52"/>
          <w:szCs w:val="72"/>
          <w:lang w:bidi="ar-SA"/>
        </w:rPr>
      </w:pPr>
    </w:p>
    <w:p w:rsidR="00BE33BB" w:rsidRDefault="00BE33BB" w:rsidP="00D75A0F">
      <w:pPr>
        <w:shd w:val="clear" w:color="auto" w:fill="auto"/>
        <w:spacing w:after="120" w:line="240" w:lineRule="auto"/>
        <w:ind w:left="360"/>
        <w:rPr>
          <w:rFonts w:cs="Cambria"/>
          <w:smallCaps/>
          <w:color w:val="17365D"/>
          <w:spacing w:val="5"/>
          <w:sz w:val="52"/>
          <w:szCs w:val="72"/>
          <w:lang w:bidi="ar-SA"/>
        </w:rPr>
      </w:pPr>
    </w:p>
    <w:p w:rsidR="00BE33BB" w:rsidRDefault="00BE33BB" w:rsidP="00D75A0F">
      <w:pPr>
        <w:shd w:val="clear" w:color="auto" w:fill="auto"/>
        <w:spacing w:after="120" w:line="240" w:lineRule="auto"/>
        <w:ind w:left="360"/>
        <w:rPr>
          <w:rFonts w:cs="Cambria"/>
          <w:smallCaps/>
          <w:color w:val="17365D"/>
          <w:spacing w:val="5"/>
          <w:sz w:val="52"/>
          <w:szCs w:val="72"/>
          <w:lang w:bidi="ar-SA"/>
        </w:rPr>
      </w:pPr>
    </w:p>
    <w:p w:rsidR="00BE33BB" w:rsidRDefault="00BE33BB" w:rsidP="00D75A0F">
      <w:pPr>
        <w:shd w:val="clear" w:color="auto" w:fill="auto"/>
        <w:spacing w:after="120" w:line="240" w:lineRule="auto"/>
        <w:ind w:left="360"/>
        <w:rPr>
          <w:rFonts w:cs="Cambria"/>
          <w:smallCaps/>
          <w:color w:val="17365D"/>
          <w:spacing w:val="5"/>
          <w:sz w:val="52"/>
          <w:szCs w:val="72"/>
          <w:lang w:bidi="ar-SA"/>
        </w:rPr>
      </w:pPr>
    </w:p>
    <w:p w:rsidR="00D75A0F" w:rsidRDefault="00D75A0F" w:rsidP="00D75A0F">
      <w:pPr>
        <w:shd w:val="clear" w:color="auto" w:fill="auto"/>
        <w:spacing w:after="120" w:line="240" w:lineRule="auto"/>
        <w:ind w:left="360"/>
        <w:rPr>
          <w:rFonts w:cs="Cambria"/>
          <w:smallCaps/>
          <w:color w:val="17365D"/>
          <w:spacing w:val="5"/>
          <w:sz w:val="52"/>
          <w:szCs w:val="72"/>
          <w:lang w:bidi="ar-SA"/>
        </w:rPr>
      </w:pPr>
    </w:p>
    <w:p w:rsidR="00D75A0F" w:rsidRPr="00D75A0F" w:rsidRDefault="00D75A0F" w:rsidP="00D75A0F">
      <w:pPr>
        <w:shd w:val="clear" w:color="auto" w:fill="auto"/>
        <w:spacing w:after="120" w:line="240" w:lineRule="auto"/>
        <w:ind w:left="360"/>
        <w:rPr>
          <w:rFonts w:cs="Cambria"/>
          <w:smallCaps/>
          <w:color w:val="17365D"/>
          <w:spacing w:val="5"/>
          <w:sz w:val="52"/>
          <w:szCs w:val="72"/>
          <w:lang w:bidi="ar-SA"/>
        </w:rPr>
      </w:pPr>
    </w:p>
    <w:p w:rsidR="0064300A" w:rsidRDefault="00D75A0F" w:rsidP="00D75A0F">
      <w:pPr>
        <w:pBdr>
          <w:bottom w:val="single" w:sz="4" w:space="1" w:color="auto"/>
        </w:pBdr>
        <w:shd w:val="clear" w:color="auto" w:fill="auto"/>
        <w:spacing w:after="120" w:line="240" w:lineRule="auto"/>
        <w:ind w:left="360"/>
        <w:jc w:val="center"/>
        <w:rPr>
          <w:rFonts w:cs="Cambria"/>
          <w:smallCaps/>
          <w:color w:val="17365D"/>
          <w:spacing w:val="5"/>
          <w:sz w:val="52"/>
          <w:szCs w:val="72"/>
          <w:lang w:bidi="ar-SA"/>
        </w:rPr>
      </w:pPr>
      <w:r w:rsidRPr="00D75A0F">
        <w:rPr>
          <w:rFonts w:cs="Cambria"/>
          <w:smallCaps/>
          <w:color w:val="17365D"/>
          <w:spacing w:val="5"/>
          <w:sz w:val="52"/>
          <w:szCs w:val="72"/>
          <w:lang w:bidi="ar-SA"/>
        </w:rPr>
        <w:t xml:space="preserve">Súhrnná správa </w:t>
      </w:r>
    </w:p>
    <w:p w:rsidR="00D75A0F" w:rsidRPr="00D75A0F" w:rsidRDefault="00D75A0F" w:rsidP="00D75A0F">
      <w:pPr>
        <w:pBdr>
          <w:bottom w:val="single" w:sz="4" w:space="1" w:color="auto"/>
        </w:pBdr>
        <w:shd w:val="clear" w:color="auto" w:fill="auto"/>
        <w:spacing w:after="120" w:line="240" w:lineRule="auto"/>
        <w:ind w:left="360"/>
        <w:jc w:val="center"/>
        <w:rPr>
          <w:rFonts w:cs="Cambria"/>
          <w:smallCaps/>
          <w:color w:val="17365D"/>
          <w:spacing w:val="5"/>
          <w:sz w:val="52"/>
          <w:szCs w:val="72"/>
          <w:lang w:bidi="ar-SA"/>
        </w:rPr>
      </w:pPr>
      <w:r w:rsidRPr="00D75A0F">
        <w:rPr>
          <w:rFonts w:cs="Cambria"/>
          <w:smallCaps/>
          <w:color w:val="17365D"/>
          <w:spacing w:val="5"/>
          <w:sz w:val="52"/>
          <w:szCs w:val="72"/>
          <w:lang w:bidi="ar-SA"/>
        </w:rPr>
        <w:t>o stave rodovej rovnosti na Slovensku za rok 2015</w:t>
      </w:r>
    </w:p>
    <w:p w:rsidR="00D75A0F" w:rsidRPr="00D75A0F" w:rsidRDefault="00D75A0F" w:rsidP="00D75A0F">
      <w:pPr>
        <w:shd w:val="clear" w:color="auto" w:fill="auto"/>
        <w:spacing w:after="120" w:line="240" w:lineRule="auto"/>
        <w:ind w:left="360"/>
        <w:jc w:val="center"/>
        <w:rPr>
          <w:rFonts w:cs="Cambria"/>
          <w:smallCaps/>
          <w:color w:val="17365D"/>
          <w:spacing w:val="5"/>
          <w:sz w:val="52"/>
          <w:szCs w:val="72"/>
          <w:lang w:bidi="ar-SA"/>
        </w:rPr>
      </w:pPr>
    </w:p>
    <w:p w:rsidR="00D75A0F" w:rsidRPr="0064300A" w:rsidRDefault="00D75A0F" w:rsidP="0064300A">
      <w:pPr>
        <w:pStyle w:val="Nzov"/>
        <w:pBdr>
          <w:bottom w:val="none" w:sz="0" w:space="0" w:color="auto"/>
        </w:pBdr>
        <w:jc w:val="center"/>
        <w:rPr>
          <w:b/>
          <w:smallCaps/>
          <w:lang w:eastAsia="sk-SK" w:bidi="ar-SA"/>
        </w:rPr>
      </w:pPr>
      <w:r w:rsidRPr="0064300A">
        <w:rPr>
          <w:b/>
          <w:smallCaps/>
          <w:lang w:eastAsia="sk-SK" w:bidi="ar-SA"/>
        </w:rPr>
        <w:t>Rodový mzdový rozdiel</w:t>
      </w:r>
    </w:p>
    <w:p w:rsidR="00D75A0F" w:rsidRPr="00D75A0F" w:rsidRDefault="00D75A0F" w:rsidP="00D75A0F">
      <w:pPr>
        <w:shd w:val="clear" w:color="auto" w:fill="auto"/>
        <w:spacing w:line="240" w:lineRule="auto"/>
        <w:rPr>
          <w:color w:val="000000"/>
          <w:lang w:eastAsia="sk-SK" w:bidi="ar-SA"/>
        </w:rPr>
      </w:pPr>
    </w:p>
    <w:p w:rsidR="00D75A0F" w:rsidRPr="00D75A0F" w:rsidRDefault="00D75A0F" w:rsidP="00D75A0F">
      <w:pPr>
        <w:shd w:val="clear" w:color="auto" w:fill="auto"/>
        <w:spacing w:line="240" w:lineRule="auto"/>
        <w:rPr>
          <w:color w:val="000000"/>
          <w:lang w:eastAsia="sk-SK" w:bidi="ar-SA"/>
        </w:rPr>
      </w:pPr>
    </w:p>
    <w:p w:rsidR="00D75A0F" w:rsidRPr="00D75A0F" w:rsidRDefault="00D75A0F" w:rsidP="00D75A0F">
      <w:pPr>
        <w:shd w:val="clear" w:color="auto" w:fill="auto"/>
        <w:spacing w:line="240" w:lineRule="auto"/>
        <w:rPr>
          <w:color w:val="000000"/>
          <w:lang w:eastAsia="sk-SK" w:bidi="ar-SA"/>
        </w:rPr>
      </w:pPr>
    </w:p>
    <w:p w:rsidR="00D75A0F" w:rsidRPr="00D75A0F" w:rsidRDefault="00D75A0F" w:rsidP="00D75A0F">
      <w:pPr>
        <w:shd w:val="clear" w:color="auto" w:fill="auto"/>
        <w:spacing w:line="240" w:lineRule="auto"/>
        <w:rPr>
          <w:color w:val="000000"/>
          <w:lang w:eastAsia="sk-SK" w:bidi="ar-SA"/>
        </w:rPr>
      </w:pPr>
    </w:p>
    <w:p w:rsidR="00D75A0F" w:rsidRPr="00D75A0F" w:rsidRDefault="00D75A0F" w:rsidP="00D75A0F">
      <w:pPr>
        <w:shd w:val="clear" w:color="auto" w:fill="auto"/>
        <w:spacing w:line="240" w:lineRule="auto"/>
        <w:rPr>
          <w:color w:val="000000"/>
          <w:lang w:eastAsia="sk-SK" w:bidi="ar-SA"/>
        </w:rPr>
      </w:pPr>
    </w:p>
    <w:p w:rsidR="00D75A0F" w:rsidRPr="00D75A0F" w:rsidRDefault="00D75A0F" w:rsidP="00D75A0F">
      <w:pPr>
        <w:shd w:val="clear" w:color="auto" w:fill="auto"/>
        <w:spacing w:line="240" w:lineRule="auto"/>
        <w:rPr>
          <w:color w:val="000000"/>
          <w:lang w:eastAsia="sk-SK" w:bidi="ar-SA"/>
        </w:rPr>
      </w:pPr>
    </w:p>
    <w:p w:rsidR="00D75A0F" w:rsidRPr="00D75A0F" w:rsidRDefault="00D75A0F" w:rsidP="00D75A0F">
      <w:pPr>
        <w:shd w:val="clear" w:color="auto" w:fill="auto"/>
        <w:spacing w:line="240" w:lineRule="auto"/>
        <w:rPr>
          <w:color w:val="000000"/>
          <w:lang w:eastAsia="sk-SK" w:bidi="ar-SA"/>
        </w:rPr>
      </w:pPr>
    </w:p>
    <w:p w:rsidR="00D75A0F" w:rsidRPr="00D75A0F" w:rsidRDefault="00D75A0F" w:rsidP="00D75A0F">
      <w:pPr>
        <w:shd w:val="clear" w:color="auto" w:fill="auto"/>
        <w:spacing w:line="240" w:lineRule="auto"/>
        <w:rPr>
          <w:color w:val="000000"/>
          <w:sz w:val="28"/>
          <w:lang w:eastAsia="sk-SK" w:bidi="ar-SA"/>
        </w:rPr>
      </w:pPr>
      <w:r w:rsidRPr="00D75A0F">
        <w:rPr>
          <w:color w:val="000000"/>
          <w:sz w:val="28"/>
          <w:lang w:eastAsia="sk-SK" w:bidi="ar-SA"/>
        </w:rPr>
        <w:t>Predkladá: Ministerstvo práce, sociálnych vecí a rodiny SR</w:t>
      </w:r>
    </w:p>
    <w:p w:rsidR="002D0FBE" w:rsidRDefault="00D75A0F" w:rsidP="00B67898">
      <w:pPr>
        <w:shd w:val="clear" w:color="auto" w:fill="auto"/>
        <w:spacing w:line="240" w:lineRule="auto"/>
        <w:rPr>
          <w:rFonts w:cs="Cambria"/>
          <w:bCs/>
          <w:caps/>
          <w:smallCaps/>
          <w:color w:val="17365D"/>
          <w:spacing w:val="5"/>
          <w:kern w:val="32"/>
          <w:sz w:val="52"/>
          <w:szCs w:val="72"/>
          <w:lang w:eastAsia="sk-SK" w:bidi="ar-SA"/>
        </w:rPr>
      </w:pPr>
      <w:r w:rsidRPr="00D75A0F">
        <w:rPr>
          <w:color w:val="000000"/>
          <w:sz w:val="28"/>
          <w:lang w:eastAsia="sk-SK" w:bidi="ar-SA"/>
        </w:rPr>
        <w:t>Jún 2016</w:t>
      </w:r>
    </w:p>
    <w:sdt>
      <w:sdtPr>
        <w:rPr>
          <w:rFonts w:ascii="Cambria" w:eastAsia="Times New Roman" w:hAnsi="Cambria" w:cs="Times New Roman"/>
          <w:b w:val="0"/>
          <w:bCs w:val="0"/>
          <w:color w:val="auto"/>
          <w:sz w:val="24"/>
          <w:szCs w:val="22"/>
          <w:lang w:eastAsia="en-US" w:bidi="en-US"/>
        </w:rPr>
        <w:id w:val="-1189669180"/>
        <w:docPartObj>
          <w:docPartGallery w:val="Table of Contents"/>
          <w:docPartUnique/>
        </w:docPartObj>
      </w:sdtPr>
      <w:sdtContent>
        <w:p w:rsidR="002D0FBE" w:rsidRDefault="002D0FBE">
          <w:pPr>
            <w:pStyle w:val="Hlavikaobsahu"/>
          </w:pPr>
          <w:r>
            <w:t>Obsah</w:t>
          </w:r>
        </w:p>
        <w:p w:rsidR="00B35E7D" w:rsidRPr="00B35E7D" w:rsidRDefault="00B35E7D" w:rsidP="00B35E7D">
          <w:pPr>
            <w:rPr>
              <w:lang w:eastAsia="sk-SK" w:bidi="ar-SA"/>
            </w:rPr>
          </w:pPr>
        </w:p>
        <w:p w:rsidR="002D0FBE" w:rsidRDefault="002D0FBE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1508600" w:history="1">
            <w:r w:rsidRPr="00AE7E57">
              <w:rPr>
                <w:rStyle w:val="Hypertextovprepojenie"/>
                <w:rFonts w:cs="Cambria"/>
                <w:noProof/>
                <w:spacing w:val="5"/>
              </w:rPr>
              <w:t>I.</w:t>
            </w:r>
            <w:r>
              <w:rPr>
                <w:noProof/>
              </w:rPr>
              <w:tab/>
            </w:r>
            <w:r w:rsidRPr="00AE7E57">
              <w:rPr>
                <w:rStyle w:val="Hypertextovprepojenie"/>
                <w:noProof/>
              </w:rPr>
              <w:t>Pokrok v uplatňovaní rodovej rovnosti v roku 2015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_Toc451508600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53C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FBE" w:rsidRDefault="00D554C0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451508601" w:history="1">
            <w:r w:rsidR="002D0FBE" w:rsidRPr="00AE7E57">
              <w:rPr>
                <w:rStyle w:val="Hypertextovprepojenie"/>
                <w:noProof/>
              </w:rPr>
              <w:t>Vývoj v oblasti rodovej rovnosti za rok 2015</w:t>
            </w:r>
            <w:r w:rsidR="002D0FBE">
              <w:rPr>
                <w:noProof/>
                <w:webHidden/>
              </w:rPr>
              <w:tab/>
            </w:r>
            <w:r w:rsidR="002D0FBE">
              <w:rPr>
                <w:noProof/>
                <w:webHidden/>
              </w:rPr>
              <w:fldChar w:fldCharType="begin"/>
            </w:r>
            <w:r w:rsidR="002D0FBE">
              <w:rPr>
                <w:noProof/>
                <w:webHidden/>
              </w:rPr>
              <w:instrText xml:space="preserve"> PAGEREF _Toc451508601 \h </w:instrText>
            </w:r>
            <w:r w:rsidR="002D0FBE">
              <w:rPr>
                <w:noProof/>
                <w:webHidden/>
              </w:rPr>
            </w:r>
            <w:r w:rsidR="002D0FBE">
              <w:rPr>
                <w:noProof/>
                <w:webHidden/>
              </w:rPr>
              <w:fldChar w:fldCharType="separate"/>
            </w:r>
            <w:r w:rsidR="004E53CF">
              <w:rPr>
                <w:noProof/>
                <w:webHidden/>
              </w:rPr>
              <w:t>3</w:t>
            </w:r>
            <w:r w:rsidR="002D0FBE">
              <w:rPr>
                <w:noProof/>
                <w:webHidden/>
              </w:rPr>
              <w:fldChar w:fldCharType="end"/>
            </w:r>
          </w:hyperlink>
        </w:p>
        <w:p w:rsidR="002D0FBE" w:rsidRDefault="00D554C0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451508602" w:history="1">
            <w:r w:rsidR="002D0FBE" w:rsidRPr="00AE7E57">
              <w:rPr>
                <w:rStyle w:val="Hypertextovprepojenie"/>
                <w:noProof/>
                <w:lang w:eastAsia="sk-SK"/>
              </w:rPr>
              <w:t>Projekty v roku 2015</w:t>
            </w:r>
            <w:r w:rsidR="002D0FBE">
              <w:rPr>
                <w:noProof/>
                <w:webHidden/>
              </w:rPr>
              <w:tab/>
            </w:r>
            <w:r w:rsidR="002D0FBE">
              <w:rPr>
                <w:noProof/>
                <w:webHidden/>
              </w:rPr>
              <w:fldChar w:fldCharType="begin"/>
            </w:r>
            <w:r w:rsidR="002D0FBE">
              <w:rPr>
                <w:noProof/>
                <w:webHidden/>
              </w:rPr>
              <w:instrText xml:space="preserve"> PAGEREF _Toc451508602 \h </w:instrText>
            </w:r>
            <w:r w:rsidR="002D0FBE">
              <w:rPr>
                <w:noProof/>
                <w:webHidden/>
              </w:rPr>
            </w:r>
            <w:r w:rsidR="002D0FBE">
              <w:rPr>
                <w:noProof/>
                <w:webHidden/>
              </w:rPr>
              <w:fldChar w:fldCharType="separate"/>
            </w:r>
            <w:r w:rsidR="004E53CF">
              <w:rPr>
                <w:noProof/>
                <w:webHidden/>
              </w:rPr>
              <w:t>6</w:t>
            </w:r>
            <w:r w:rsidR="002D0FBE">
              <w:rPr>
                <w:noProof/>
                <w:webHidden/>
              </w:rPr>
              <w:fldChar w:fldCharType="end"/>
            </w:r>
          </w:hyperlink>
        </w:p>
        <w:p w:rsidR="002D0FBE" w:rsidRDefault="00D554C0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451508603" w:history="1">
            <w:r w:rsidR="002D0FBE">
              <w:rPr>
                <w:rStyle w:val="Hypertextovprepojenie"/>
                <w:noProof/>
                <w:lang w:eastAsia="sk-SK"/>
              </w:rPr>
              <w:t>Ak</w:t>
            </w:r>
            <w:r w:rsidR="002D0FBE" w:rsidRPr="00AE7E57">
              <w:rPr>
                <w:rStyle w:val="Hypertextovprepojenie"/>
                <w:noProof/>
                <w:lang w:eastAsia="sk-SK"/>
              </w:rPr>
              <w:t>tivity a kampane</w:t>
            </w:r>
            <w:r w:rsidR="002D0FBE">
              <w:rPr>
                <w:noProof/>
                <w:webHidden/>
              </w:rPr>
              <w:tab/>
            </w:r>
            <w:r w:rsidR="002D0FBE">
              <w:rPr>
                <w:noProof/>
                <w:webHidden/>
              </w:rPr>
              <w:fldChar w:fldCharType="begin"/>
            </w:r>
            <w:r w:rsidR="002D0FBE">
              <w:rPr>
                <w:noProof/>
                <w:webHidden/>
              </w:rPr>
              <w:instrText xml:space="preserve"> PAGEREF _Toc451508603 \h </w:instrText>
            </w:r>
            <w:r w:rsidR="002D0FBE">
              <w:rPr>
                <w:noProof/>
                <w:webHidden/>
              </w:rPr>
            </w:r>
            <w:r w:rsidR="002D0FBE">
              <w:rPr>
                <w:noProof/>
                <w:webHidden/>
              </w:rPr>
              <w:fldChar w:fldCharType="separate"/>
            </w:r>
            <w:r w:rsidR="004E53CF">
              <w:rPr>
                <w:noProof/>
                <w:webHidden/>
              </w:rPr>
              <w:t>12</w:t>
            </w:r>
            <w:r w:rsidR="002D0FBE">
              <w:rPr>
                <w:noProof/>
                <w:webHidden/>
              </w:rPr>
              <w:fldChar w:fldCharType="end"/>
            </w:r>
          </w:hyperlink>
        </w:p>
        <w:p w:rsidR="002D0FBE" w:rsidRDefault="00D554C0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451508604" w:history="1">
            <w:r w:rsidR="002D0FBE">
              <w:rPr>
                <w:rStyle w:val="Hypertextovprepojenie"/>
                <w:noProof/>
                <w:lang w:eastAsia="sk-SK"/>
              </w:rPr>
              <w:t>P</w:t>
            </w:r>
            <w:r w:rsidR="002D0FBE" w:rsidRPr="00AE7E57">
              <w:rPr>
                <w:rStyle w:val="Hypertextovprepojenie"/>
                <w:noProof/>
                <w:lang w:eastAsia="sk-SK"/>
              </w:rPr>
              <w:t xml:space="preserve">ríprava predsedníctva </w:t>
            </w:r>
            <w:r w:rsidR="002D0FBE">
              <w:rPr>
                <w:rStyle w:val="Hypertextovprepojenie"/>
                <w:noProof/>
                <w:lang w:eastAsia="sk-SK"/>
              </w:rPr>
              <w:t>SR</w:t>
            </w:r>
            <w:r w:rsidR="002D0FBE" w:rsidRPr="00AE7E57">
              <w:rPr>
                <w:rStyle w:val="Hypertextovprepojenie"/>
                <w:noProof/>
                <w:lang w:eastAsia="sk-SK"/>
              </w:rPr>
              <w:t xml:space="preserve"> v </w:t>
            </w:r>
            <w:r w:rsidR="002D0FBE">
              <w:rPr>
                <w:rStyle w:val="Hypertextovprepojenie"/>
                <w:noProof/>
                <w:lang w:eastAsia="sk-SK"/>
              </w:rPr>
              <w:t>R</w:t>
            </w:r>
            <w:r w:rsidR="002D0FBE" w:rsidRPr="00AE7E57">
              <w:rPr>
                <w:rStyle w:val="Hypertextovprepojenie"/>
                <w:noProof/>
                <w:lang w:eastAsia="sk-SK"/>
              </w:rPr>
              <w:t xml:space="preserve">ade </w:t>
            </w:r>
            <w:r w:rsidR="002D0FBE">
              <w:rPr>
                <w:rStyle w:val="Hypertextovprepojenie"/>
                <w:noProof/>
                <w:lang w:eastAsia="sk-SK"/>
              </w:rPr>
              <w:t>EÚ</w:t>
            </w:r>
            <w:r w:rsidR="002D0FBE">
              <w:rPr>
                <w:noProof/>
                <w:webHidden/>
              </w:rPr>
              <w:tab/>
            </w:r>
            <w:r w:rsidR="002D0FBE">
              <w:rPr>
                <w:noProof/>
                <w:webHidden/>
              </w:rPr>
              <w:fldChar w:fldCharType="begin"/>
            </w:r>
            <w:r w:rsidR="002D0FBE">
              <w:rPr>
                <w:noProof/>
                <w:webHidden/>
              </w:rPr>
              <w:instrText xml:space="preserve"> PAGEREF _Toc451508604 \h </w:instrText>
            </w:r>
            <w:r w:rsidR="002D0FBE">
              <w:rPr>
                <w:noProof/>
                <w:webHidden/>
              </w:rPr>
            </w:r>
            <w:r w:rsidR="002D0FBE">
              <w:rPr>
                <w:noProof/>
                <w:webHidden/>
              </w:rPr>
              <w:fldChar w:fldCharType="separate"/>
            </w:r>
            <w:r w:rsidR="004E53CF">
              <w:rPr>
                <w:noProof/>
                <w:webHidden/>
              </w:rPr>
              <w:t>14</w:t>
            </w:r>
            <w:r w:rsidR="002D0FBE">
              <w:rPr>
                <w:noProof/>
                <w:webHidden/>
              </w:rPr>
              <w:fldChar w:fldCharType="end"/>
            </w:r>
          </w:hyperlink>
        </w:p>
        <w:p w:rsidR="002D0FBE" w:rsidRDefault="00D554C0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451508605" w:history="1">
            <w:r w:rsidR="002D0FBE" w:rsidRPr="00AE7E57">
              <w:rPr>
                <w:rStyle w:val="Hypertextovprepojenie"/>
                <w:rFonts w:eastAsia="Calibri"/>
                <w:noProof/>
              </w:rPr>
              <w:t>Publikácie</w:t>
            </w:r>
            <w:r w:rsidR="002D0FBE">
              <w:rPr>
                <w:noProof/>
                <w:webHidden/>
              </w:rPr>
              <w:tab/>
            </w:r>
            <w:r w:rsidR="002D0FBE">
              <w:rPr>
                <w:noProof/>
                <w:webHidden/>
              </w:rPr>
              <w:fldChar w:fldCharType="begin"/>
            </w:r>
            <w:r w:rsidR="002D0FBE">
              <w:rPr>
                <w:noProof/>
                <w:webHidden/>
              </w:rPr>
              <w:instrText xml:space="preserve"> PAGEREF _Toc451508605 \h </w:instrText>
            </w:r>
            <w:r w:rsidR="002D0FBE">
              <w:rPr>
                <w:noProof/>
                <w:webHidden/>
              </w:rPr>
            </w:r>
            <w:r w:rsidR="002D0FBE">
              <w:rPr>
                <w:noProof/>
                <w:webHidden/>
              </w:rPr>
              <w:fldChar w:fldCharType="separate"/>
            </w:r>
            <w:r w:rsidR="004E53CF">
              <w:rPr>
                <w:noProof/>
                <w:webHidden/>
              </w:rPr>
              <w:t>16</w:t>
            </w:r>
            <w:r w:rsidR="002D0FBE">
              <w:rPr>
                <w:noProof/>
                <w:webHidden/>
              </w:rPr>
              <w:fldChar w:fldCharType="end"/>
            </w:r>
          </w:hyperlink>
        </w:p>
        <w:p w:rsidR="002D0FBE" w:rsidRDefault="00D554C0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451508606" w:history="1">
            <w:r w:rsidR="002D0FBE" w:rsidRPr="00AE7E57">
              <w:rPr>
                <w:rStyle w:val="Hypertextovprepojenie"/>
                <w:noProof/>
                <w:lang w:eastAsia="sk-SK"/>
              </w:rPr>
              <w:t>Participatívne mechanizmy a otvorené vládnutie</w:t>
            </w:r>
            <w:r w:rsidR="002D0FBE">
              <w:rPr>
                <w:noProof/>
                <w:webHidden/>
              </w:rPr>
              <w:tab/>
            </w:r>
            <w:r w:rsidR="002D0FBE">
              <w:rPr>
                <w:noProof/>
                <w:webHidden/>
              </w:rPr>
              <w:fldChar w:fldCharType="begin"/>
            </w:r>
            <w:r w:rsidR="002D0FBE">
              <w:rPr>
                <w:noProof/>
                <w:webHidden/>
              </w:rPr>
              <w:instrText xml:space="preserve"> PAGEREF _Toc451508606 \h </w:instrText>
            </w:r>
            <w:r w:rsidR="002D0FBE">
              <w:rPr>
                <w:noProof/>
                <w:webHidden/>
              </w:rPr>
            </w:r>
            <w:r w:rsidR="002D0FBE">
              <w:rPr>
                <w:noProof/>
                <w:webHidden/>
              </w:rPr>
              <w:fldChar w:fldCharType="separate"/>
            </w:r>
            <w:r w:rsidR="004E53CF">
              <w:rPr>
                <w:noProof/>
                <w:webHidden/>
              </w:rPr>
              <w:t>17</w:t>
            </w:r>
            <w:r w:rsidR="002D0FBE">
              <w:rPr>
                <w:noProof/>
                <w:webHidden/>
              </w:rPr>
              <w:fldChar w:fldCharType="end"/>
            </w:r>
          </w:hyperlink>
        </w:p>
        <w:p w:rsidR="002D0FBE" w:rsidRDefault="00D554C0">
          <w:pPr>
            <w:pStyle w:val="Obsah1"/>
            <w:tabs>
              <w:tab w:val="left" w:pos="480"/>
              <w:tab w:val="right" w:leader="dot" w:pos="9062"/>
            </w:tabs>
            <w:rPr>
              <w:noProof/>
            </w:rPr>
          </w:pPr>
          <w:hyperlink w:anchor="_Toc451508607" w:history="1">
            <w:r w:rsidR="002D0FBE" w:rsidRPr="00AE7E57">
              <w:rPr>
                <w:rStyle w:val="Hypertextovprepojenie"/>
                <w:noProof/>
              </w:rPr>
              <w:t>II.</w:t>
            </w:r>
            <w:r w:rsidR="002D0FBE">
              <w:rPr>
                <w:noProof/>
              </w:rPr>
              <w:tab/>
            </w:r>
            <w:r w:rsidR="002D0FBE" w:rsidRPr="00AE7E57">
              <w:rPr>
                <w:rStyle w:val="Hypertextovprepojenie"/>
                <w:noProof/>
              </w:rPr>
              <w:t>RODOVÝ MZDOVÝ ROZDIEL</w:t>
            </w:r>
            <w:r w:rsidR="002D0FBE">
              <w:rPr>
                <w:noProof/>
                <w:webHidden/>
              </w:rPr>
              <w:tab/>
            </w:r>
            <w:r w:rsidR="002D0FBE">
              <w:rPr>
                <w:noProof/>
                <w:webHidden/>
              </w:rPr>
              <w:fldChar w:fldCharType="begin"/>
            </w:r>
            <w:r w:rsidR="002D0FBE">
              <w:rPr>
                <w:noProof/>
                <w:webHidden/>
              </w:rPr>
              <w:instrText xml:space="preserve"> PAGEREF _Toc451508607 \h </w:instrText>
            </w:r>
            <w:r w:rsidR="002D0FBE">
              <w:rPr>
                <w:noProof/>
                <w:webHidden/>
              </w:rPr>
            </w:r>
            <w:r w:rsidR="002D0FBE">
              <w:rPr>
                <w:noProof/>
                <w:webHidden/>
              </w:rPr>
              <w:fldChar w:fldCharType="separate"/>
            </w:r>
            <w:r w:rsidR="004E53CF">
              <w:rPr>
                <w:noProof/>
                <w:webHidden/>
              </w:rPr>
              <w:t>23</w:t>
            </w:r>
            <w:r w:rsidR="002D0FBE">
              <w:rPr>
                <w:noProof/>
                <w:webHidden/>
              </w:rPr>
              <w:fldChar w:fldCharType="end"/>
            </w:r>
          </w:hyperlink>
        </w:p>
        <w:p w:rsidR="002D0FBE" w:rsidRDefault="00D554C0">
          <w:pPr>
            <w:pStyle w:val="Obsah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51508608" w:history="1">
            <w:r w:rsidR="002D0FBE" w:rsidRPr="00AE7E57">
              <w:rPr>
                <w:rStyle w:val="Hypertextovprepojenie"/>
                <w:noProof/>
              </w:rPr>
              <w:t>1.</w:t>
            </w:r>
            <w:r w:rsidR="002D0FBE">
              <w:rPr>
                <w:noProof/>
              </w:rPr>
              <w:tab/>
            </w:r>
            <w:r w:rsidR="002D0FBE" w:rsidRPr="00AE7E57">
              <w:rPr>
                <w:rStyle w:val="Hypertextovprepojenie"/>
                <w:noProof/>
              </w:rPr>
              <w:t>Historický pohľad,</w:t>
            </w:r>
            <w:r w:rsidR="002D0FBE">
              <w:rPr>
                <w:noProof/>
                <w:webHidden/>
              </w:rPr>
              <w:tab/>
            </w:r>
            <w:r w:rsidR="002D0FBE">
              <w:rPr>
                <w:noProof/>
                <w:webHidden/>
              </w:rPr>
              <w:fldChar w:fldCharType="begin"/>
            </w:r>
            <w:r w:rsidR="002D0FBE">
              <w:rPr>
                <w:noProof/>
                <w:webHidden/>
              </w:rPr>
              <w:instrText xml:space="preserve"> PAGEREF _Toc451508608 \h </w:instrText>
            </w:r>
            <w:r w:rsidR="002D0FBE">
              <w:rPr>
                <w:noProof/>
                <w:webHidden/>
              </w:rPr>
            </w:r>
            <w:r w:rsidR="002D0FBE">
              <w:rPr>
                <w:noProof/>
                <w:webHidden/>
              </w:rPr>
              <w:fldChar w:fldCharType="separate"/>
            </w:r>
            <w:r w:rsidR="004E53CF">
              <w:rPr>
                <w:noProof/>
                <w:webHidden/>
              </w:rPr>
              <w:t>23</w:t>
            </w:r>
            <w:r w:rsidR="002D0FBE">
              <w:rPr>
                <w:noProof/>
                <w:webHidden/>
              </w:rPr>
              <w:fldChar w:fldCharType="end"/>
            </w:r>
          </w:hyperlink>
        </w:p>
        <w:p w:rsidR="002D0FBE" w:rsidRDefault="00D554C0">
          <w:pPr>
            <w:pStyle w:val="Obsah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51508609" w:history="1">
            <w:r w:rsidR="002D0FBE" w:rsidRPr="00AE7E57">
              <w:rPr>
                <w:rStyle w:val="Hypertextovprepojenie"/>
                <w:noProof/>
              </w:rPr>
              <w:t>2.</w:t>
            </w:r>
            <w:r w:rsidR="002D0FBE">
              <w:rPr>
                <w:noProof/>
              </w:rPr>
              <w:tab/>
            </w:r>
            <w:r w:rsidR="002D0FBE" w:rsidRPr="00AE7E57">
              <w:rPr>
                <w:rStyle w:val="Hypertextovprepojenie"/>
                <w:noProof/>
              </w:rPr>
              <w:t>Legislatíva o rovnosti v odmeňovaní</w:t>
            </w:r>
            <w:r w:rsidR="002D0FBE">
              <w:rPr>
                <w:noProof/>
                <w:webHidden/>
              </w:rPr>
              <w:tab/>
            </w:r>
            <w:r w:rsidR="002D0FBE">
              <w:rPr>
                <w:noProof/>
                <w:webHidden/>
              </w:rPr>
              <w:fldChar w:fldCharType="begin"/>
            </w:r>
            <w:r w:rsidR="002D0FBE">
              <w:rPr>
                <w:noProof/>
                <w:webHidden/>
              </w:rPr>
              <w:instrText xml:space="preserve"> PAGEREF _Toc451508609 \h </w:instrText>
            </w:r>
            <w:r w:rsidR="002D0FBE">
              <w:rPr>
                <w:noProof/>
                <w:webHidden/>
              </w:rPr>
            </w:r>
            <w:r w:rsidR="002D0FBE">
              <w:rPr>
                <w:noProof/>
                <w:webHidden/>
              </w:rPr>
              <w:fldChar w:fldCharType="separate"/>
            </w:r>
            <w:r w:rsidR="004E53CF">
              <w:rPr>
                <w:noProof/>
                <w:webHidden/>
              </w:rPr>
              <w:t>26</w:t>
            </w:r>
            <w:r w:rsidR="002D0FBE">
              <w:rPr>
                <w:noProof/>
                <w:webHidden/>
              </w:rPr>
              <w:fldChar w:fldCharType="end"/>
            </w:r>
          </w:hyperlink>
        </w:p>
        <w:p w:rsidR="002D0FBE" w:rsidRDefault="00D554C0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451508610" w:history="1">
            <w:r w:rsidR="002D0FBE" w:rsidRPr="00AE7E57">
              <w:rPr>
                <w:rStyle w:val="Hypertextovprepojenie"/>
                <w:noProof/>
              </w:rPr>
              <w:t>Európska únia</w:t>
            </w:r>
            <w:r w:rsidR="002D0FBE">
              <w:rPr>
                <w:noProof/>
                <w:webHidden/>
              </w:rPr>
              <w:tab/>
            </w:r>
            <w:r w:rsidR="002D0FBE">
              <w:rPr>
                <w:noProof/>
                <w:webHidden/>
              </w:rPr>
              <w:fldChar w:fldCharType="begin"/>
            </w:r>
            <w:r w:rsidR="002D0FBE">
              <w:rPr>
                <w:noProof/>
                <w:webHidden/>
              </w:rPr>
              <w:instrText xml:space="preserve"> PAGEREF _Toc451508610 \h </w:instrText>
            </w:r>
            <w:r w:rsidR="002D0FBE">
              <w:rPr>
                <w:noProof/>
                <w:webHidden/>
              </w:rPr>
            </w:r>
            <w:r w:rsidR="002D0FBE">
              <w:rPr>
                <w:noProof/>
                <w:webHidden/>
              </w:rPr>
              <w:fldChar w:fldCharType="separate"/>
            </w:r>
            <w:r w:rsidR="004E53CF">
              <w:rPr>
                <w:noProof/>
                <w:webHidden/>
              </w:rPr>
              <w:t>28</w:t>
            </w:r>
            <w:r w:rsidR="002D0FBE">
              <w:rPr>
                <w:noProof/>
                <w:webHidden/>
              </w:rPr>
              <w:fldChar w:fldCharType="end"/>
            </w:r>
          </w:hyperlink>
        </w:p>
        <w:p w:rsidR="002D0FBE" w:rsidRDefault="00D554C0">
          <w:pPr>
            <w:pStyle w:val="Obsah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51508611" w:history="1">
            <w:r w:rsidR="002D0FBE" w:rsidRPr="00AE7E57">
              <w:rPr>
                <w:rStyle w:val="Hypertextovprepojenie"/>
                <w:noProof/>
              </w:rPr>
              <w:t>3.</w:t>
            </w:r>
            <w:r w:rsidR="002D0FBE">
              <w:rPr>
                <w:noProof/>
              </w:rPr>
              <w:tab/>
            </w:r>
            <w:r w:rsidR="002D0FBE" w:rsidRPr="00AE7E57">
              <w:rPr>
                <w:rStyle w:val="Hypertextovprepojenie"/>
                <w:noProof/>
              </w:rPr>
              <w:t>Rodový mzdový rozdiel v číslach</w:t>
            </w:r>
            <w:r w:rsidR="002D0FBE">
              <w:rPr>
                <w:noProof/>
                <w:webHidden/>
              </w:rPr>
              <w:tab/>
            </w:r>
            <w:r w:rsidR="002D0FBE">
              <w:rPr>
                <w:noProof/>
                <w:webHidden/>
              </w:rPr>
              <w:fldChar w:fldCharType="begin"/>
            </w:r>
            <w:r w:rsidR="002D0FBE">
              <w:rPr>
                <w:noProof/>
                <w:webHidden/>
              </w:rPr>
              <w:instrText xml:space="preserve"> PAGEREF _Toc451508611 \h </w:instrText>
            </w:r>
            <w:r w:rsidR="002D0FBE">
              <w:rPr>
                <w:noProof/>
                <w:webHidden/>
              </w:rPr>
            </w:r>
            <w:r w:rsidR="002D0FBE">
              <w:rPr>
                <w:noProof/>
                <w:webHidden/>
              </w:rPr>
              <w:fldChar w:fldCharType="separate"/>
            </w:r>
            <w:r w:rsidR="004E53CF">
              <w:rPr>
                <w:noProof/>
                <w:webHidden/>
              </w:rPr>
              <w:t>32</w:t>
            </w:r>
            <w:r w:rsidR="002D0FBE">
              <w:rPr>
                <w:noProof/>
                <w:webHidden/>
              </w:rPr>
              <w:fldChar w:fldCharType="end"/>
            </w:r>
          </w:hyperlink>
        </w:p>
        <w:p w:rsidR="002D0FBE" w:rsidRDefault="00D554C0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451508612" w:history="1">
            <w:r w:rsidR="002D0FBE" w:rsidRPr="00AE7E57">
              <w:rPr>
                <w:rStyle w:val="Hypertextovprepojenie"/>
                <w:noProof/>
              </w:rPr>
              <w:t>Situácia na Slovensku v roku 2015</w:t>
            </w:r>
            <w:r w:rsidR="002D0FBE">
              <w:rPr>
                <w:noProof/>
                <w:webHidden/>
              </w:rPr>
              <w:tab/>
            </w:r>
            <w:r w:rsidR="002D0FBE">
              <w:rPr>
                <w:noProof/>
                <w:webHidden/>
              </w:rPr>
              <w:fldChar w:fldCharType="begin"/>
            </w:r>
            <w:r w:rsidR="002D0FBE">
              <w:rPr>
                <w:noProof/>
                <w:webHidden/>
              </w:rPr>
              <w:instrText xml:space="preserve"> PAGEREF _Toc451508612 \h </w:instrText>
            </w:r>
            <w:r w:rsidR="002D0FBE">
              <w:rPr>
                <w:noProof/>
                <w:webHidden/>
              </w:rPr>
            </w:r>
            <w:r w:rsidR="002D0FBE">
              <w:rPr>
                <w:noProof/>
                <w:webHidden/>
              </w:rPr>
              <w:fldChar w:fldCharType="separate"/>
            </w:r>
            <w:r w:rsidR="004E53CF">
              <w:rPr>
                <w:noProof/>
                <w:webHidden/>
              </w:rPr>
              <w:t>32</w:t>
            </w:r>
            <w:r w:rsidR="002D0FBE">
              <w:rPr>
                <w:noProof/>
                <w:webHidden/>
              </w:rPr>
              <w:fldChar w:fldCharType="end"/>
            </w:r>
          </w:hyperlink>
        </w:p>
        <w:p w:rsidR="002D0FBE" w:rsidRDefault="00D554C0">
          <w:pPr>
            <w:pStyle w:val="Obsah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51508613" w:history="1">
            <w:r w:rsidR="002D0FBE" w:rsidRPr="00AE7E57">
              <w:rPr>
                <w:rStyle w:val="Hypertextovprepojenie"/>
                <w:noProof/>
              </w:rPr>
              <w:t>4.</w:t>
            </w:r>
            <w:r w:rsidR="002D0FBE">
              <w:rPr>
                <w:noProof/>
              </w:rPr>
              <w:tab/>
            </w:r>
            <w:r w:rsidR="002D0FBE" w:rsidRPr="00AE7E57">
              <w:rPr>
                <w:rStyle w:val="Hypertextovprepojenie"/>
                <w:noProof/>
              </w:rPr>
              <w:t>Príčiny rodového mzdového rozdielu</w:t>
            </w:r>
            <w:r w:rsidR="002D0FBE">
              <w:rPr>
                <w:noProof/>
                <w:webHidden/>
              </w:rPr>
              <w:tab/>
            </w:r>
            <w:r w:rsidR="002D0FBE">
              <w:rPr>
                <w:noProof/>
                <w:webHidden/>
              </w:rPr>
              <w:fldChar w:fldCharType="begin"/>
            </w:r>
            <w:r w:rsidR="002D0FBE">
              <w:rPr>
                <w:noProof/>
                <w:webHidden/>
              </w:rPr>
              <w:instrText xml:space="preserve"> PAGEREF _Toc451508613 \h </w:instrText>
            </w:r>
            <w:r w:rsidR="002D0FBE">
              <w:rPr>
                <w:noProof/>
                <w:webHidden/>
              </w:rPr>
            </w:r>
            <w:r w:rsidR="002D0FBE">
              <w:rPr>
                <w:noProof/>
                <w:webHidden/>
              </w:rPr>
              <w:fldChar w:fldCharType="separate"/>
            </w:r>
            <w:r w:rsidR="004E53CF">
              <w:rPr>
                <w:noProof/>
                <w:webHidden/>
              </w:rPr>
              <w:t>38</w:t>
            </w:r>
            <w:r w:rsidR="002D0FBE">
              <w:rPr>
                <w:noProof/>
                <w:webHidden/>
              </w:rPr>
              <w:fldChar w:fldCharType="end"/>
            </w:r>
          </w:hyperlink>
        </w:p>
        <w:p w:rsidR="002D0FBE" w:rsidRDefault="00D554C0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451508614" w:history="1">
            <w:r w:rsidR="002D0FBE" w:rsidRPr="00AE7E57">
              <w:rPr>
                <w:rStyle w:val="Hypertextovprepojenie"/>
                <w:noProof/>
                <w:lang w:eastAsia="sk-SK"/>
              </w:rPr>
              <w:t>Teória ľudského kapitálu alebo „teória voľby“</w:t>
            </w:r>
            <w:r w:rsidR="002D0FBE">
              <w:rPr>
                <w:noProof/>
                <w:webHidden/>
              </w:rPr>
              <w:tab/>
            </w:r>
            <w:r w:rsidR="002D0FBE">
              <w:rPr>
                <w:noProof/>
                <w:webHidden/>
              </w:rPr>
              <w:fldChar w:fldCharType="begin"/>
            </w:r>
            <w:r w:rsidR="002D0FBE">
              <w:rPr>
                <w:noProof/>
                <w:webHidden/>
              </w:rPr>
              <w:instrText xml:space="preserve"> PAGEREF _Toc451508614 \h </w:instrText>
            </w:r>
            <w:r w:rsidR="002D0FBE">
              <w:rPr>
                <w:noProof/>
                <w:webHidden/>
              </w:rPr>
            </w:r>
            <w:r w:rsidR="002D0FBE">
              <w:rPr>
                <w:noProof/>
                <w:webHidden/>
              </w:rPr>
              <w:fldChar w:fldCharType="separate"/>
            </w:r>
            <w:r w:rsidR="004E53CF">
              <w:rPr>
                <w:noProof/>
                <w:webHidden/>
              </w:rPr>
              <w:t>38</w:t>
            </w:r>
            <w:r w:rsidR="002D0FBE">
              <w:rPr>
                <w:noProof/>
                <w:webHidden/>
              </w:rPr>
              <w:fldChar w:fldCharType="end"/>
            </w:r>
          </w:hyperlink>
        </w:p>
        <w:p w:rsidR="002D0FBE" w:rsidRDefault="00D554C0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451508615" w:history="1">
            <w:r w:rsidR="002D0FBE" w:rsidRPr="00AE7E57">
              <w:rPr>
                <w:rStyle w:val="Hypertextovprepojenie"/>
                <w:noProof/>
                <w:lang w:eastAsia="sk-SK"/>
              </w:rPr>
              <w:t>Teória inštitucionalizovanej ekonomiky</w:t>
            </w:r>
            <w:r w:rsidR="002D0FBE">
              <w:rPr>
                <w:noProof/>
                <w:webHidden/>
              </w:rPr>
              <w:tab/>
            </w:r>
            <w:r w:rsidR="002D0FBE">
              <w:rPr>
                <w:noProof/>
                <w:webHidden/>
              </w:rPr>
              <w:fldChar w:fldCharType="begin"/>
            </w:r>
            <w:r w:rsidR="002D0FBE">
              <w:rPr>
                <w:noProof/>
                <w:webHidden/>
              </w:rPr>
              <w:instrText xml:space="preserve"> PAGEREF _Toc451508615 \h </w:instrText>
            </w:r>
            <w:r w:rsidR="002D0FBE">
              <w:rPr>
                <w:noProof/>
                <w:webHidden/>
              </w:rPr>
            </w:r>
            <w:r w:rsidR="002D0FBE">
              <w:rPr>
                <w:noProof/>
                <w:webHidden/>
              </w:rPr>
              <w:fldChar w:fldCharType="separate"/>
            </w:r>
            <w:r w:rsidR="004E53CF">
              <w:rPr>
                <w:noProof/>
                <w:webHidden/>
              </w:rPr>
              <w:t>39</w:t>
            </w:r>
            <w:r w:rsidR="002D0FBE">
              <w:rPr>
                <w:noProof/>
                <w:webHidden/>
              </w:rPr>
              <w:fldChar w:fldCharType="end"/>
            </w:r>
          </w:hyperlink>
        </w:p>
        <w:p w:rsidR="002D0FBE" w:rsidRDefault="00D554C0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451508616" w:history="1">
            <w:r w:rsidR="002D0FBE" w:rsidRPr="00AE7E57">
              <w:rPr>
                <w:rStyle w:val="Hypertextovprepojenie"/>
                <w:noProof/>
                <w:lang w:eastAsia="sk-SK"/>
              </w:rPr>
              <w:t>Teória diskriminácie</w:t>
            </w:r>
            <w:r w:rsidR="002D0FBE">
              <w:rPr>
                <w:noProof/>
                <w:webHidden/>
              </w:rPr>
              <w:tab/>
            </w:r>
            <w:r w:rsidR="002D0FBE">
              <w:rPr>
                <w:noProof/>
                <w:webHidden/>
              </w:rPr>
              <w:fldChar w:fldCharType="begin"/>
            </w:r>
            <w:r w:rsidR="002D0FBE">
              <w:rPr>
                <w:noProof/>
                <w:webHidden/>
              </w:rPr>
              <w:instrText xml:space="preserve"> PAGEREF _Toc451508616 \h </w:instrText>
            </w:r>
            <w:r w:rsidR="002D0FBE">
              <w:rPr>
                <w:noProof/>
                <w:webHidden/>
              </w:rPr>
            </w:r>
            <w:r w:rsidR="002D0FBE">
              <w:rPr>
                <w:noProof/>
                <w:webHidden/>
              </w:rPr>
              <w:fldChar w:fldCharType="separate"/>
            </w:r>
            <w:r w:rsidR="004E53CF">
              <w:rPr>
                <w:noProof/>
                <w:webHidden/>
              </w:rPr>
              <w:t>40</w:t>
            </w:r>
            <w:r w:rsidR="002D0FBE">
              <w:rPr>
                <w:noProof/>
                <w:webHidden/>
              </w:rPr>
              <w:fldChar w:fldCharType="end"/>
            </w:r>
          </w:hyperlink>
        </w:p>
        <w:p w:rsidR="002D0FBE" w:rsidRDefault="00D554C0">
          <w:pPr>
            <w:pStyle w:val="Obsah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51508617" w:history="1">
            <w:r w:rsidR="002D0FBE" w:rsidRPr="00AE7E57">
              <w:rPr>
                <w:rStyle w:val="Hypertextovprepojenie"/>
                <w:noProof/>
              </w:rPr>
              <w:t>5.</w:t>
            </w:r>
            <w:r w:rsidR="002D0FBE">
              <w:rPr>
                <w:noProof/>
              </w:rPr>
              <w:tab/>
            </w:r>
            <w:r w:rsidR="002D0FBE" w:rsidRPr="00AE7E57">
              <w:rPr>
                <w:rStyle w:val="Hypertextovprepojenie"/>
                <w:noProof/>
              </w:rPr>
              <w:t>Závery a odporúčania</w:t>
            </w:r>
            <w:r w:rsidR="002D0FBE">
              <w:rPr>
                <w:noProof/>
                <w:webHidden/>
              </w:rPr>
              <w:tab/>
            </w:r>
            <w:r w:rsidR="002D0FBE">
              <w:rPr>
                <w:noProof/>
                <w:webHidden/>
              </w:rPr>
              <w:fldChar w:fldCharType="begin"/>
            </w:r>
            <w:r w:rsidR="002D0FBE">
              <w:rPr>
                <w:noProof/>
                <w:webHidden/>
              </w:rPr>
              <w:instrText xml:space="preserve"> PAGEREF _Toc451508617 \h </w:instrText>
            </w:r>
            <w:r w:rsidR="002D0FBE">
              <w:rPr>
                <w:noProof/>
                <w:webHidden/>
              </w:rPr>
            </w:r>
            <w:r w:rsidR="002D0FBE">
              <w:rPr>
                <w:noProof/>
                <w:webHidden/>
              </w:rPr>
              <w:fldChar w:fldCharType="separate"/>
            </w:r>
            <w:r w:rsidR="004E53CF">
              <w:rPr>
                <w:noProof/>
                <w:webHidden/>
              </w:rPr>
              <w:t>43</w:t>
            </w:r>
            <w:r w:rsidR="002D0FBE">
              <w:rPr>
                <w:noProof/>
                <w:webHidden/>
              </w:rPr>
              <w:fldChar w:fldCharType="end"/>
            </w:r>
          </w:hyperlink>
        </w:p>
        <w:p w:rsidR="002D0FBE" w:rsidRDefault="00D554C0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451508618" w:history="1">
            <w:r w:rsidR="002D0FBE">
              <w:rPr>
                <w:rStyle w:val="Hypertextovprepojenie"/>
                <w:noProof/>
              </w:rPr>
              <w:t>P</w:t>
            </w:r>
            <w:r w:rsidR="002D0FBE" w:rsidRPr="00AE7E57">
              <w:rPr>
                <w:rStyle w:val="Hypertextovprepojenie"/>
                <w:noProof/>
              </w:rPr>
              <w:t>rínosy odstránenia rodových rozdielov v odmeňovaní</w:t>
            </w:r>
            <w:r w:rsidR="002D0FBE">
              <w:rPr>
                <w:noProof/>
                <w:webHidden/>
              </w:rPr>
              <w:tab/>
            </w:r>
            <w:r w:rsidR="002D0FBE">
              <w:rPr>
                <w:noProof/>
                <w:webHidden/>
              </w:rPr>
              <w:fldChar w:fldCharType="begin"/>
            </w:r>
            <w:r w:rsidR="002D0FBE">
              <w:rPr>
                <w:noProof/>
                <w:webHidden/>
              </w:rPr>
              <w:instrText xml:space="preserve"> PAGEREF _Toc451508618 \h </w:instrText>
            </w:r>
            <w:r w:rsidR="002D0FBE">
              <w:rPr>
                <w:noProof/>
                <w:webHidden/>
              </w:rPr>
            </w:r>
            <w:r w:rsidR="002D0FBE">
              <w:rPr>
                <w:noProof/>
                <w:webHidden/>
              </w:rPr>
              <w:fldChar w:fldCharType="separate"/>
            </w:r>
            <w:r w:rsidR="004E53CF">
              <w:rPr>
                <w:noProof/>
                <w:webHidden/>
              </w:rPr>
              <w:t>43</w:t>
            </w:r>
            <w:r w:rsidR="002D0FBE">
              <w:rPr>
                <w:noProof/>
                <w:webHidden/>
              </w:rPr>
              <w:fldChar w:fldCharType="end"/>
            </w:r>
          </w:hyperlink>
        </w:p>
        <w:p w:rsidR="002D0FBE" w:rsidRDefault="00D554C0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451508619" w:history="1">
            <w:r w:rsidR="002D0FBE" w:rsidRPr="00AE7E57">
              <w:rPr>
                <w:rStyle w:val="Hypertextovprepojenie"/>
                <w:noProof/>
              </w:rPr>
              <w:t>Dobré praxe</w:t>
            </w:r>
            <w:r w:rsidR="002D0FBE">
              <w:rPr>
                <w:noProof/>
                <w:webHidden/>
              </w:rPr>
              <w:tab/>
            </w:r>
            <w:r w:rsidR="002D0FBE">
              <w:rPr>
                <w:noProof/>
                <w:webHidden/>
              </w:rPr>
              <w:fldChar w:fldCharType="begin"/>
            </w:r>
            <w:r w:rsidR="002D0FBE">
              <w:rPr>
                <w:noProof/>
                <w:webHidden/>
              </w:rPr>
              <w:instrText xml:space="preserve"> PAGEREF _Toc451508619 \h </w:instrText>
            </w:r>
            <w:r w:rsidR="002D0FBE">
              <w:rPr>
                <w:noProof/>
                <w:webHidden/>
              </w:rPr>
            </w:r>
            <w:r w:rsidR="002D0FBE">
              <w:rPr>
                <w:noProof/>
                <w:webHidden/>
              </w:rPr>
              <w:fldChar w:fldCharType="separate"/>
            </w:r>
            <w:r w:rsidR="004E53CF">
              <w:rPr>
                <w:noProof/>
                <w:webHidden/>
              </w:rPr>
              <w:t>45</w:t>
            </w:r>
            <w:r w:rsidR="002D0FBE">
              <w:rPr>
                <w:noProof/>
                <w:webHidden/>
              </w:rPr>
              <w:fldChar w:fldCharType="end"/>
            </w:r>
          </w:hyperlink>
        </w:p>
        <w:p w:rsidR="002D0FBE" w:rsidRDefault="00D554C0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451508620" w:history="1">
            <w:r w:rsidR="00D377D7">
              <w:rPr>
                <w:rStyle w:val="Hypertextovprepojenie"/>
                <w:noProof/>
                <w:lang w:eastAsia="de-DE"/>
              </w:rPr>
              <w:t>O</w:t>
            </w:r>
            <w:r w:rsidR="002D0FBE" w:rsidRPr="00AE7E57">
              <w:rPr>
                <w:rStyle w:val="Hypertextovprepojenie"/>
                <w:noProof/>
                <w:lang w:eastAsia="de-DE"/>
              </w:rPr>
              <w:t>dporúčania</w:t>
            </w:r>
            <w:r w:rsidR="002D0FBE">
              <w:rPr>
                <w:noProof/>
                <w:webHidden/>
              </w:rPr>
              <w:tab/>
            </w:r>
            <w:r w:rsidR="002D0FBE">
              <w:rPr>
                <w:noProof/>
                <w:webHidden/>
              </w:rPr>
              <w:fldChar w:fldCharType="begin"/>
            </w:r>
            <w:r w:rsidR="002D0FBE">
              <w:rPr>
                <w:noProof/>
                <w:webHidden/>
              </w:rPr>
              <w:instrText xml:space="preserve"> PAGEREF _Toc451508620 \h </w:instrText>
            </w:r>
            <w:r w:rsidR="002D0FBE">
              <w:rPr>
                <w:noProof/>
                <w:webHidden/>
              </w:rPr>
            </w:r>
            <w:r w:rsidR="002D0FBE">
              <w:rPr>
                <w:noProof/>
                <w:webHidden/>
              </w:rPr>
              <w:fldChar w:fldCharType="separate"/>
            </w:r>
            <w:r w:rsidR="004E53CF">
              <w:rPr>
                <w:noProof/>
                <w:webHidden/>
              </w:rPr>
              <w:t>49</w:t>
            </w:r>
            <w:r w:rsidR="002D0FBE">
              <w:rPr>
                <w:noProof/>
                <w:webHidden/>
              </w:rPr>
              <w:fldChar w:fldCharType="end"/>
            </w:r>
          </w:hyperlink>
        </w:p>
        <w:p w:rsidR="002D0FBE" w:rsidRDefault="00D554C0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451508621" w:history="1">
            <w:r w:rsidR="002D0FBE" w:rsidRPr="00AE7E57">
              <w:rPr>
                <w:rStyle w:val="Hypertextovprepojenie"/>
                <w:noProof/>
              </w:rPr>
              <w:t>Použitá literatúra a zdroje</w:t>
            </w:r>
            <w:r w:rsidR="002D0FBE">
              <w:rPr>
                <w:noProof/>
                <w:webHidden/>
              </w:rPr>
              <w:tab/>
            </w:r>
            <w:r w:rsidR="002D0FBE">
              <w:rPr>
                <w:noProof/>
                <w:webHidden/>
              </w:rPr>
              <w:fldChar w:fldCharType="begin"/>
            </w:r>
            <w:r w:rsidR="002D0FBE">
              <w:rPr>
                <w:noProof/>
                <w:webHidden/>
              </w:rPr>
              <w:instrText xml:space="preserve"> PAGEREF _Toc451508621 \h </w:instrText>
            </w:r>
            <w:r w:rsidR="002D0FBE">
              <w:rPr>
                <w:noProof/>
                <w:webHidden/>
              </w:rPr>
            </w:r>
            <w:r w:rsidR="002D0FBE">
              <w:rPr>
                <w:noProof/>
                <w:webHidden/>
              </w:rPr>
              <w:fldChar w:fldCharType="separate"/>
            </w:r>
            <w:r w:rsidR="004E53CF">
              <w:rPr>
                <w:noProof/>
                <w:webHidden/>
              </w:rPr>
              <w:t>51</w:t>
            </w:r>
            <w:r w:rsidR="002D0FBE">
              <w:rPr>
                <w:noProof/>
                <w:webHidden/>
              </w:rPr>
              <w:fldChar w:fldCharType="end"/>
            </w:r>
          </w:hyperlink>
        </w:p>
        <w:p w:rsidR="002D0FBE" w:rsidRDefault="002D0FBE">
          <w:r>
            <w:rPr>
              <w:b/>
              <w:bCs/>
            </w:rPr>
            <w:fldChar w:fldCharType="end"/>
          </w:r>
        </w:p>
      </w:sdtContent>
    </w:sdt>
    <w:p w:rsidR="002D0FBE" w:rsidRDefault="002D0FBE">
      <w:pPr>
        <w:shd w:val="clear" w:color="auto" w:fill="auto"/>
        <w:spacing w:after="0" w:line="240" w:lineRule="auto"/>
        <w:jc w:val="left"/>
        <w:rPr>
          <w:rFonts w:cs="Cambria"/>
          <w:bCs/>
          <w:caps/>
          <w:smallCaps/>
          <w:color w:val="17365D"/>
          <w:spacing w:val="5"/>
          <w:kern w:val="32"/>
          <w:sz w:val="52"/>
          <w:szCs w:val="72"/>
          <w:lang w:eastAsia="sk-SK" w:bidi="ar-SA"/>
        </w:rPr>
      </w:pPr>
    </w:p>
    <w:p w:rsidR="002D0FBE" w:rsidRDefault="002D0FBE">
      <w:pPr>
        <w:shd w:val="clear" w:color="auto" w:fill="auto"/>
        <w:spacing w:after="0" w:line="240" w:lineRule="auto"/>
        <w:jc w:val="left"/>
        <w:rPr>
          <w:bCs/>
          <w:caps/>
          <w:smallCaps/>
          <w:color w:val="000000" w:themeColor="text1"/>
          <w:kern w:val="32"/>
          <w:sz w:val="40"/>
          <w:szCs w:val="32"/>
          <w:lang w:eastAsia="sk-SK" w:bidi="ar-SA"/>
        </w:rPr>
      </w:pPr>
      <w:bookmarkStart w:id="0" w:name="_Toc451508600"/>
      <w:r>
        <w:br w:type="page"/>
      </w:r>
    </w:p>
    <w:p w:rsidR="00D75A0F" w:rsidRPr="0064300A" w:rsidRDefault="00D75A0F" w:rsidP="0064300A">
      <w:pPr>
        <w:pStyle w:val="Nadpis1"/>
        <w:numPr>
          <w:ilvl w:val="0"/>
          <w:numId w:val="40"/>
        </w:numPr>
        <w:rPr>
          <w:rFonts w:cs="Cambria"/>
          <w:color w:val="17365D"/>
          <w:spacing w:val="5"/>
          <w:sz w:val="52"/>
          <w:szCs w:val="72"/>
        </w:rPr>
      </w:pPr>
      <w:r w:rsidRPr="0064300A">
        <w:lastRenderedPageBreak/>
        <w:t>Pokrok v uplatňovaní rodovej rovnosti v roku 2015</w:t>
      </w:r>
      <w:bookmarkEnd w:id="0"/>
    </w:p>
    <w:p w:rsidR="00D75A0F" w:rsidRPr="00D75A0F" w:rsidRDefault="00D75A0F" w:rsidP="00D75A0F">
      <w:pPr>
        <w:shd w:val="clear" w:color="auto" w:fill="auto"/>
        <w:spacing w:line="240" w:lineRule="auto"/>
        <w:rPr>
          <w:color w:val="000000"/>
          <w:lang w:eastAsia="sk-SK" w:bidi="ar-SA"/>
        </w:rPr>
      </w:pPr>
    </w:p>
    <w:p w:rsidR="0064300A" w:rsidRDefault="00D75A0F" w:rsidP="00D75A0F">
      <w:pPr>
        <w:shd w:val="clear" w:color="auto" w:fill="auto"/>
        <w:spacing w:line="240" w:lineRule="auto"/>
        <w:rPr>
          <w:color w:val="000000"/>
          <w:lang w:eastAsia="sk-SK" w:bidi="ar-SA"/>
        </w:rPr>
      </w:pPr>
      <w:r w:rsidRPr="00D75A0F">
        <w:rPr>
          <w:i/>
          <w:color w:val="000000"/>
          <w:lang w:eastAsia="sk-SK" w:bidi="ar-SA"/>
        </w:rPr>
        <w:t>Súhrnná správa o stave rodovej rovnosti za rok 2015</w:t>
      </w:r>
      <w:r w:rsidRPr="00D75A0F">
        <w:rPr>
          <w:color w:val="000000"/>
          <w:lang w:eastAsia="sk-SK" w:bidi="ar-SA"/>
        </w:rPr>
        <w:t xml:space="preserve"> (ďalej len „správa“) je zameraná na hodnotenie vývoja v oblasti rodovej rovnosti resp. rovnosti žien a</w:t>
      </w:r>
      <w:r w:rsidR="006D10C9">
        <w:rPr>
          <w:color w:val="000000"/>
          <w:lang w:eastAsia="sk-SK" w:bidi="ar-SA"/>
        </w:rPr>
        <w:t> </w:t>
      </w:r>
      <w:r w:rsidRPr="00D75A0F">
        <w:rPr>
          <w:color w:val="000000"/>
          <w:lang w:eastAsia="sk-SK" w:bidi="ar-SA"/>
        </w:rPr>
        <w:t>mužov</w:t>
      </w:r>
      <w:r w:rsidR="006D10C9">
        <w:rPr>
          <w:color w:val="000000"/>
          <w:lang w:eastAsia="sk-SK" w:bidi="ar-SA"/>
        </w:rPr>
        <w:t xml:space="preserve"> a venuje sa</w:t>
      </w:r>
      <w:r w:rsidRPr="00D75A0F">
        <w:rPr>
          <w:color w:val="000000"/>
          <w:lang w:eastAsia="sk-SK" w:bidi="ar-SA"/>
        </w:rPr>
        <w:t xml:space="preserve"> konkrétne rodovému mzdovému rozdielu. </w:t>
      </w:r>
    </w:p>
    <w:p w:rsidR="00D75A0F" w:rsidRPr="00D75A0F" w:rsidRDefault="00D75A0F" w:rsidP="00D75A0F">
      <w:pPr>
        <w:shd w:val="clear" w:color="auto" w:fill="auto"/>
        <w:spacing w:line="240" w:lineRule="auto"/>
        <w:rPr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t>Predkladaná správa prináša základný prehľad o udalostiach a vývoji v oblasti rodovej rovnosti v roku 2015 a uvádza aj porovnanie situácie SR v rámci Európskej únie a pomenováva a analyzuje najväčšie rodové rozdiely a nerovnosti.</w:t>
      </w:r>
    </w:p>
    <w:p w:rsidR="00D75A0F" w:rsidRPr="00D75A0F" w:rsidRDefault="00D75A0F" w:rsidP="00D75A0F">
      <w:pPr>
        <w:shd w:val="clear" w:color="auto" w:fill="auto"/>
        <w:autoSpaceDE w:val="0"/>
        <w:autoSpaceDN w:val="0"/>
        <w:adjustRightInd w:val="0"/>
        <w:spacing w:after="120" w:line="240" w:lineRule="auto"/>
        <w:jc w:val="left"/>
        <w:rPr>
          <w:sz w:val="20"/>
          <w:szCs w:val="20"/>
          <w:lang w:eastAsia="sk-SK" w:bidi="ar-SA"/>
        </w:rPr>
      </w:pPr>
    </w:p>
    <w:p w:rsidR="00D75A0F" w:rsidRPr="00D75A0F" w:rsidRDefault="00D75A0F" w:rsidP="00D75A0F">
      <w:pPr>
        <w:pStyle w:val="Nadpis2"/>
      </w:pPr>
      <w:bookmarkStart w:id="1" w:name="_Toc451508601"/>
      <w:r w:rsidRPr="00D75A0F">
        <w:t>Vývoj v oblasti rodovej rovnosti za rok 2015</w:t>
      </w:r>
      <w:bookmarkEnd w:id="1"/>
    </w:p>
    <w:p w:rsidR="00D75A0F" w:rsidRDefault="00D75A0F" w:rsidP="00D75A0F">
      <w:pPr>
        <w:shd w:val="clear" w:color="auto" w:fill="auto"/>
        <w:spacing w:line="240" w:lineRule="auto"/>
        <w:rPr>
          <w:color w:val="000000"/>
          <w:lang w:eastAsia="sk-SK" w:bidi="ar-SA"/>
        </w:rPr>
      </w:pPr>
    </w:p>
    <w:p w:rsidR="00FE4068" w:rsidRPr="00D75A0F" w:rsidRDefault="00D75A0F" w:rsidP="00FE4068">
      <w:pPr>
        <w:shd w:val="clear" w:color="auto" w:fill="auto"/>
        <w:spacing w:line="240" w:lineRule="auto"/>
        <w:rPr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t xml:space="preserve">Novelou tzv. kompetenčného zákona bolo Ministerstvo práce, sociálnych vecí a rodiny Slovenskej republiky </w:t>
      </w:r>
      <w:r w:rsidR="0064300A">
        <w:rPr>
          <w:color w:val="000000"/>
          <w:lang w:eastAsia="sk-SK" w:bidi="ar-SA"/>
        </w:rPr>
        <w:t xml:space="preserve">(ďalej len „MPSVR SR“) </w:t>
      </w:r>
      <w:r w:rsidRPr="00D75A0F">
        <w:rPr>
          <w:color w:val="000000"/>
          <w:lang w:eastAsia="sk-SK" w:bidi="ar-SA"/>
        </w:rPr>
        <w:t xml:space="preserve">ustanovené od 1. 10. 2012 za ústredný orgán štátnej správy pre rodovú rovnosť a rovnosť príležitostí a koordináciu štátnej politiky v danej oblasti. </w:t>
      </w:r>
      <w:r w:rsidR="00FE4068">
        <w:rPr>
          <w:color w:val="000000"/>
          <w:lang w:eastAsia="sk-SK" w:bidi="ar-SA"/>
        </w:rPr>
        <w:t>O</w:t>
      </w:r>
      <w:r w:rsidR="00FE4068" w:rsidRPr="00D75A0F">
        <w:rPr>
          <w:color w:val="000000"/>
          <w:lang w:eastAsia="sk-SK" w:bidi="ar-SA"/>
        </w:rPr>
        <w:t>dbor rodovej rovnosti a rovnosti príležitostí</w:t>
      </w:r>
      <w:r w:rsidR="00FE4068">
        <w:rPr>
          <w:color w:val="000000"/>
          <w:lang w:eastAsia="sk-SK" w:bidi="ar-SA"/>
        </w:rPr>
        <w:t xml:space="preserve"> MPSVR SR (ďalej len „ORRRP MPSVR SR“) </w:t>
      </w:r>
      <w:r w:rsidR="00FE4068" w:rsidRPr="00D75A0F">
        <w:rPr>
          <w:color w:val="000000"/>
          <w:lang w:eastAsia="sk-SK" w:bidi="ar-SA"/>
        </w:rPr>
        <w:t>bol s účinnosťou od 1.1.2015 začlenený pod priamu riadiacu pôsobnosť ministra práce, sociálnych vecí a</w:t>
      </w:r>
      <w:r w:rsidR="00FE4068">
        <w:rPr>
          <w:color w:val="000000"/>
          <w:lang w:eastAsia="sk-SK" w:bidi="ar-SA"/>
        </w:rPr>
        <w:t> </w:t>
      </w:r>
      <w:r w:rsidR="00FE4068" w:rsidRPr="00D75A0F">
        <w:rPr>
          <w:color w:val="000000"/>
          <w:lang w:eastAsia="sk-SK" w:bidi="ar-SA"/>
        </w:rPr>
        <w:t>rodiny</w:t>
      </w:r>
      <w:r w:rsidR="00FE4068">
        <w:rPr>
          <w:color w:val="000000"/>
          <w:lang w:eastAsia="sk-SK" w:bidi="ar-SA"/>
        </w:rPr>
        <w:t>, čím sa posilnilo jeho postavenie</w:t>
      </w:r>
      <w:r w:rsidR="00FE4068" w:rsidRPr="00D75A0F">
        <w:rPr>
          <w:color w:val="000000"/>
          <w:lang w:eastAsia="sk-SK" w:bidi="ar-SA"/>
        </w:rPr>
        <w:t>.</w:t>
      </w:r>
    </w:p>
    <w:p w:rsidR="006D10C9" w:rsidRDefault="006D10C9" w:rsidP="00FE4068">
      <w:pPr>
        <w:shd w:val="clear" w:color="auto" w:fill="auto"/>
        <w:spacing w:line="240" w:lineRule="auto"/>
        <w:rPr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t xml:space="preserve">Po viac ako troch rokoch intenzívneho a systematického pôsobenia naplnil rezort zahraničných vecí a európskych záležitostí svoj mandát v oblasti vnútroštátnej koordinácie agendy ľudských práv. Zásadným míľnikom sa stalo prijatie </w:t>
      </w:r>
      <w:r w:rsidRPr="00FE4068">
        <w:rPr>
          <w:i/>
          <w:color w:val="000000"/>
          <w:lang w:eastAsia="sk-SK" w:bidi="ar-SA"/>
        </w:rPr>
        <w:t>Celoštátnej stratégie ochrany a podpory ľudských práv</w:t>
      </w:r>
      <w:r w:rsidRPr="00D75A0F">
        <w:rPr>
          <w:color w:val="000000"/>
          <w:lang w:eastAsia="sk-SK" w:bidi="ar-SA"/>
        </w:rPr>
        <w:t xml:space="preserve"> - komplexného dokumentu, ktorý tvorí základ pre ďalšiu tvorbu </w:t>
      </w:r>
      <w:proofErr w:type="spellStart"/>
      <w:r w:rsidRPr="00D75A0F">
        <w:rPr>
          <w:color w:val="000000"/>
          <w:lang w:eastAsia="sk-SK" w:bidi="ar-SA"/>
        </w:rPr>
        <w:t>ľudskoprávnych</w:t>
      </w:r>
      <w:proofErr w:type="spellEnd"/>
      <w:r w:rsidRPr="00D75A0F">
        <w:rPr>
          <w:color w:val="000000"/>
          <w:lang w:eastAsia="sk-SK" w:bidi="ar-SA"/>
        </w:rPr>
        <w:t xml:space="preserve"> politík. </w:t>
      </w:r>
    </w:p>
    <w:p w:rsidR="00FE4068" w:rsidRPr="00FE4068" w:rsidRDefault="00D75A0F" w:rsidP="006D10C9">
      <w:pPr>
        <w:shd w:val="clear" w:color="auto" w:fill="auto"/>
        <w:spacing w:line="240" w:lineRule="auto"/>
        <w:rPr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t xml:space="preserve">Od 1.9.2015 kompetencie v oblasti tvorby a koordinácie </w:t>
      </w:r>
      <w:proofErr w:type="spellStart"/>
      <w:r w:rsidRPr="00D75A0F">
        <w:rPr>
          <w:color w:val="000000"/>
          <w:lang w:eastAsia="sk-SK" w:bidi="ar-SA"/>
        </w:rPr>
        <w:t>ľudskoprávnych</w:t>
      </w:r>
      <w:proofErr w:type="spellEnd"/>
      <w:r w:rsidRPr="00D75A0F">
        <w:rPr>
          <w:color w:val="000000"/>
          <w:lang w:eastAsia="sk-SK" w:bidi="ar-SA"/>
        </w:rPr>
        <w:t xml:space="preserve"> politík z Ministerstva zahraničných vecí a európskych záležitostí Slovenskej republiky </w:t>
      </w:r>
      <w:r w:rsidR="00FE4068">
        <w:rPr>
          <w:color w:val="000000"/>
          <w:lang w:eastAsia="sk-SK" w:bidi="ar-SA"/>
        </w:rPr>
        <w:t xml:space="preserve">(ďalej len „MZVaEZ SR“) </w:t>
      </w:r>
      <w:r w:rsidRPr="00D75A0F">
        <w:rPr>
          <w:color w:val="000000"/>
          <w:lang w:eastAsia="sk-SK" w:bidi="ar-SA"/>
        </w:rPr>
        <w:t>prešli na Ministerstvo spravodlivosti Slovenskej republiky</w:t>
      </w:r>
      <w:r w:rsidR="00FE4068">
        <w:rPr>
          <w:color w:val="000000"/>
          <w:lang w:eastAsia="sk-SK" w:bidi="ar-SA"/>
        </w:rPr>
        <w:t xml:space="preserve"> (ďalej len „MS SR“)</w:t>
      </w:r>
      <w:r w:rsidRPr="00D75A0F">
        <w:rPr>
          <w:color w:val="000000"/>
          <w:lang w:eastAsia="sk-SK" w:bidi="ar-SA"/>
        </w:rPr>
        <w:t xml:space="preserve">. </w:t>
      </w:r>
      <w:r w:rsidRPr="00FE4068">
        <w:rPr>
          <w:color w:val="000000"/>
          <w:lang w:eastAsia="sk-SK" w:bidi="ar-SA"/>
        </w:rPr>
        <w:t>Vďaka tomuto systémovému riešeniu, ktoré podporila aj občianska spoločnosť, bolo možné kontinuálne pokračovať v efektívnom napĺňaní úloh a priorít stanovených stratégiou ľudských práv. Pri prechode kompetencií bolo potvrdené, že vláda Slovenskej republiky dôrazne odmieta akékoľvek aktivity vedúce k neznášanlivosti v spoločnosti a odsudzuje všetky prejavy nenávisti, extrémizmu, rasizmu a xenofóbie.</w:t>
      </w:r>
      <w:r w:rsidR="00FE4068" w:rsidRPr="00FE4068">
        <w:rPr>
          <w:color w:val="000000"/>
          <w:lang w:eastAsia="sk-SK" w:bidi="ar-SA"/>
        </w:rPr>
        <w:t xml:space="preserve"> </w:t>
      </w:r>
      <w:r w:rsidR="00FE4068">
        <w:rPr>
          <w:color w:val="000000"/>
          <w:lang w:eastAsia="sk-SK" w:bidi="ar-SA"/>
        </w:rPr>
        <w:t xml:space="preserve">Súčasťou prechodu kompetencií v oblasti ľudských práv bol aj prechod gescie </w:t>
      </w:r>
      <w:r w:rsidR="00FE4068" w:rsidRPr="00D75A0F">
        <w:rPr>
          <w:color w:val="000000"/>
          <w:lang w:eastAsia="sk-SK" w:bidi="ar-SA"/>
        </w:rPr>
        <w:t xml:space="preserve">poradného orgánu vlády SR, ktorým je </w:t>
      </w:r>
      <w:r w:rsidR="00FE4068" w:rsidRPr="0064300A">
        <w:rPr>
          <w:i/>
          <w:color w:val="000000"/>
          <w:lang w:eastAsia="sk-SK" w:bidi="ar-SA"/>
        </w:rPr>
        <w:t>Rada vlády pre ľudské práva, národnostné menšiny a rodovú rovnosť</w:t>
      </w:r>
      <w:r w:rsidR="00FE4068">
        <w:rPr>
          <w:i/>
          <w:color w:val="000000"/>
          <w:lang w:eastAsia="sk-SK" w:bidi="ar-SA"/>
        </w:rPr>
        <w:t xml:space="preserve"> </w:t>
      </w:r>
      <w:r w:rsidR="00FE4068" w:rsidRPr="00FE4068">
        <w:rPr>
          <w:color w:val="000000"/>
          <w:lang w:eastAsia="sk-SK" w:bidi="ar-SA"/>
        </w:rPr>
        <w:t>(ďalej len „Rada“),</w:t>
      </w:r>
      <w:r w:rsidR="00FE4068">
        <w:rPr>
          <w:i/>
          <w:color w:val="000000"/>
          <w:lang w:eastAsia="sk-SK" w:bidi="ar-SA"/>
        </w:rPr>
        <w:t xml:space="preserve"> </w:t>
      </w:r>
      <w:r w:rsidR="00FE4068">
        <w:rPr>
          <w:color w:val="000000"/>
          <w:lang w:eastAsia="sk-SK" w:bidi="ar-SA"/>
        </w:rPr>
        <w:t>pod gesciu ministra spravodlivosti. Tento viedol prvýkrát zasadnutie 15. Ok</w:t>
      </w:r>
      <w:r w:rsidR="006D10C9">
        <w:rPr>
          <w:color w:val="000000"/>
          <w:lang w:eastAsia="sk-SK" w:bidi="ar-SA"/>
        </w:rPr>
        <w:t>t</w:t>
      </w:r>
      <w:r w:rsidR="00FE4068">
        <w:rPr>
          <w:color w:val="000000"/>
          <w:lang w:eastAsia="sk-SK" w:bidi="ar-SA"/>
        </w:rPr>
        <w:t>óbra 2015.</w:t>
      </w:r>
    </w:p>
    <w:p w:rsidR="00FE4068" w:rsidRPr="00D75A0F" w:rsidRDefault="00FE4068" w:rsidP="00FE4068">
      <w:pPr>
        <w:shd w:val="clear" w:color="auto" w:fill="auto"/>
        <w:spacing w:line="240" w:lineRule="auto"/>
        <w:rPr>
          <w:color w:val="000000"/>
          <w:lang w:eastAsia="sk-SK" w:bidi="ar-SA"/>
        </w:rPr>
      </w:pPr>
      <w:r w:rsidRPr="00FE4068">
        <w:rPr>
          <w:i/>
          <w:color w:val="000000"/>
          <w:lang w:eastAsia="sk-SK" w:bidi="ar-SA"/>
        </w:rPr>
        <w:lastRenderedPageBreak/>
        <w:t>Výbor pre rodovú rovnosť</w:t>
      </w:r>
      <w:r w:rsidRPr="00D75A0F">
        <w:rPr>
          <w:color w:val="000000"/>
          <w:lang w:eastAsia="sk-SK" w:bidi="ar-SA"/>
        </w:rPr>
        <w:t>, ktorého predsedom je minister práce, sociálnych vecí a rodiny a odborným gestorom je</w:t>
      </w:r>
      <w:r>
        <w:rPr>
          <w:color w:val="000000"/>
          <w:lang w:eastAsia="sk-SK" w:bidi="ar-SA"/>
        </w:rPr>
        <w:t xml:space="preserve"> ORRRP MPSVR SR, zasadal v roku 2015 tri razy</w:t>
      </w:r>
      <w:r w:rsidRPr="00D75A0F">
        <w:rPr>
          <w:color w:val="000000"/>
          <w:lang w:eastAsia="sk-SK" w:bidi="ar-SA"/>
        </w:rPr>
        <w:t>. Organizačno-technické zabezpečenie práce výboru vykonáva spoločný sekretariát  us</w:t>
      </w:r>
      <w:r w:rsidR="000F7DD6">
        <w:rPr>
          <w:color w:val="000000"/>
          <w:lang w:eastAsia="sk-SK" w:bidi="ar-SA"/>
        </w:rPr>
        <w:t>tanovený aj pre ostatné výbory R</w:t>
      </w:r>
      <w:r w:rsidRPr="00D75A0F">
        <w:rPr>
          <w:color w:val="000000"/>
          <w:lang w:eastAsia="sk-SK" w:bidi="ar-SA"/>
        </w:rPr>
        <w:t xml:space="preserve">ady. </w:t>
      </w:r>
    </w:p>
    <w:p w:rsidR="00D75A0F" w:rsidRPr="00D75A0F" w:rsidRDefault="00D75A0F" w:rsidP="00D75A0F">
      <w:pPr>
        <w:shd w:val="clear" w:color="auto" w:fill="auto"/>
        <w:spacing w:line="240" w:lineRule="auto"/>
        <w:rPr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t xml:space="preserve">V roku 2015 sa zintenzívnila koordinácia agendy rodovej rovnosti a rovnosti príležitostí predovšetkým pri implementácii </w:t>
      </w:r>
      <w:r w:rsidRPr="00FE4068">
        <w:rPr>
          <w:i/>
          <w:color w:val="000000"/>
          <w:lang w:eastAsia="sk-SK" w:bidi="ar-SA"/>
        </w:rPr>
        <w:t>Celoštátnej stratégie rodovej rovnosti</w:t>
      </w:r>
      <w:r w:rsidRPr="00D75A0F">
        <w:rPr>
          <w:color w:val="000000"/>
          <w:lang w:eastAsia="sk-SK" w:bidi="ar-SA"/>
        </w:rPr>
        <w:t xml:space="preserve"> a </w:t>
      </w:r>
      <w:r w:rsidRPr="00FE4068">
        <w:rPr>
          <w:i/>
          <w:color w:val="000000"/>
          <w:lang w:eastAsia="sk-SK" w:bidi="ar-SA"/>
        </w:rPr>
        <w:t xml:space="preserve">Akčného plánu rodovej rovnosti na roky 2014 </w:t>
      </w:r>
      <w:r w:rsidR="000F7DD6">
        <w:rPr>
          <w:i/>
          <w:color w:val="000000"/>
          <w:lang w:eastAsia="sk-SK" w:bidi="ar-SA"/>
        </w:rPr>
        <w:t>–</w:t>
      </w:r>
      <w:r w:rsidRPr="00FE4068">
        <w:rPr>
          <w:i/>
          <w:color w:val="000000"/>
          <w:lang w:eastAsia="sk-SK" w:bidi="ar-SA"/>
        </w:rPr>
        <w:t xml:space="preserve"> 2019</w:t>
      </w:r>
      <w:r w:rsidR="000F7DD6">
        <w:rPr>
          <w:i/>
          <w:color w:val="000000"/>
          <w:lang w:eastAsia="sk-SK" w:bidi="ar-SA"/>
        </w:rPr>
        <w:t xml:space="preserve"> </w:t>
      </w:r>
      <w:r w:rsidR="000F7DD6" w:rsidRPr="000F7DD6">
        <w:rPr>
          <w:color w:val="000000"/>
          <w:lang w:eastAsia="sk-SK" w:bidi="ar-SA"/>
        </w:rPr>
        <w:t>(ďalej len „Stratégia“)</w:t>
      </w:r>
      <w:r w:rsidRPr="000F7DD6">
        <w:rPr>
          <w:color w:val="000000"/>
          <w:lang w:eastAsia="sk-SK" w:bidi="ar-SA"/>
        </w:rPr>
        <w:t>.</w:t>
      </w:r>
      <w:r w:rsidRPr="00D75A0F">
        <w:rPr>
          <w:color w:val="000000"/>
          <w:lang w:eastAsia="sk-SK" w:bidi="ar-SA"/>
        </w:rPr>
        <w:t xml:space="preserve"> Prostredníctvom Stratégie sa vytvárajú podmienky, aby si matky aj otcovia mohli zosúladiť rodinný a pracovný život, </w:t>
      </w:r>
      <w:r w:rsidR="006D10C9">
        <w:rPr>
          <w:color w:val="000000"/>
          <w:lang w:eastAsia="sk-SK" w:bidi="ar-SA"/>
        </w:rPr>
        <w:t xml:space="preserve">teda </w:t>
      </w:r>
      <w:r w:rsidRPr="00D75A0F">
        <w:rPr>
          <w:color w:val="000000"/>
          <w:lang w:eastAsia="sk-SK" w:bidi="ar-SA"/>
        </w:rPr>
        <w:t>aby sa vytvárali flexibilné pracovné miesta</w:t>
      </w:r>
      <w:r w:rsidR="006D10C9">
        <w:rPr>
          <w:color w:val="000000"/>
          <w:lang w:eastAsia="sk-SK" w:bidi="ar-SA"/>
        </w:rPr>
        <w:t xml:space="preserve">, </w:t>
      </w:r>
      <w:r w:rsidRPr="00D75A0F">
        <w:rPr>
          <w:color w:val="000000"/>
          <w:lang w:eastAsia="sk-SK" w:bidi="ar-SA"/>
        </w:rPr>
        <w:t xml:space="preserve">dostupné a kvalitné služby starostlivosti o deti vrátane </w:t>
      </w:r>
      <w:r w:rsidR="006D10C9">
        <w:rPr>
          <w:color w:val="000000"/>
          <w:lang w:eastAsia="sk-SK" w:bidi="ar-SA"/>
        </w:rPr>
        <w:t xml:space="preserve">ich </w:t>
      </w:r>
      <w:r w:rsidRPr="00D75A0F">
        <w:rPr>
          <w:color w:val="000000"/>
          <w:lang w:eastAsia="sk-SK" w:bidi="ar-SA"/>
        </w:rPr>
        <w:t>inovatívnych foriem</w:t>
      </w:r>
      <w:r w:rsidR="006D10C9">
        <w:rPr>
          <w:color w:val="000000"/>
          <w:lang w:eastAsia="sk-SK" w:bidi="ar-SA"/>
        </w:rPr>
        <w:t xml:space="preserve"> a</w:t>
      </w:r>
      <w:r w:rsidRPr="00D75A0F">
        <w:rPr>
          <w:color w:val="000000"/>
          <w:lang w:eastAsia="sk-SK" w:bidi="ar-SA"/>
        </w:rPr>
        <w:t xml:space="preserve"> aby rodičia, väčšinou matky</w:t>
      </w:r>
      <w:r w:rsidR="006D10C9">
        <w:rPr>
          <w:color w:val="000000"/>
          <w:lang w:eastAsia="sk-SK" w:bidi="ar-SA"/>
        </w:rPr>
        <w:t>,</w:t>
      </w:r>
      <w:r w:rsidRPr="00D75A0F">
        <w:rPr>
          <w:color w:val="000000"/>
          <w:lang w:eastAsia="sk-SK" w:bidi="ar-SA"/>
        </w:rPr>
        <w:t xml:space="preserve"> nemuseli riešiť dilemu práca alebo rodina. Stratégia identifikuje viaceré faktory, ktoré ovplyvňujú a vytvárajú rodové nerovnosti, ako napríklad tradičné rozdelenie rodových rolí, nízku znalosť práva, nedostatok sociálnych služieb atď. Ciele stratégie odrážajú najmarkantnejšie problémy a rodové rozdiely, ktoré dokument pomenováva a navrhuje riešenia.</w:t>
      </w:r>
    </w:p>
    <w:p w:rsidR="00D75A0F" w:rsidRPr="00D75A0F" w:rsidRDefault="00D75A0F" w:rsidP="00D75A0F">
      <w:pPr>
        <w:shd w:val="clear" w:color="auto" w:fill="auto"/>
        <w:spacing w:line="240" w:lineRule="auto"/>
        <w:rPr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t>V roku  2015 sa implementoval</w:t>
      </w:r>
      <w:r w:rsidR="00FE4068">
        <w:rPr>
          <w:color w:val="000000"/>
          <w:lang w:eastAsia="sk-SK" w:bidi="ar-SA"/>
        </w:rPr>
        <w:t xml:space="preserve"> </w:t>
      </w:r>
      <w:r w:rsidRPr="00FE4068">
        <w:rPr>
          <w:i/>
          <w:color w:val="000000"/>
          <w:lang w:eastAsia="sk-SK" w:bidi="ar-SA"/>
        </w:rPr>
        <w:t>Národný akčný plán na prevenciu a elimináciu násilia páchaného na ženách na roky 2014 – 2019</w:t>
      </w:r>
      <w:r w:rsidRPr="00D75A0F">
        <w:rPr>
          <w:color w:val="000000"/>
          <w:lang w:eastAsia="sk-SK" w:bidi="ar-SA"/>
        </w:rPr>
        <w:t xml:space="preserve"> a bol pripravený návrh zákona o prevencii rodovo podmieneného násilia a domáceho násilia a ochrane pred rodovo podmieneným násilím a domácim násilím  a o zmene a doplnení niektorých zákonov (zákon o násilí na ženách), ktorý bol MPSVR SR, ORRRP v roku 2015 predložený na verejnú diskusiu dňa 7.7.2015 v  sále  Kina </w:t>
      </w:r>
      <w:proofErr w:type="spellStart"/>
      <w:r w:rsidRPr="00D75A0F">
        <w:rPr>
          <w:color w:val="000000"/>
          <w:lang w:eastAsia="sk-SK" w:bidi="ar-SA"/>
        </w:rPr>
        <w:t>Lumiére</w:t>
      </w:r>
      <w:proofErr w:type="spellEnd"/>
      <w:r w:rsidRPr="00D75A0F">
        <w:rPr>
          <w:color w:val="000000"/>
          <w:lang w:eastAsia="sk-SK" w:bidi="ar-SA"/>
        </w:rPr>
        <w:t xml:space="preserve"> v Bratislave.</w:t>
      </w:r>
    </w:p>
    <w:p w:rsidR="00D75A0F" w:rsidRPr="00D75A0F" w:rsidRDefault="00FE4068" w:rsidP="00D75A0F">
      <w:pPr>
        <w:shd w:val="clear" w:color="auto" w:fill="auto"/>
        <w:spacing w:line="240" w:lineRule="auto"/>
        <w:rPr>
          <w:color w:val="000000"/>
          <w:lang w:eastAsia="sk-SK" w:bidi="ar-SA"/>
        </w:rPr>
      </w:pPr>
      <w:r>
        <w:rPr>
          <w:color w:val="000000"/>
          <w:lang w:eastAsia="sk-SK" w:bidi="ar-SA"/>
        </w:rPr>
        <w:t xml:space="preserve">ORRRP MPSVR SR </w:t>
      </w:r>
      <w:r w:rsidR="00D75A0F" w:rsidRPr="00D75A0F">
        <w:rPr>
          <w:color w:val="000000"/>
          <w:lang w:eastAsia="sk-SK" w:bidi="ar-SA"/>
        </w:rPr>
        <w:t xml:space="preserve">naďalej v roku 2015 </w:t>
      </w:r>
      <w:r>
        <w:rPr>
          <w:color w:val="000000"/>
          <w:lang w:eastAsia="sk-SK" w:bidi="ar-SA"/>
        </w:rPr>
        <w:t>vytváral podmienky pre</w:t>
      </w:r>
      <w:r w:rsidR="00D75A0F" w:rsidRPr="00D75A0F">
        <w:rPr>
          <w:color w:val="000000"/>
          <w:lang w:eastAsia="sk-SK" w:bidi="ar-SA"/>
        </w:rPr>
        <w:t xml:space="preserve"> ratifikáciu a následnú implementáciu </w:t>
      </w:r>
      <w:r w:rsidR="00D75A0F" w:rsidRPr="00FE4068">
        <w:rPr>
          <w:i/>
          <w:color w:val="000000"/>
          <w:lang w:eastAsia="sk-SK" w:bidi="ar-SA"/>
        </w:rPr>
        <w:t>Dohovoru Rady Európy o predchádzaní  násiliu na ženách a domácemu násiliu a o boji proti nemu</w:t>
      </w:r>
      <w:r w:rsidR="00D75A0F" w:rsidRPr="00D75A0F">
        <w:rPr>
          <w:color w:val="000000"/>
          <w:lang w:eastAsia="sk-SK" w:bidi="ar-SA"/>
        </w:rPr>
        <w:t xml:space="preserve"> (2011)</w:t>
      </w:r>
      <w:r w:rsidR="00BD3F79">
        <w:rPr>
          <w:color w:val="000000"/>
          <w:lang w:eastAsia="sk-SK" w:bidi="ar-SA"/>
        </w:rPr>
        <w:t xml:space="preserve"> (ďalej len „</w:t>
      </w:r>
      <w:r w:rsidR="00FD546F">
        <w:rPr>
          <w:color w:val="000000"/>
          <w:lang w:eastAsia="sk-SK" w:bidi="ar-SA"/>
        </w:rPr>
        <w:t>Istanbulský D</w:t>
      </w:r>
      <w:r w:rsidR="00BD3F79">
        <w:rPr>
          <w:color w:val="000000"/>
          <w:lang w:eastAsia="sk-SK" w:bidi="ar-SA"/>
        </w:rPr>
        <w:t>ohovor“)</w:t>
      </w:r>
      <w:r w:rsidR="00D75A0F" w:rsidRPr="00D75A0F">
        <w:rPr>
          <w:color w:val="000000"/>
          <w:lang w:eastAsia="sk-SK" w:bidi="ar-SA"/>
        </w:rPr>
        <w:t xml:space="preserve">, a to v kontexte </w:t>
      </w:r>
      <w:r w:rsidR="00D75A0F" w:rsidRPr="00FE4068">
        <w:rPr>
          <w:i/>
          <w:color w:val="000000"/>
          <w:lang w:eastAsia="sk-SK" w:bidi="ar-SA"/>
        </w:rPr>
        <w:t>Národného akčného plánu na prevenciu a elimináciu násilia páchaného na ženách na roky 2014 až 2019</w:t>
      </w:r>
      <w:r w:rsidR="00D75A0F" w:rsidRPr="00D75A0F">
        <w:rPr>
          <w:color w:val="000000"/>
          <w:lang w:eastAsia="sk-SK" w:bidi="ar-SA"/>
        </w:rPr>
        <w:t xml:space="preserve"> a dopracovania, prijatia a prezentácie </w:t>
      </w:r>
      <w:r w:rsidR="00D75A0F" w:rsidRPr="00FE4068">
        <w:rPr>
          <w:i/>
          <w:color w:val="000000"/>
          <w:lang w:eastAsia="sk-SK" w:bidi="ar-SA"/>
        </w:rPr>
        <w:t>Celoštátnej stratégie ochrany a podpory ľudských práv v SR</w:t>
      </w:r>
      <w:r w:rsidR="00D75A0F" w:rsidRPr="00D75A0F">
        <w:rPr>
          <w:color w:val="000000"/>
          <w:lang w:eastAsia="sk-SK" w:bidi="ar-SA"/>
        </w:rPr>
        <w:t>. Zároveň v súlade s aktivitami Rady Európy k Istanbulskému dohovoru, ako aj v súčinnosti s predstaviteľmi akademického a MVO sektora</w:t>
      </w:r>
      <w:r w:rsidR="004A42B3">
        <w:rPr>
          <w:color w:val="000000"/>
          <w:lang w:eastAsia="sk-SK" w:bidi="ar-SA"/>
        </w:rPr>
        <w:t xml:space="preserve">, </w:t>
      </w:r>
      <w:r w:rsidR="00D75A0F" w:rsidRPr="00D75A0F">
        <w:rPr>
          <w:color w:val="000000"/>
          <w:lang w:eastAsia="sk-SK" w:bidi="ar-SA"/>
        </w:rPr>
        <w:t xml:space="preserve"> informoval </w:t>
      </w:r>
      <w:r w:rsidR="004A42B3">
        <w:rPr>
          <w:color w:val="000000"/>
          <w:lang w:eastAsia="sk-SK" w:bidi="ar-SA"/>
        </w:rPr>
        <w:t xml:space="preserve">odbor </w:t>
      </w:r>
      <w:r w:rsidR="00D75A0F" w:rsidRPr="00D75A0F">
        <w:rPr>
          <w:color w:val="000000"/>
          <w:lang w:eastAsia="sk-SK" w:bidi="ar-SA"/>
        </w:rPr>
        <w:t>o záväzkoch vyplývajúcich z plnenia Dohovoru, nových trestných činoch, ktoré Dohovor zavádza či o osobitných monitorovacích mechanizmoch zabezpečujúcich jeho efektívne uplatňovanie v praxi.</w:t>
      </w:r>
    </w:p>
    <w:p w:rsidR="00D75A0F" w:rsidRPr="00D75A0F" w:rsidRDefault="00D75A0F" w:rsidP="00D75A0F">
      <w:pPr>
        <w:keepNext/>
        <w:shd w:val="clear" w:color="auto" w:fill="auto"/>
        <w:spacing w:before="240" w:after="60" w:line="240" w:lineRule="auto"/>
        <w:outlineLvl w:val="3"/>
        <w:rPr>
          <w:b/>
          <w:bCs/>
          <w:color w:val="000000"/>
          <w:szCs w:val="28"/>
          <w:lang w:eastAsia="sk-SK" w:bidi="ar-SA"/>
        </w:rPr>
      </w:pPr>
      <w:r w:rsidRPr="00D75A0F">
        <w:rPr>
          <w:b/>
          <w:bCs/>
          <w:color w:val="000000"/>
          <w:szCs w:val="28"/>
          <w:lang w:eastAsia="sk-SK" w:bidi="ar-SA"/>
        </w:rPr>
        <w:t>Nové programové obdobie 2014-2020</w:t>
      </w:r>
    </w:p>
    <w:p w:rsidR="00D75A0F" w:rsidRPr="00D75A0F" w:rsidRDefault="00D75A0F" w:rsidP="00D75A0F">
      <w:pPr>
        <w:shd w:val="clear" w:color="auto" w:fill="auto"/>
        <w:spacing w:after="0" w:line="240" w:lineRule="auto"/>
        <w:rPr>
          <w:color w:val="000000"/>
          <w:lang w:eastAsia="sk-SK" w:bidi="ar-SA"/>
        </w:rPr>
      </w:pPr>
    </w:p>
    <w:p w:rsidR="004A42B3" w:rsidRDefault="00D75A0F" w:rsidP="004A42B3">
      <w:pPr>
        <w:shd w:val="clear" w:color="auto" w:fill="auto"/>
        <w:spacing w:after="120" w:line="240" w:lineRule="auto"/>
        <w:rPr>
          <w:rFonts w:eastAsia="Calibri"/>
          <w:szCs w:val="24"/>
          <w:lang w:bidi="ar-SA"/>
        </w:rPr>
      </w:pPr>
      <w:r w:rsidRPr="00D75A0F">
        <w:rPr>
          <w:rFonts w:eastAsia="Calibri"/>
          <w:szCs w:val="24"/>
          <w:lang w:bidi="ar-SA"/>
        </w:rPr>
        <w:t xml:space="preserve">Významným aspektom pri podpore rodovej rovnosti a rovnosti príležitostí  v roku 2015 boli aktivity </w:t>
      </w:r>
      <w:r w:rsidRPr="00D75A0F">
        <w:rPr>
          <w:rFonts w:eastAsia="Calibri"/>
          <w:b/>
          <w:bCs/>
          <w:szCs w:val="24"/>
          <w:lang w:bidi="ar-SA"/>
        </w:rPr>
        <w:t xml:space="preserve"> programového obdobia 2014-2020 </w:t>
      </w:r>
      <w:r w:rsidRPr="00D75A0F">
        <w:rPr>
          <w:rFonts w:eastAsia="Calibri"/>
          <w:szCs w:val="24"/>
          <w:lang w:bidi="ar-SA"/>
        </w:rPr>
        <w:t xml:space="preserve">pre čerpanie </w:t>
      </w:r>
      <w:r w:rsidR="00E55D18">
        <w:rPr>
          <w:rFonts w:eastAsia="Calibri"/>
          <w:szCs w:val="24"/>
          <w:lang w:bidi="ar-SA"/>
        </w:rPr>
        <w:t>e</w:t>
      </w:r>
      <w:r w:rsidRPr="00D75A0F">
        <w:rPr>
          <w:rFonts w:eastAsia="Calibri"/>
          <w:szCs w:val="24"/>
          <w:lang w:bidi="ar-SA"/>
        </w:rPr>
        <w:t xml:space="preserve">urópskych štrukturálnych a investičných fondov (ďalej len „EŠIF“) vychádzajúce z posilneného dôrazu na uplatňovanie nediskriminácie a rovnosti mužov a žien v </w:t>
      </w:r>
      <w:r w:rsidRPr="004A42B3">
        <w:rPr>
          <w:rFonts w:eastAsia="Calibri"/>
          <w:i/>
          <w:szCs w:val="24"/>
          <w:lang w:bidi="ar-SA"/>
        </w:rPr>
        <w:t>Partnerskej dohode</w:t>
      </w:r>
      <w:r w:rsidRPr="00D75A0F">
        <w:rPr>
          <w:rFonts w:eastAsia="Calibri"/>
          <w:szCs w:val="24"/>
          <w:lang w:bidi="ar-SA"/>
        </w:rPr>
        <w:t xml:space="preserve">, ako aj vo všetkých schválených operačných programoch. </w:t>
      </w:r>
    </w:p>
    <w:p w:rsidR="00D75A0F" w:rsidRPr="00D75A0F" w:rsidRDefault="004A42B3" w:rsidP="004A42B3">
      <w:pPr>
        <w:shd w:val="clear" w:color="auto" w:fill="auto"/>
        <w:spacing w:line="240" w:lineRule="auto"/>
        <w:rPr>
          <w:rFonts w:eastAsia="Calibri"/>
          <w:b/>
          <w:bCs/>
          <w:szCs w:val="24"/>
          <w:lang w:bidi="ar-SA"/>
        </w:rPr>
      </w:pPr>
      <w:r>
        <w:rPr>
          <w:rFonts w:eastAsia="Calibri"/>
          <w:szCs w:val="24"/>
          <w:lang w:bidi="ar-SA"/>
        </w:rPr>
        <w:t>Dôležitú úlohu pre posil</w:t>
      </w:r>
      <w:r w:rsidR="006D10C9">
        <w:rPr>
          <w:rFonts w:eastAsia="Calibri"/>
          <w:szCs w:val="24"/>
          <w:lang w:bidi="ar-SA"/>
        </w:rPr>
        <w:t>n</w:t>
      </w:r>
      <w:r>
        <w:rPr>
          <w:rFonts w:eastAsia="Calibri"/>
          <w:szCs w:val="24"/>
          <w:lang w:bidi="ar-SA"/>
        </w:rPr>
        <w:t>enie agendy rodovej rovnosti zohrala p</w:t>
      </w:r>
      <w:r w:rsidR="00D75A0F" w:rsidRPr="00D75A0F">
        <w:rPr>
          <w:rFonts w:eastAsia="Calibri"/>
          <w:szCs w:val="24"/>
          <w:lang w:bidi="ar-SA"/>
        </w:rPr>
        <w:t xml:space="preserve">ovinnosť uplatňovania tzv. </w:t>
      </w:r>
      <w:proofErr w:type="spellStart"/>
      <w:r w:rsidR="00D75A0F" w:rsidRPr="00D75A0F">
        <w:rPr>
          <w:rFonts w:eastAsia="Calibri"/>
          <w:szCs w:val="24"/>
          <w:lang w:bidi="ar-SA"/>
        </w:rPr>
        <w:t>ex-ante</w:t>
      </w:r>
      <w:proofErr w:type="spellEnd"/>
      <w:r w:rsidR="00D75A0F" w:rsidRPr="00D75A0F">
        <w:rPr>
          <w:rFonts w:eastAsia="Calibri"/>
          <w:szCs w:val="24"/>
          <w:lang w:bidi="ar-SA"/>
        </w:rPr>
        <w:t xml:space="preserve"> podmien</w:t>
      </w:r>
      <w:r>
        <w:rPr>
          <w:rFonts w:eastAsia="Calibri"/>
          <w:szCs w:val="24"/>
          <w:lang w:bidi="ar-SA"/>
        </w:rPr>
        <w:t>o</w:t>
      </w:r>
      <w:r w:rsidR="00D75A0F" w:rsidRPr="00D75A0F">
        <w:rPr>
          <w:rFonts w:eastAsia="Calibri"/>
          <w:szCs w:val="24"/>
          <w:lang w:bidi="ar-SA"/>
        </w:rPr>
        <w:t xml:space="preserve">k „rodová </w:t>
      </w:r>
      <w:r w:rsidR="00D75A0F" w:rsidRPr="004A42B3">
        <w:rPr>
          <w:color w:val="000000"/>
          <w:lang w:eastAsia="sk-SK" w:bidi="ar-SA"/>
        </w:rPr>
        <w:t>rovnosť</w:t>
      </w:r>
      <w:r w:rsidR="006D10C9">
        <w:rPr>
          <w:color w:val="000000"/>
          <w:lang w:eastAsia="sk-SK" w:bidi="ar-SA"/>
        </w:rPr>
        <w:t>“</w:t>
      </w:r>
      <w:r w:rsidR="00D75A0F" w:rsidRPr="00D75A0F">
        <w:rPr>
          <w:rFonts w:eastAsia="Calibri"/>
          <w:szCs w:val="24"/>
          <w:lang w:bidi="ar-SA"/>
        </w:rPr>
        <w:t xml:space="preserve"> a </w:t>
      </w:r>
      <w:r w:rsidR="006D10C9">
        <w:rPr>
          <w:rFonts w:eastAsia="Calibri"/>
          <w:szCs w:val="24"/>
          <w:lang w:bidi="ar-SA"/>
        </w:rPr>
        <w:t>„</w:t>
      </w:r>
      <w:r w:rsidR="00D75A0F" w:rsidRPr="00D75A0F">
        <w:rPr>
          <w:rFonts w:eastAsia="Calibri"/>
          <w:szCs w:val="24"/>
          <w:lang w:bidi="ar-SA"/>
        </w:rPr>
        <w:t>nediskriminácia“, ktor</w:t>
      </w:r>
      <w:r>
        <w:rPr>
          <w:rFonts w:eastAsia="Calibri"/>
          <w:szCs w:val="24"/>
          <w:lang w:bidi="ar-SA"/>
        </w:rPr>
        <w:t>é</w:t>
      </w:r>
      <w:r w:rsidR="00D75A0F" w:rsidRPr="00D75A0F">
        <w:rPr>
          <w:rFonts w:eastAsia="Calibri"/>
          <w:szCs w:val="24"/>
          <w:lang w:bidi="ar-SA"/>
        </w:rPr>
        <w:t xml:space="preserve"> podmieňuj</w:t>
      </w:r>
      <w:r>
        <w:rPr>
          <w:rFonts w:eastAsia="Calibri"/>
          <w:szCs w:val="24"/>
          <w:lang w:bidi="ar-SA"/>
        </w:rPr>
        <w:t>ú</w:t>
      </w:r>
      <w:r w:rsidR="00D75A0F" w:rsidRPr="00D75A0F">
        <w:rPr>
          <w:rFonts w:eastAsia="Calibri"/>
          <w:szCs w:val="24"/>
          <w:lang w:bidi="ar-SA"/>
        </w:rPr>
        <w:t xml:space="preserve"> čerpanie </w:t>
      </w:r>
      <w:r w:rsidR="007A1CAA">
        <w:rPr>
          <w:rFonts w:eastAsia="Calibri"/>
          <w:szCs w:val="24"/>
          <w:lang w:bidi="ar-SA"/>
        </w:rPr>
        <w:t xml:space="preserve">EŠIF </w:t>
      </w:r>
      <w:r w:rsidR="00D75A0F" w:rsidRPr="00D75A0F">
        <w:rPr>
          <w:rFonts w:eastAsia="Calibri"/>
          <w:szCs w:val="24"/>
          <w:lang w:bidi="ar-SA"/>
        </w:rPr>
        <w:t xml:space="preserve"> pre členské štáty vytvorením adekvátneho inštitucionálneho mechanizmu pre uplatňovanie rodovej rovnosti a vzdelávania hlavných aktérov. Odstraňovanie </w:t>
      </w:r>
      <w:r w:rsidR="00D75A0F" w:rsidRPr="00D75A0F">
        <w:rPr>
          <w:rFonts w:eastAsia="Calibri"/>
          <w:szCs w:val="24"/>
          <w:lang w:bidi="ar-SA"/>
        </w:rPr>
        <w:lastRenderedPageBreak/>
        <w:t xml:space="preserve">rodových rozdielov najmä so zameraním na trh práce a vzdelávanie je integrálnou súčasťou nového </w:t>
      </w:r>
      <w:r w:rsidR="00D75A0F" w:rsidRPr="004A42B3">
        <w:rPr>
          <w:rFonts w:eastAsia="Calibri"/>
          <w:bCs/>
          <w:szCs w:val="24"/>
          <w:lang w:bidi="ar-SA"/>
        </w:rPr>
        <w:t xml:space="preserve">operačného programu </w:t>
      </w:r>
      <w:r w:rsidR="00D75A0F" w:rsidRPr="004A42B3">
        <w:rPr>
          <w:rFonts w:eastAsia="Calibri"/>
          <w:bCs/>
          <w:i/>
          <w:szCs w:val="24"/>
          <w:lang w:bidi="ar-SA"/>
        </w:rPr>
        <w:t>Ľudské zdroje</w:t>
      </w:r>
      <w:r w:rsidR="00D75A0F" w:rsidRPr="00D75A0F">
        <w:rPr>
          <w:rFonts w:eastAsia="Calibri"/>
          <w:b/>
          <w:bCs/>
          <w:szCs w:val="24"/>
          <w:lang w:bidi="ar-SA"/>
        </w:rPr>
        <w:t xml:space="preserve">. </w:t>
      </w:r>
    </w:p>
    <w:p w:rsidR="00D75A0F" w:rsidRPr="00D75A0F" w:rsidRDefault="00D75A0F" w:rsidP="00D75A0F">
      <w:pPr>
        <w:shd w:val="clear" w:color="auto" w:fill="auto"/>
        <w:spacing w:after="0" w:line="240" w:lineRule="auto"/>
        <w:rPr>
          <w:rFonts w:eastAsia="Calibri"/>
          <w:szCs w:val="24"/>
          <w:lang w:bidi="ar-SA"/>
        </w:rPr>
      </w:pPr>
      <w:r w:rsidRPr="00D75A0F">
        <w:rPr>
          <w:rFonts w:eastAsia="Calibri"/>
          <w:vanish/>
          <w:szCs w:val="24"/>
          <w:lang w:bidi="ar-SA"/>
        </w:rPr>
        <w:t xml:space="preserve"> edziročné porovnaniekľúčových indikátorov</w:t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vanish/>
          <w:szCs w:val="24"/>
          <w:lang w:bidi="ar-SA"/>
        </w:rPr>
        <w:pgNum/>
      </w:r>
      <w:r w:rsidRPr="00D75A0F">
        <w:rPr>
          <w:rFonts w:eastAsia="Calibri"/>
          <w:szCs w:val="24"/>
          <w:lang w:bidi="ar-SA"/>
        </w:rPr>
        <w:t xml:space="preserve">Hlavné ciele pre </w:t>
      </w:r>
      <w:r w:rsidRPr="00D75A0F">
        <w:rPr>
          <w:rFonts w:eastAsia="Calibri"/>
          <w:b/>
          <w:szCs w:val="24"/>
          <w:lang w:bidi="ar-SA"/>
        </w:rPr>
        <w:t>horizontálny princíp rovnosť medzi mužmi a ženami</w:t>
      </w:r>
      <w:r w:rsidRPr="00D75A0F">
        <w:rPr>
          <w:rFonts w:eastAsia="Calibri"/>
          <w:szCs w:val="24"/>
          <w:lang w:bidi="ar-SA"/>
        </w:rPr>
        <w:t xml:space="preserve"> sú zadefinované v závislosti od operačného programu</w:t>
      </w:r>
      <w:r w:rsidR="004A42B3">
        <w:rPr>
          <w:rFonts w:eastAsia="Calibri"/>
          <w:szCs w:val="24"/>
          <w:lang w:bidi="ar-SA"/>
        </w:rPr>
        <w:t xml:space="preserve"> (ďalej len „OP“)</w:t>
      </w:r>
      <w:r w:rsidRPr="00D75A0F">
        <w:rPr>
          <w:rFonts w:eastAsia="Calibri"/>
          <w:szCs w:val="24"/>
          <w:lang w:bidi="ar-SA"/>
        </w:rPr>
        <w:t xml:space="preserve">. Hlavným cieľom pre programy ESF je zabezpečiť rovnosť mužov a žien na trhu práce a v príprave naň a cieľom pre ostatné programy EŠIF je zníženie horizontálnej a vertikálnej rodovej segregácie v odvetviach hospodárstva. Hlavným cieľom </w:t>
      </w:r>
      <w:r w:rsidRPr="00D75A0F">
        <w:rPr>
          <w:rFonts w:eastAsia="Calibri"/>
          <w:b/>
          <w:szCs w:val="24"/>
          <w:lang w:bidi="ar-SA"/>
        </w:rPr>
        <w:t>horizontálneho princípu nediskriminácia</w:t>
      </w:r>
      <w:r w:rsidRPr="00D75A0F">
        <w:rPr>
          <w:rFonts w:eastAsia="Calibri"/>
          <w:szCs w:val="24"/>
          <w:lang w:bidi="ar-SA"/>
        </w:rPr>
        <w:t xml:space="preserve"> pre programy ESF je zabezpečiť rovnosť príležitostí na trhu práce a v príprave naň a pre ostatné programy EŠIF je zabezpečiť rovnosť príležitostí v prístupe a využívaní infraštruktúry a služieb. Za účelom predchádzania diskriminácie, podpory prístupnosti a rovnosti mužov a žien sa budú tieto princípy uplatňovať vo všetkých OP, a to prostredníctvom zavádzania vyrovnávacích opatrení a aktivít cielených na podporu znevýhodnených skupín pri zohľadnení špecifík</w:t>
      </w:r>
      <w:r w:rsidR="00E21686">
        <w:rPr>
          <w:rFonts w:eastAsia="Calibri"/>
          <w:szCs w:val="24"/>
          <w:lang w:bidi="ar-SA"/>
        </w:rPr>
        <w:t xml:space="preserve"> </w:t>
      </w:r>
      <w:r w:rsidR="00E21686" w:rsidRPr="00E21686">
        <w:rPr>
          <w:rFonts w:eastAsia="Calibri"/>
          <w:szCs w:val="24"/>
          <w:lang w:bidi="ar-SA"/>
        </w:rPr>
        <w:t>Európskeho námorného a rybárskeho fondu (ENRF)</w:t>
      </w:r>
      <w:r w:rsidRPr="00D75A0F">
        <w:rPr>
          <w:rFonts w:eastAsia="Calibri"/>
          <w:szCs w:val="24"/>
          <w:lang w:bidi="ar-SA"/>
        </w:rPr>
        <w:t>. Popis aktivít zameraných na zavádzanie dočasných vyrovnávacích opatrení, dodržiavanie zásad nediskriminácie, podpory prístupnosti a rovnosti medzi mužmi a ženami budú povinnou prílohou žiadosti o finančný príspevok. Pre identifikáciu prioritných oblastí a cieľov na uplatňovanie princípu predchádzania diskriminácie, podpory prístupnosti a rodovej rovnosti je základným rámcom národný strategický dokument, prostredníctvom ktorého sa zabezpečí jeho aplikácia v OP v rámci EŠIF. Pre účinné uplatňovanie horizontálneho princípu rodová rovnosť, nediskriminácia a prístupnosť bude v hodnotiacom a výberovom procese žiadostí o finančný príspevok stanovené diskvalifikačné kritérium v rámci prioritných osí OP. Zároveň bude povinnou prílohou o príspevok z EŠIF aj povolenie v prípadoch činností, na ktoré sa povinnosť jeho vydania vzťahuje.</w:t>
      </w:r>
    </w:p>
    <w:p w:rsidR="00D75A0F" w:rsidRPr="00D75A0F" w:rsidRDefault="00D75A0F" w:rsidP="00D75A0F">
      <w:pPr>
        <w:shd w:val="clear" w:color="auto" w:fill="auto"/>
        <w:spacing w:after="0" w:line="240" w:lineRule="auto"/>
        <w:rPr>
          <w:rFonts w:eastAsia="Calibri"/>
          <w:szCs w:val="24"/>
          <w:lang w:bidi="ar-SA"/>
        </w:rPr>
      </w:pPr>
    </w:p>
    <w:p w:rsidR="00D75A0F" w:rsidRPr="00D75A0F" w:rsidRDefault="00D75A0F" w:rsidP="00D75A0F">
      <w:pPr>
        <w:shd w:val="clear" w:color="auto" w:fill="auto"/>
        <w:spacing w:after="0" w:line="240" w:lineRule="auto"/>
        <w:rPr>
          <w:rFonts w:eastAsia="Calibri"/>
          <w:i/>
          <w:iCs/>
          <w:szCs w:val="24"/>
          <w:lang w:bidi="ar-SA"/>
        </w:rPr>
      </w:pPr>
      <w:r w:rsidRPr="00D75A0F">
        <w:rPr>
          <w:rFonts w:eastAsia="Calibri"/>
          <w:szCs w:val="24"/>
          <w:lang w:bidi="ar-SA"/>
        </w:rPr>
        <w:t xml:space="preserve">Proces monitorovania plnenia horizontálnych princípov bude na projektovej úrovni sledovaný prostredníctvom monitorovacích správ, ktorých súčasťou bude samostatný výstup obsahujúci informácie o horizontálnych princípoch (t. j. popisom vykonaných aktivít, ich výsledkov a vyhodnotením ich príspevku k dosahovaniu stanovených cieľov horizontálnych princípov), ako aj kontrolou na mieste realizácie projektov a následne hodnotením príspevku k cieľom horizontálnych princípov. Analytickú, hodnotiacu, strategickú a legislatívnu činnosť pre uplatňovanie horizontálnych princípov podpory rovnosti mužov a žien, nediskriminácia a prístupnosť zabezpečuje MPSVR SR, ktoré je zodpovedné za definovanie podmienok poskytnutia pomoci súvisiacej so zabezpečením aplikovania týchto horizontálnych princípov a spôsobu ich overovania, </w:t>
      </w:r>
      <w:r w:rsidR="004A42B3">
        <w:rPr>
          <w:rFonts w:eastAsia="Calibri"/>
          <w:szCs w:val="24"/>
          <w:lang w:bidi="ar-SA"/>
        </w:rPr>
        <w:t xml:space="preserve">a to </w:t>
      </w:r>
      <w:r w:rsidRPr="00D75A0F">
        <w:rPr>
          <w:rFonts w:eastAsia="Calibri"/>
          <w:szCs w:val="24"/>
          <w:lang w:bidi="ar-SA"/>
        </w:rPr>
        <w:t xml:space="preserve">prostredníctvom </w:t>
      </w:r>
      <w:r w:rsidR="004A42B3">
        <w:rPr>
          <w:rFonts w:eastAsia="Calibri"/>
          <w:szCs w:val="24"/>
          <w:lang w:bidi="ar-SA"/>
        </w:rPr>
        <w:t>ORRRP MPSVR SR</w:t>
      </w:r>
      <w:r w:rsidRPr="00D75A0F">
        <w:rPr>
          <w:rFonts w:eastAsia="Calibri"/>
          <w:szCs w:val="24"/>
          <w:lang w:bidi="ar-SA"/>
        </w:rPr>
        <w:t>.</w:t>
      </w:r>
      <w:r w:rsidRPr="00D75A0F">
        <w:rPr>
          <w:rFonts w:eastAsia="Calibri"/>
          <w:i/>
          <w:iCs/>
          <w:szCs w:val="24"/>
          <w:lang w:bidi="ar-SA"/>
        </w:rPr>
        <w:t xml:space="preserve"> </w:t>
      </w:r>
    </w:p>
    <w:p w:rsidR="00D75A0F" w:rsidRPr="00D75A0F" w:rsidRDefault="00D75A0F" w:rsidP="00D75A0F">
      <w:pPr>
        <w:shd w:val="clear" w:color="auto" w:fill="auto"/>
        <w:spacing w:line="240" w:lineRule="auto"/>
        <w:rPr>
          <w:color w:val="000000"/>
          <w:lang w:eastAsia="sk-SK" w:bidi="ar-SA"/>
        </w:rPr>
      </w:pPr>
    </w:p>
    <w:p w:rsidR="00B67898" w:rsidRDefault="00B67898">
      <w:pPr>
        <w:shd w:val="clear" w:color="auto" w:fill="auto"/>
        <w:spacing w:after="0" w:line="240" w:lineRule="auto"/>
        <w:jc w:val="left"/>
        <w:rPr>
          <w:caps/>
          <w:color w:val="000000"/>
          <w:sz w:val="28"/>
          <w:szCs w:val="24"/>
          <w:lang w:eastAsia="sk-SK" w:bidi="ar-SA"/>
        </w:rPr>
      </w:pPr>
      <w:bookmarkStart w:id="2" w:name="_Toc451508602"/>
      <w:r>
        <w:rPr>
          <w:lang w:eastAsia="sk-SK" w:bidi="ar-SA"/>
        </w:rPr>
        <w:br w:type="page"/>
      </w:r>
    </w:p>
    <w:p w:rsidR="00D75A0F" w:rsidRPr="00D75A0F" w:rsidRDefault="00D75A0F" w:rsidP="00261666">
      <w:pPr>
        <w:pStyle w:val="Nadpis3"/>
        <w:rPr>
          <w:lang w:eastAsia="sk-SK" w:bidi="ar-SA"/>
        </w:rPr>
      </w:pPr>
      <w:r w:rsidRPr="00D75A0F">
        <w:rPr>
          <w:lang w:eastAsia="sk-SK" w:bidi="ar-SA"/>
        </w:rPr>
        <w:lastRenderedPageBreak/>
        <w:t xml:space="preserve">Projekty </w:t>
      </w:r>
      <w:r w:rsidR="00261666">
        <w:rPr>
          <w:lang w:eastAsia="sk-SK" w:bidi="ar-SA"/>
        </w:rPr>
        <w:t>V ROKU 2015</w:t>
      </w:r>
      <w:bookmarkEnd w:id="2"/>
    </w:p>
    <w:p w:rsidR="00D75A0F" w:rsidRPr="00D75A0F" w:rsidRDefault="00D75A0F" w:rsidP="00D75A0F">
      <w:pPr>
        <w:shd w:val="clear" w:color="auto" w:fill="auto"/>
        <w:spacing w:line="240" w:lineRule="auto"/>
        <w:rPr>
          <w:b/>
          <w:color w:val="000000"/>
          <w:lang w:eastAsia="sk-SK" w:bidi="ar-SA"/>
        </w:rPr>
      </w:pPr>
      <w:proofErr w:type="spellStart"/>
      <w:r w:rsidRPr="00D75A0F">
        <w:rPr>
          <w:b/>
          <w:color w:val="000000"/>
          <w:lang w:eastAsia="sk-SK" w:bidi="ar-SA"/>
        </w:rPr>
        <w:t>Progress</w:t>
      </w:r>
      <w:proofErr w:type="spellEnd"/>
    </w:p>
    <w:p w:rsidR="00D75A0F" w:rsidRPr="00D75A0F" w:rsidRDefault="00D75A0F" w:rsidP="00D75A0F">
      <w:pPr>
        <w:shd w:val="clear" w:color="auto" w:fill="auto"/>
        <w:spacing w:line="240" w:lineRule="auto"/>
        <w:rPr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t>Ministerstvo práce, sociálnych vecí a rodiny SR v priebehu roka 2015 aktívnejšie podporovalo vyvážené zastúpenie žien a mužov v</w:t>
      </w:r>
      <w:r w:rsidR="004A42B3">
        <w:rPr>
          <w:color w:val="000000"/>
          <w:lang w:eastAsia="sk-SK" w:bidi="ar-SA"/>
        </w:rPr>
        <w:t> </w:t>
      </w:r>
      <w:r w:rsidRPr="00D75A0F">
        <w:rPr>
          <w:color w:val="000000"/>
          <w:lang w:eastAsia="sk-SK" w:bidi="ar-SA"/>
        </w:rPr>
        <w:t>rozhodovaní</w:t>
      </w:r>
      <w:r w:rsidR="004A42B3">
        <w:rPr>
          <w:color w:val="000000"/>
          <w:lang w:eastAsia="sk-SK" w:bidi="ar-SA"/>
        </w:rPr>
        <w:t xml:space="preserve">, a to </w:t>
      </w:r>
      <w:r w:rsidRPr="00D75A0F">
        <w:rPr>
          <w:color w:val="000000"/>
          <w:lang w:eastAsia="sk-SK" w:bidi="ar-SA"/>
        </w:rPr>
        <w:t>prostredníctvom rovnomenného projektu “</w:t>
      </w:r>
      <w:r w:rsidRPr="004A42B3">
        <w:rPr>
          <w:i/>
          <w:color w:val="000000"/>
          <w:lang w:eastAsia="sk-SK" w:bidi="ar-SA"/>
        </w:rPr>
        <w:t>Podpora vyváženého zastúpenia žien a mužov vo vedúcich pozíciách v organizáciách verejnej a súkromnej sféry</w:t>
      </w:r>
      <w:r w:rsidRPr="00D75A0F">
        <w:rPr>
          <w:color w:val="000000"/>
          <w:lang w:eastAsia="sk-SK" w:bidi="ar-SA"/>
        </w:rPr>
        <w:t xml:space="preserve">“ financovaného z dotačnej schémy Európskej komisie </w:t>
      </w:r>
      <w:proofErr w:type="spellStart"/>
      <w:r w:rsidRPr="00D75A0F">
        <w:rPr>
          <w:color w:val="000000"/>
          <w:lang w:eastAsia="sk-SK" w:bidi="ar-SA"/>
        </w:rPr>
        <w:t>Progress</w:t>
      </w:r>
      <w:proofErr w:type="spellEnd"/>
      <w:r w:rsidRPr="00D75A0F">
        <w:rPr>
          <w:color w:val="000000"/>
          <w:lang w:eastAsia="sk-SK" w:bidi="ar-SA"/>
        </w:rPr>
        <w:t xml:space="preserve">. </w:t>
      </w:r>
      <w:r w:rsidR="004A42B3">
        <w:rPr>
          <w:color w:val="000000"/>
          <w:lang w:eastAsia="sk-SK" w:bidi="ar-SA"/>
        </w:rPr>
        <w:t>ORRRP MPSVR SR</w:t>
      </w:r>
      <w:r w:rsidRPr="00D75A0F">
        <w:rPr>
          <w:color w:val="000000"/>
          <w:lang w:eastAsia="sk-SK" w:bidi="ar-SA"/>
        </w:rPr>
        <w:t xml:space="preserve"> aj prostredníctvom projektu reaguje na existujúce </w:t>
      </w:r>
      <w:r w:rsidR="004A42B3">
        <w:rPr>
          <w:color w:val="000000"/>
          <w:lang w:eastAsia="sk-SK" w:bidi="ar-SA"/>
        </w:rPr>
        <w:t xml:space="preserve">rodové </w:t>
      </w:r>
      <w:r w:rsidRPr="00D75A0F">
        <w:rPr>
          <w:color w:val="000000"/>
          <w:lang w:eastAsia="sk-SK" w:bidi="ar-SA"/>
        </w:rPr>
        <w:t>nerovnosti v zastúpení na týchto pozíciách, pretrvávajúcich aj napriek tomu, že podiel žien absolventiek vysokých škôl je v súčasnosti vyšší než 50 percent.</w:t>
      </w:r>
    </w:p>
    <w:p w:rsidR="00D75A0F" w:rsidRPr="00D75A0F" w:rsidRDefault="00D75A0F" w:rsidP="002B3080">
      <w:pPr>
        <w:shd w:val="clear" w:color="auto" w:fill="auto"/>
        <w:spacing w:after="120" w:line="240" w:lineRule="auto"/>
        <w:rPr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t>Podľa posledných údajov zverejnených Európskou komisiou v rámci pravidelného prieskumu “</w:t>
      </w:r>
      <w:r w:rsidRPr="004A42B3">
        <w:rPr>
          <w:i/>
          <w:color w:val="000000"/>
          <w:lang w:eastAsia="sk-SK" w:bidi="ar-SA"/>
        </w:rPr>
        <w:t>Ženy a muži v rozhodovaní</w:t>
      </w:r>
      <w:r w:rsidRPr="00D75A0F">
        <w:rPr>
          <w:color w:val="000000"/>
          <w:lang w:eastAsia="sk-SK" w:bidi="ar-SA"/>
        </w:rPr>
        <w:t>“ tvoria ženy v SR v dozorných radách len 18</w:t>
      </w:r>
      <w:r w:rsidR="005C794F">
        <w:rPr>
          <w:color w:val="000000"/>
          <w:lang w:eastAsia="sk-SK" w:bidi="ar-SA"/>
        </w:rPr>
        <w:t xml:space="preserve"> %</w:t>
      </w:r>
      <w:r w:rsidRPr="00D75A0F">
        <w:rPr>
          <w:color w:val="000000"/>
          <w:lang w:eastAsia="sk-SK" w:bidi="ar-SA"/>
        </w:rPr>
        <w:t>. Ešte nižšie je ich zastúpenie vo výkonných pozíciách, kde tvoria 13</w:t>
      </w:r>
      <w:r w:rsidR="005C794F">
        <w:rPr>
          <w:color w:val="000000"/>
          <w:lang w:eastAsia="sk-SK" w:bidi="ar-SA"/>
        </w:rPr>
        <w:t xml:space="preserve"> %</w:t>
      </w:r>
      <w:r w:rsidRPr="00D75A0F">
        <w:rPr>
          <w:color w:val="000000"/>
          <w:lang w:eastAsia="sk-SK" w:bidi="ar-SA"/>
        </w:rPr>
        <w:t xml:space="preserve"> podiel v predstavenstve; na najvyššej pozícii max. 10</w:t>
      </w:r>
      <w:r w:rsidR="005C794F">
        <w:rPr>
          <w:color w:val="000000"/>
          <w:lang w:eastAsia="sk-SK" w:bidi="ar-SA"/>
        </w:rPr>
        <w:t xml:space="preserve"> %</w:t>
      </w:r>
      <w:r w:rsidRPr="00D75A0F">
        <w:rPr>
          <w:color w:val="000000"/>
          <w:lang w:eastAsia="sk-SK" w:bidi="ar-SA"/>
        </w:rPr>
        <w:t xml:space="preserve">. Cieľom projektu, ktorý v súčasnosti úspešne implementuje aj susedné Rakúsko a Česká republika, je preto aktívna podpora vyváženejšieho zastúpenia žien a mužov vo vedení, a to prostredníctvom viacerých aktivít. Tieto majú upozorniť a zvýšiť citlivosť verejnosti a najmä zamestnávateľov na pretrvávajúce nerovnosti a poukázať na pozitívny vplyv vyrovnanejšieho zastúpenia oboch pohlaví vo vedení, v neposlednom rade tiež motivovať ženy k sieťovaniu a </w:t>
      </w:r>
      <w:proofErr w:type="spellStart"/>
      <w:r w:rsidRPr="00D75A0F">
        <w:rPr>
          <w:color w:val="000000"/>
          <w:lang w:eastAsia="sk-SK" w:bidi="ar-SA"/>
        </w:rPr>
        <w:t>zdieľaniu</w:t>
      </w:r>
      <w:proofErr w:type="spellEnd"/>
      <w:r w:rsidRPr="00D75A0F">
        <w:rPr>
          <w:color w:val="000000"/>
          <w:lang w:eastAsia="sk-SK" w:bidi="ar-SA"/>
        </w:rPr>
        <w:t xml:space="preserve"> skúseností medzi sebou. Medzi špecifické ciele projektu patrí:</w:t>
      </w:r>
    </w:p>
    <w:p w:rsidR="00D75A0F" w:rsidRPr="00D75A0F" w:rsidRDefault="00D75A0F" w:rsidP="002B3080">
      <w:pPr>
        <w:numPr>
          <w:ilvl w:val="0"/>
          <w:numId w:val="35"/>
        </w:numPr>
        <w:shd w:val="clear" w:color="auto" w:fill="auto"/>
        <w:spacing w:after="120" w:line="240" w:lineRule="auto"/>
        <w:rPr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t>Získanie informácií a identifikovanie prekážok a dobrej praxe z hľadiska uplatnenia žien v rozhodovacích pozíciách;</w:t>
      </w:r>
    </w:p>
    <w:p w:rsidR="00D75A0F" w:rsidRPr="00D75A0F" w:rsidRDefault="00D75A0F" w:rsidP="002B3080">
      <w:pPr>
        <w:numPr>
          <w:ilvl w:val="0"/>
          <w:numId w:val="35"/>
        </w:numPr>
        <w:shd w:val="clear" w:color="auto" w:fill="auto"/>
        <w:spacing w:after="120" w:line="240" w:lineRule="auto"/>
        <w:rPr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t>Zvyšovanie povedomia ohľadom súčasného stavu v problematike a zároveň nutnosti podpory vyrovnaného zastúpenia žien a mužov v rozhodovacích pozíciách;</w:t>
      </w:r>
    </w:p>
    <w:p w:rsidR="00D75A0F" w:rsidRPr="00D75A0F" w:rsidRDefault="00D75A0F" w:rsidP="002B3080">
      <w:pPr>
        <w:numPr>
          <w:ilvl w:val="0"/>
          <w:numId w:val="35"/>
        </w:numPr>
        <w:shd w:val="clear" w:color="auto" w:fill="auto"/>
        <w:spacing w:after="120" w:line="240" w:lineRule="auto"/>
        <w:rPr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t>Vytvorenie nástrojov pre zvýšenie rodovej rovnosti v rozhodovacích pozíciách na rôznych úrovniach hierarchie v súkromných a verejných organizáciách.</w:t>
      </w:r>
    </w:p>
    <w:p w:rsidR="00D75A0F" w:rsidRPr="00D75A0F" w:rsidRDefault="00D75A0F" w:rsidP="00D75A0F">
      <w:pPr>
        <w:shd w:val="clear" w:color="auto" w:fill="auto"/>
        <w:spacing w:line="240" w:lineRule="auto"/>
        <w:rPr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t xml:space="preserve">V zmysle dosiahnutia uvedených cieľov </w:t>
      </w:r>
      <w:r w:rsidR="004A42B3">
        <w:rPr>
          <w:color w:val="000000"/>
          <w:lang w:eastAsia="sk-SK" w:bidi="ar-SA"/>
        </w:rPr>
        <w:t xml:space="preserve">MPSVR SR </w:t>
      </w:r>
      <w:r w:rsidRPr="00D75A0F">
        <w:rPr>
          <w:color w:val="000000"/>
          <w:lang w:eastAsia="sk-SK" w:bidi="ar-SA"/>
        </w:rPr>
        <w:t>podpori</w:t>
      </w:r>
      <w:r w:rsidR="004A42B3">
        <w:rPr>
          <w:color w:val="000000"/>
          <w:lang w:eastAsia="sk-SK" w:bidi="ar-SA"/>
        </w:rPr>
        <w:t>lo</w:t>
      </w:r>
      <w:r w:rsidRPr="00D75A0F">
        <w:rPr>
          <w:color w:val="000000"/>
          <w:lang w:eastAsia="sk-SK" w:bidi="ar-SA"/>
        </w:rPr>
        <w:t xml:space="preserve"> výmenu skúseností zamestnávateľov a iných kľúčových aktérov prostredníctvom troch konf</w:t>
      </w:r>
      <w:r w:rsidR="004A42B3">
        <w:rPr>
          <w:color w:val="000000"/>
          <w:lang w:eastAsia="sk-SK" w:bidi="ar-SA"/>
        </w:rPr>
        <w:t>erencií s medzinárodnou účasťou</w:t>
      </w:r>
      <w:r w:rsidRPr="00D75A0F">
        <w:rPr>
          <w:color w:val="000000"/>
          <w:lang w:eastAsia="sk-SK" w:bidi="ar-SA"/>
        </w:rPr>
        <w:t>. Zamestnávateľov ďalej motiv</w:t>
      </w:r>
      <w:r w:rsidR="002B3080">
        <w:rPr>
          <w:color w:val="000000"/>
          <w:lang w:eastAsia="sk-SK" w:bidi="ar-SA"/>
        </w:rPr>
        <w:t>uje</w:t>
      </w:r>
      <w:r w:rsidRPr="00D75A0F">
        <w:rPr>
          <w:color w:val="000000"/>
          <w:lang w:eastAsia="sk-SK" w:bidi="ar-SA"/>
        </w:rPr>
        <w:t xml:space="preserve"> aj v rámci súťaže “</w:t>
      </w:r>
      <w:r w:rsidRPr="002B3080">
        <w:rPr>
          <w:i/>
          <w:color w:val="000000"/>
          <w:lang w:eastAsia="sk-SK" w:bidi="ar-SA"/>
        </w:rPr>
        <w:t>Zamestnávateľ ústretový k rodine, rodovej rovnosti a rovnosti príležitostí</w:t>
      </w:r>
      <w:r w:rsidRPr="00D75A0F">
        <w:rPr>
          <w:color w:val="000000"/>
          <w:lang w:eastAsia="sk-SK" w:bidi="ar-SA"/>
        </w:rPr>
        <w:t>“,</w:t>
      </w:r>
      <w:r w:rsidR="002B3080">
        <w:rPr>
          <w:color w:val="000000"/>
          <w:lang w:eastAsia="sk-SK" w:bidi="ar-SA"/>
        </w:rPr>
        <w:t xml:space="preserve"> ktorá sa realizuje pravidelne. Za rok 2015 sú</w:t>
      </w:r>
      <w:r w:rsidRPr="00D75A0F">
        <w:rPr>
          <w:color w:val="000000"/>
          <w:lang w:eastAsia="sk-SK" w:bidi="ar-SA"/>
        </w:rPr>
        <w:t xml:space="preserve"> zamestnávatelia hodnotení aj z hľadiska podpory vyváženejšieho zastúpenia žien a mužov v rozhodovacích pozíciách vo svojich spoločnostiach.</w:t>
      </w:r>
    </w:p>
    <w:p w:rsidR="00D75A0F" w:rsidRPr="00D75A0F" w:rsidRDefault="00D75A0F" w:rsidP="00D75A0F">
      <w:pPr>
        <w:shd w:val="clear" w:color="auto" w:fill="auto"/>
        <w:spacing w:line="240" w:lineRule="auto"/>
        <w:rPr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t xml:space="preserve">Jedným z výstupov projektu je aj príručka pre zamestnávateľské organizácie, ktorú vypracuje </w:t>
      </w:r>
      <w:r w:rsidRPr="002B3080">
        <w:rPr>
          <w:i/>
          <w:color w:val="000000"/>
          <w:lang w:eastAsia="sk-SK" w:bidi="ar-SA"/>
        </w:rPr>
        <w:t>Inštitút pre výskum práce a</w:t>
      </w:r>
      <w:r w:rsidR="002B3080">
        <w:rPr>
          <w:i/>
          <w:color w:val="000000"/>
          <w:lang w:eastAsia="sk-SK" w:bidi="ar-SA"/>
        </w:rPr>
        <w:t> </w:t>
      </w:r>
      <w:r w:rsidRPr="002B3080">
        <w:rPr>
          <w:i/>
          <w:color w:val="000000"/>
          <w:lang w:eastAsia="sk-SK" w:bidi="ar-SA"/>
        </w:rPr>
        <w:t>rodiny</w:t>
      </w:r>
      <w:r w:rsidR="002B3080">
        <w:rPr>
          <w:color w:val="000000"/>
          <w:lang w:eastAsia="sk-SK" w:bidi="ar-SA"/>
        </w:rPr>
        <w:t xml:space="preserve"> (ďalej len „IVPR“)</w:t>
      </w:r>
      <w:r w:rsidRPr="00D75A0F">
        <w:rPr>
          <w:color w:val="000000"/>
          <w:lang w:eastAsia="sk-SK" w:bidi="ar-SA"/>
        </w:rPr>
        <w:t>, zameraná na zvýšenie informovanosti a vytváranie podmienok pre vyvážené zastúpenie žien a mužov v organizáciách. Príručka umožní každému zamestnávateľovi so záujmom o túto problematiku, aby vo svojej organizácii riešil/a otázky rovnosti príležitostí a spravodlivejšieho ohodnocovania práce žien a mužov vo svojej organizácii.</w:t>
      </w:r>
    </w:p>
    <w:p w:rsidR="00D75A0F" w:rsidRPr="00D75A0F" w:rsidRDefault="00D75A0F" w:rsidP="00D75A0F">
      <w:pPr>
        <w:shd w:val="clear" w:color="auto" w:fill="auto"/>
        <w:spacing w:line="240" w:lineRule="auto"/>
        <w:rPr>
          <w:rFonts w:eastAsia="Calibri"/>
          <w:color w:val="000000"/>
          <w:lang w:bidi="ar-SA"/>
        </w:rPr>
      </w:pPr>
      <w:r w:rsidRPr="00D75A0F">
        <w:rPr>
          <w:rFonts w:eastAsia="Calibri"/>
          <w:color w:val="000000"/>
          <w:u w:val="single"/>
          <w:lang w:bidi="ar-SA"/>
        </w:rPr>
        <w:lastRenderedPageBreak/>
        <w:t>Regionálna konferencia</w:t>
      </w:r>
      <w:r w:rsidR="002B3080">
        <w:rPr>
          <w:rFonts w:eastAsia="Calibri"/>
          <w:color w:val="000000"/>
          <w:u w:val="single"/>
          <w:lang w:bidi="ar-SA"/>
        </w:rPr>
        <w:t xml:space="preserve"> v Košiciach</w:t>
      </w:r>
      <w:r w:rsidRPr="00D75A0F">
        <w:rPr>
          <w:rFonts w:eastAsia="Calibri"/>
          <w:color w:val="000000"/>
          <w:u w:val="single"/>
          <w:lang w:bidi="ar-SA"/>
        </w:rPr>
        <w:t>:</w:t>
      </w:r>
      <w:r w:rsidR="002B3080">
        <w:rPr>
          <w:rFonts w:eastAsia="Calibri"/>
          <w:color w:val="000000"/>
          <w:lang w:bidi="ar-SA"/>
        </w:rPr>
        <w:t xml:space="preserve"> C</w:t>
      </w:r>
      <w:r w:rsidRPr="00D75A0F">
        <w:rPr>
          <w:rFonts w:eastAsia="Calibri"/>
          <w:color w:val="000000"/>
          <w:lang w:bidi="ar-SA"/>
        </w:rPr>
        <w:t>ieľom konferencie „</w:t>
      </w:r>
      <w:r w:rsidRPr="002B3080">
        <w:rPr>
          <w:rFonts w:eastAsia="Calibri"/>
          <w:i/>
          <w:color w:val="000000"/>
          <w:lang w:bidi="ar-SA"/>
        </w:rPr>
        <w:t>Výmena skúseností a osvedčených postupov v podpore žien vo vedúcich pozíciách organizácie</w:t>
      </w:r>
      <w:r w:rsidRPr="00D75A0F">
        <w:rPr>
          <w:rFonts w:eastAsia="Calibri"/>
          <w:color w:val="000000"/>
          <w:lang w:bidi="ar-SA"/>
        </w:rPr>
        <w:t>“</w:t>
      </w:r>
      <w:r w:rsidR="002B3080">
        <w:rPr>
          <w:rFonts w:eastAsia="Calibri"/>
          <w:color w:val="000000"/>
          <w:lang w:bidi="ar-SA"/>
        </w:rPr>
        <w:t>, ktorá sa uskutočnila 2. decembra 2015,</w:t>
      </w:r>
      <w:r w:rsidRPr="00D75A0F">
        <w:rPr>
          <w:rFonts w:eastAsia="Calibri"/>
          <w:color w:val="000000"/>
          <w:lang w:bidi="ar-SA"/>
        </w:rPr>
        <w:t xml:space="preserve">  bola podpora uplatňovania žien v riadiacich pozíciách, zdieľanie skúseností, informovanie o výhodách, nástrojoch a osvedčených postupoch používaných v štátnych inštitúciách, súkromných firmách aj mimovládnych organizáciách, a</w:t>
      </w:r>
      <w:r w:rsidR="006D10C9">
        <w:rPr>
          <w:rFonts w:eastAsia="Calibri"/>
          <w:color w:val="000000"/>
          <w:lang w:bidi="ar-SA"/>
        </w:rPr>
        <w:t>ko aj</w:t>
      </w:r>
      <w:r w:rsidRPr="00D75A0F">
        <w:rPr>
          <w:rFonts w:eastAsia="Calibri"/>
          <w:color w:val="000000"/>
          <w:lang w:bidi="ar-SA"/>
        </w:rPr>
        <w:t xml:space="preserve"> prínos nových podnetov na konkrétne aktivity pre efektívnejšie zapojenie žien do riadenia hospodárskeho života. V</w:t>
      </w:r>
      <w:r w:rsidR="002B3080">
        <w:rPr>
          <w:rFonts w:eastAsia="Calibri"/>
          <w:color w:val="000000"/>
          <w:lang w:bidi="ar-SA"/>
        </w:rPr>
        <w:t xml:space="preserve"> </w:t>
      </w:r>
      <w:r w:rsidRPr="00D75A0F">
        <w:rPr>
          <w:rFonts w:eastAsia="Calibri"/>
          <w:color w:val="000000"/>
          <w:lang w:bidi="ar-SA"/>
        </w:rPr>
        <w:t>rámci  panelov</w:t>
      </w:r>
      <w:r w:rsidR="002B3080">
        <w:rPr>
          <w:rFonts w:eastAsia="Calibri"/>
          <w:color w:val="000000"/>
          <w:lang w:bidi="ar-SA"/>
        </w:rPr>
        <w:t>ej</w:t>
      </w:r>
      <w:r w:rsidRPr="00D75A0F">
        <w:rPr>
          <w:rFonts w:eastAsia="Calibri"/>
          <w:color w:val="000000"/>
          <w:lang w:bidi="ar-SA"/>
        </w:rPr>
        <w:t xml:space="preserve"> diskusia </w:t>
      </w:r>
      <w:r w:rsidR="002B3080">
        <w:rPr>
          <w:rFonts w:eastAsia="Calibri"/>
          <w:color w:val="000000"/>
          <w:lang w:bidi="ar-SA"/>
        </w:rPr>
        <w:t xml:space="preserve">na tému </w:t>
      </w:r>
      <w:r w:rsidRPr="00D75A0F">
        <w:rPr>
          <w:rFonts w:eastAsia="Calibri"/>
          <w:color w:val="000000"/>
          <w:lang w:bidi="ar-SA"/>
        </w:rPr>
        <w:t>„</w:t>
      </w:r>
      <w:r w:rsidRPr="002B3080">
        <w:rPr>
          <w:rFonts w:eastAsia="Calibri"/>
          <w:i/>
          <w:color w:val="000000"/>
          <w:lang w:bidi="ar-SA"/>
        </w:rPr>
        <w:t xml:space="preserve">Praktické skúsenosti pri presadzovaní sa žien do </w:t>
      </w:r>
      <w:proofErr w:type="spellStart"/>
      <w:r w:rsidRPr="002B3080">
        <w:rPr>
          <w:rFonts w:eastAsia="Calibri"/>
          <w:i/>
          <w:color w:val="000000"/>
          <w:lang w:bidi="ar-SA"/>
        </w:rPr>
        <w:t>líderských</w:t>
      </w:r>
      <w:proofErr w:type="spellEnd"/>
      <w:r w:rsidRPr="002B3080">
        <w:rPr>
          <w:rFonts w:eastAsia="Calibri"/>
          <w:i/>
          <w:color w:val="000000"/>
          <w:lang w:bidi="ar-SA"/>
        </w:rPr>
        <w:t xml:space="preserve"> pozícií</w:t>
      </w:r>
      <w:r w:rsidRPr="00D75A0F">
        <w:rPr>
          <w:rFonts w:eastAsia="Calibri"/>
          <w:color w:val="000000"/>
          <w:lang w:bidi="ar-SA"/>
        </w:rPr>
        <w:t xml:space="preserve">“ v ktorej  diskutovali  Andrej </w:t>
      </w:r>
      <w:proofErr w:type="spellStart"/>
      <w:r w:rsidRPr="00D75A0F">
        <w:rPr>
          <w:rFonts w:eastAsia="Calibri"/>
          <w:color w:val="000000"/>
          <w:lang w:bidi="ar-SA"/>
        </w:rPr>
        <w:t>Tatarka</w:t>
      </w:r>
      <w:proofErr w:type="spellEnd"/>
      <w:r w:rsidRPr="00D75A0F">
        <w:rPr>
          <w:rFonts w:eastAsia="Calibri"/>
          <w:color w:val="000000"/>
          <w:lang w:bidi="ar-SA"/>
        </w:rPr>
        <w:t xml:space="preserve">, CEO </w:t>
      </w:r>
      <w:proofErr w:type="spellStart"/>
      <w:r w:rsidRPr="00D75A0F">
        <w:rPr>
          <w:rFonts w:eastAsia="Calibri"/>
          <w:color w:val="000000"/>
          <w:lang w:bidi="ar-SA"/>
        </w:rPr>
        <w:t>Artweger</w:t>
      </w:r>
      <w:proofErr w:type="spellEnd"/>
      <w:r w:rsidRPr="00D75A0F">
        <w:rPr>
          <w:rFonts w:eastAsia="Calibri"/>
          <w:color w:val="000000"/>
          <w:lang w:bidi="ar-SA"/>
        </w:rPr>
        <w:t xml:space="preserve">, s. r. o., Elena </w:t>
      </w:r>
      <w:proofErr w:type="spellStart"/>
      <w:r w:rsidRPr="00D75A0F">
        <w:rPr>
          <w:rFonts w:eastAsia="Calibri"/>
          <w:color w:val="000000"/>
          <w:lang w:bidi="ar-SA"/>
        </w:rPr>
        <w:t>Petrášková</w:t>
      </w:r>
      <w:proofErr w:type="spellEnd"/>
      <w:r w:rsidRPr="00D75A0F">
        <w:rPr>
          <w:rFonts w:eastAsia="Calibri"/>
          <w:color w:val="000000"/>
          <w:lang w:bidi="ar-SA"/>
        </w:rPr>
        <w:t xml:space="preserve">, Viceprezidentka </w:t>
      </w:r>
      <w:proofErr w:type="spellStart"/>
      <w:r w:rsidRPr="00D75A0F">
        <w:rPr>
          <w:rFonts w:eastAsia="Calibri"/>
          <w:color w:val="000000"/>
          <w:lang w:bidi="ar-SA"/>
        </w:rPr>
        <w:t>Subsidiaries</w:t>
      </w:r>
      <w:proofErr w:type="spellEnd"/>
      <w:r w:rsidRPr="00D75A0F">
        <w:rPr>
          <w:rFonts w:eastAsia="Calibri"/>
          <w:color w:val="000000"/>
          <w:lang w:bidi="ar-SA"/>
        </w:rPr>
        <w:t xml:space="preserve"> and </w:t>
      </w:r>
      <w:proofErr w:type="spellStart"/>
      <w:r w:rsidRPr="00D75A0F">
        <w:rPr>
          <w:rFonts w:eastAsia="Calibri"/>
          <w:color w:val="000000"/>
          <w:lang w:bidi="ar-SA"/>
        </w:rPr>
        <w:t>External</w:t>
      </w:r>
      <w:proofErr w:type="spellEnd"/>
      <w:r w:rsidRPr="00D75A0F">
        <w:rPr>
          <w:rFonts w:eastAsia="Calibri"/>
          <w:color w:val="000000"/>
          <w:lang w:bidi="ar-SA"/>
        </w:rPr>
        <w:t xml:space="preserve"> </w:t>
      </w:r>
      <w:proofErr w:type="spellStart"/>
      <w:r w:rsidRPr="00D75A0F">
        <w:rPr>
          <w:rFonts w:eastAsia="Calibri"/>
          <w:color w:val="000000"/>
          <w:lang w:bidi="ar-SA"/>
        </w:rPr>
        <w:t>Services</w:t>
      </w:r>
      <w:proofErr w:type="spellEnd"/>
      <w:r w:rsidRPr="00D75A0F">
        <w:rPr>
          <w:rFonts w:eastAsia="Calibri"/>
          <w:color w:val="000000"/>
          <w:lang w:bidi="ar-SA"/>
        </w:rPr>
        <w:t xml:space="preserve">, U. S. </w:t>
      </w:r>
      <w:proofErr w:type="spellStart"/>
      <w:r w:rsidRPr="00D75A0F">
        <w:rPr>
          <w:rFonts w:eastAsia="Calibri"/>
          <w:color w:val="000000"/>
          <w:lang w:bidi="ar-SA"/>
        </w:rPr>
        <w:t>Steel</w:t>
      </w:r>
      <w:proofErr w:type="spellEnd"/>
      <w:r w:rsidRPr="00D75A0F">
        <w:rPr>
          <w:rFonts w:eastAsia="Calibri"/>
          <w:color w:val="000000"/>
          <w:lang w:bidi="ar-SA"/>
        </w:rPr>
        <w:t xml:space="preserve"> Košice, s. r. o., Oľga Pietruchová, riaditeľka </w:t>
      </w:r>
      <w:r w:rsidR="002B3080">
        <w:rPr>
          <w:rFonts w:eastAsia="Calibri"/>
          <w:color w:val="000000"/>
          <w:lang w:bidi="ar-SA"/>
        </w:rPr>
        <w:t>ORRRP MPSVR SR</w:t>
      </w:r>
      <w:r w:rsidRPr="00D75A0F">
        <w:rPr>
          <w:rFonts w:eastAsia="Calibri"/>
          <w:color w:val="000000"/>
          <w:lang w:bidi="ar-SA"/>
        </w:rPr>
        <w:t xml:space="preserve">,  Silvia </w:t>
      </w:r>
      <w:proofErr w:type="spellStart"/>
      <w:r w:rsidRPr="00D75A0F">
        <w:rPr>
          <w:rFonts w:eastAsia="Calibri"/>
          <w:color w:val="000000"/>
          <w:lang w:bidi="ar-SA"/>
        </w:rPr>
        <w:t>Porubänová</w:t>
      </w:r>
      <w:proofErr w:type="spellEnd"/>
      <w:r w:rsidRPr="00D75A0F">
        <w:rPr>
          <w:rFonts w:eastAsia="Calibri"/>
          <w:color w:val="000000"/>
          <w:lang w:bidi="ar-SA"/>
        </w:rPr>
        <w:t xml:space="preserve">, riaditeľka </w:t>
      </w:r>
      <w:r w:rsidR="002B3080">
        <w:rPr>
          <w:rFonts w:eastAsia="Calibri"/>
          <w:color w:val="000000"/>
          <w:lang w:bidi="ar-SA"/>
        </w:rPr>
        <w:t>IVPR</w:t>
      </w:r>
      <w:r w:rsidRPr="00D75A0F">
        <w:rPr>
          <w:rFonts w:eastAsia="Calibri"/>
          <w:color w:val="000000"/>
          <w:lang w:bidi="ar-SA"/>
        </w:rPr>
        <w:t xml:space="preserve">,  Miriam </w:t>
      </w:r>
      <w:proofErr w:type="spellStart"/>
      <w:r w:rsidRPr="00D75A0F">
        <w:rPr>
          <w:rFonts w:eastAsia="Calibri"/>
          <w:color w:val="000000"/>
          <w:lang w:bidi="ar-SA"/>
        </w:rPr>
        <w:t>Letašiová</w:t>
      </w:r>
      <w:proofErr w:type="spellEnd"/>
      <w:r w:rsidRPr="00D75A0F">
        <w:rPr>
          <w:rFonts w:eastAsia="Calibri"/>
          <w:color w:val="000000"/>
          <w:lang w:bidi="ar-SA"/>
        </w:rPr>
        <w:t xml:space="preserve">, prezidentka Srdce Slovenska, n. o., vrchná riaditeľka, EXIMBANKA SR, Matej Šuriansky, </w:t>
      </w:r>
      <w:proofErr w:type="spellStart"/>
      <w:r w:rsidRPr="00D75A0F">
        <w:rPr>
          <w:rFonts w:eastAsia="Calibri"/>
          <w:color w:val="000000"/>
          <w:lang w:bidi="ar-SA"/>
        </w:rPr>
        <w:t>general</w:t>
      </w:r>
      <w:proofErr w:type="spellEnd"/>
      <w:r w:rsidRPr="00D75A0F">
        <w:rPr>
          <w:rFonts w:eastAsia="Calibri"/>
          <w:color w:val="000000"/>
          <w:lang w:bidi="ar-SA"/>
        </w:rPr>
        <w:t xml:space="preserve"> </w:t>
      </w:r>
      <w:proofErr w:type="spellStart"/>
      <w:r w:rsidRPr="00D75A0F">
        <w:rPr>
          <w:rFonts w:eastAsia="Calibri"/>
          <w:color w:val="000000"/>
          <w:lang w:bidi="ar-SA"/>
        </w:rPr>
        <w:t>manager</w:t>
      </w:r>
      <w:proofErr w:type="spellEnd"/>
      <w:r w:rsidRPr="00D75A0F">
        <w:rPr>
          <w:rFonts w:eastAsia="Calibri"/>
          <w:color w:val="000000"/>
          <w:lang w:bidi="ar-SA"/>
        </w:rPr>
        <w:t xml:space="preserve"> a partner ZENITU, Natália </w:t>
      </w:r>
      <w:proofErr w:type="spellStart"/>
      <w:r w:rsidRPr="00D75A0F">
        <w:rPr>
          <w:rFonts w:eastAsia="Calibri"/>
          <w:color w:val="000000"/>
          <w:lang w:bidi="ar-SA"/>
        </w:rPr>
        <w:t>Banduričová</w:t>
      </w:r>
      <w:proofErr w:type="spellEnd"/>
      <w:r w:rsidRPr="00D75A0F">
        <w:rPr>
          <w:rFonts w:eastAsia="Calibri"/>
          <w:color w:val="000000"/>
          <w:lang w:bidi="ar-SA"/>
        </w:rPr>
        <w:t>, predsedníčka predstavenstva SPRAVBYTKOMFORT, a. s. Prešov.</w:t>
      </w:r>
    </w:p>
    <w:p w:rsidR="00D75A0F" w:rsidRPr="00D75A0F" w:rsidRDefault="002B3080" w:rsidP="00D75A0F">
      <w:pPr>
        <w:shd w:val="clear" w:color="auto" w:fill="auto"/>
        <w:spacing w:line="240" w:lineRule="auto"/>
        <w:rPr>
          <w:b/>
          <w:noProof/>
          <w:color w:val="000000"/>
          <w:lang w:eastAsia="sk-SK" w:bidi="ar-SA"/>
        </w:rPr>
      </w:pPr>
      <w:r>
        <w:rPr>
          <w:b/>
          <w:color w:val="000000"/>
          <w:lang w:eastAsia="sk-SK" w:bidi="ar-SA"/>
        </w:rPr>
        <w:t xml:space="preserve">Projekty s podporou </w:t>
      </w:r>
      <w:r w:rsidR="00D75A0F" w:rsidRPr="00D75A0F">
        <w:rPr>
          <w:b/>
          <w:color w:val="000000"/>
          <w:lang w:eastAsia="sk-SK" w:bidi="ar-SA"/>
        </w:rPr>
        <w:t>Európsk</w:t>
      </w:r>
      <w:r>
        <w:rPr>
          <w:b/>
          <w:color w:val="000000"/>
          <w:lang w:eastAsia="sk-SK" w:bidi="ar-SA"/>
        </w:rPr>
        <w:t>eho</w:t>
      </w:r>
      <w:r w:rsidR="00D75A0F" w:rsidRPr="00D75A0F">
        <w:rPr>
          <w:b/>
          <w:color w:val="000000"/>
          <w:lang w:eastAsia="sk-SK" w:bidi="ar-SA"/>
        </w:rPr>
        <w:t xml:space="preserve"> sociáln</w:t>
      </w:r>
      <w:r>
        <w:rPr>
          <w:b/>
          <w:color w:val="000000"/>
          <w:lang w:eastAsia="sk-SK" w:bidi="ar-SA"/>
        </w:rPr>
        <w:t>eho</w:t>
      </w:r>
      <w:r w:rsidR="00D75A0F" w:rsidRPr="00D75A0F">
        <w:rPr>
          <w:b/>
          <w:color w:val="000000"/>
          <w:lang w:eastAsia="sk-SK" w:bidi="ar-SA"/>
        </w:rPr>
        <w:t xml:space="preserve"> fond</w:t>
      </w:r>
      <w:r>
        <w:rPr>
          <w:b/>
          <w:color w:val="000000"/>
          <w:lang w:eastAsia="sk-SK" w:bidi="ar-SA"/>
        </w:rPr>
        <w:t>u</w:t>
      </w:r>
    </w:p>
    <w:p w:rsidR="00F00A84" w:rsidRPr="00F00A84" w:rsidRDefault="00D75A0F" w:rsidP="00F00A84">
      <w:pPr>
        <w:numPr>
          <w:ilvl w:val="12"/>
          <w:numId w:val="0"/>
        </w:numPr>
        <w:shd w:val="clear" w:color="auto" w:fill="auto"/>
        <w:spacing w:after="120" w:line="240" w:lineRule="auto"/>
        <w:rPr>
          <w:color w:val="000000"/>
          <w:lang w:bidi="ar-SA"/>
        </w:rPr>
      </w:pPr>
      <w:r w:rsidRPr="00D75A0F">
        <w:rPr>
          <w:color w:val="000000"/>
          <w:lang w:bidi="ar-SA"/>
        </w:rPr>
        <w:t xml:space="preserve">V roku 2015 pokračovala  realizácia národných projektov v rámci operačného programu </w:t>
      </w:r>
      <w:r w:rsidRPr="002B3080">
        <w:rPr>
          <w:b/>
          <w:color w:val="000000"/>
          <w:lang w:bidi="ar-SA"/>
        </w:rPr>
        <w:t>Zamestnanosť a sociálna inklúzia</w:t>
      </w:r>
      <w:r w:rsidRPr="00D75A0F">
        <w:rPr>
          <w:color w:val="000000"/>
          <w:lang w:bidi="ar-SA"/>
        </w:rPr>
        <w:t xml:space="preserve">: </w:t>
      </w:r>
      <w:r w:rsidRPr="002B3080">
        <w:rPr>
          <w:i/>
          <w:color w:val="000000"/>
          <w:lang w:bidi="ar-SA"/>
        </w:rPr>
        <w:t>Prevencia a eliminácia násilia na ženách</w:t>
      </w:r>
      <w:r w:rsidRPr="00D75A0F">
        <w:rPr>
          <w:color w:val="000000"/>
          <w:lang w:bidi="ar-SA"/>
        </w:rPr>
        <w:t xml:space="preserve"> (PPEN1)</w:t>
      </w:r>
      <w:r w:rsidR="002B3080">
        <w:rPr>
          <w:color w:val="000000"/>
          <w:lang w:bidi="ar-SA"/>
        </w:rPr>
        <w:t>.</w:t>
      </w:r>
      <w:r w:rsidRPr="00D75A0F">
        <w:rPr>
          <w:color w:val="000000"/>
          <w:lang w:bidi="ar-SA"/>
        </w:rPr>
        <w:t xml:space="preserve"> </w:t>
      </w:r>
      <w:r w:rsidR="002B3080" w:rsidRPr="00D75A0F">
        <w:rPr>
          <w:color w:val="000000"/>
          <w:lang w:bidi="ar-SA"/>
        </w:rPr>
        <w:t xml:space="preserve">Národný projekt </w:t>
      </w:r>
      <w:r w:rsidR="002B3080">
        <w:rPr>
          <w:color w:val="000000"/>
          <w:lang w:bidi="ar-SA"/>
        </w:rPr>
        <w:t>bol</w:t>
      </w:r>
      <w:r w:rsidR="002B3080" w:rsidRPr="00D75A0F">
        <w:rPr>
          <w:color w:val="000000"/>
          <w:lang w:bidi="ar-SA"/>
        </w:rPr>
        <w:t xml:space="preserve"> zameraný na priamu podporu špecializovaných sociálnych služieb pre ženy zažívajúce násilie. Prost</w:t>
      </w:r>
      <w:r w:rsidR="002B3080">
        <w:rPr>
          <w:color w:val="000000"/>
          <w:lang w:bidi="ar-SA"/>
        </w:rPr>
        <w:t>redníctvom 9 partnerov projektu a</w:t>
      </w:r>
      <w:r w:rsidR="002B3080" w:rsidRPr="00D75A0F">
        <w:rPr>
          <w:color w:val="000000"/>
          <w:lang w:bidi="ar-SA"/>
        </w:rPr>
        <w:t xml:space="preserve"> podporou ich odborných personálnych kapacít sa špecializované sociálne služby stabiliz</w:t>
      </w:r>
      <w:r w:rsidR="002B3080">
        <w:rPr>
          <w:color w:val="000000"/>
          <w:lang w:bidi="ar-SA"/>
        </w:rPr>
        <w:t>ovali a rozšírili</w:t>
      </w:r>
      <w:r w:rsidR="002B3080" w:rsidRPr="00D75A0F">
        <w:rPr>
          <w:color w:val="000000"/>
          <w:lang w:bidi="ar-SA"/>
        </w:rPr>
        <w:t xml:space="preserve">. V </w:t>
      </w:r>
      <w:r w:rsidR="002B3080">
        <w:rPr>
          <w:color w:val="000000"/>
          <w:lang w:bidi="ar-SA"/>
        </w:rPr>
        <w:t>rámci projektu bola zriadená aj</w:t>
      </w:r>
      <w:r w:rsidR="002B3080" w:rsidRPr="00D75A0F">
        <w:rPr>
          <w:color w:val="000000"/>
          <w:lang w:bidi="ar-SA"/>
        </w:rPr>
        <w:t xml:space="preserve"> </w:t>
      </w:r>
      <w:r w:rsidR="002B3080" w:rsidRPr="002B3080">
        <w:rPr>
          <w:i/>
          <w:color w:val="000000"/>
          <w:lang w:bidi="ar-SA"/>
        </w:rPr>
        <w:t xml:space="preserve">Národná nonstop bezplatná linka pre ženy </w:t>
      </w:r>
      <w:r w:rsidR="002B3080" w:rsidRPr="000150C9">
        <w:rPr>
          <w:color w:val="000000"/>
          <w:lang w:bidi="ar-SA"/>
        </w:rPr>
        <w:t>zažívajúce násilie</w:t>
      </w:r>
      <w:r w:rsidR="002B3080" w:rsidRPr="00D75A0F">
        <w:rPr>
          <w:color w:val="000000"/>
          <w:lang w:bidi="ar-SA"/>
        </w:rPr>
        <w:t xml:space="preserve"> </w:t>
      </w:r>
      <w:r w:rsidR="002B3080">
        <w:rPr>
          <w:color w:val="000000"/>
          <w:lang w:bidi="ar-SA"/>
        </w:rPr>
        <w:t xml:space="preserve">s číslom 0800 212 212, ako aj </w:t>
      </w:r>
      <w:r w:rsidR="002B3080" w:rsidRPr="00D75A0F">
        <w:rPr>
          <w:color w:val="000000"/>
          <w:lang w:bidi="ar-SA"/>
        </w:rPr>
        <w:t xml:space="preserve">a špecializované dištančné internetové poradenstvo. </w:t>
      </w:r>
      <w:r w:rsidR="00F00A84" w:rsidRPr="00F00A84">
        <w:rPr>
          <w:color w:val="000000"/>
          <w:lang w:bidi="ar-SA"/>
        </w:rPr>
        <w:t xml:space="preserve">Linka pracuje v nepretržitom režime, je dôverná a poskytuje krízovú pomoc, priestor pre prvý kontakt a bezpečný rozhovor, asistenciu a delegovanie, ako aj informácie o problematike násilia na ženách. Cieľovou skupinou sú primárne ženy zažívajúce násilie, sekundárnou cieľovou skupinou  sú osoby z okolia ženy. </w:t>
      </w:r>
    </w:p>
    <w:p w:rsidR="00F00A84" w:rsidRPr="00F00A84" w:rsidRDefault="00695639" w:rsidP="000150C9">
      <w:pPr>
        <w:numPr>
          <w:ilvl w:val="12"/>
          <w:numId w:val="0"/>
        </w:numPr>
        <w:shd w:val="clear" w:color="auto" w:fill="auto"/>
        <w:spacing w:after="120" w:line="240" w:lineRule="auto"/>
        <w:rPr>
          <w:color w:val="000000"/>
          <w:lang w:bidi="ar-SA"/>
        </w:rPr>
      </w:pPr>
      <w:r w:rsidRPr="00D75A0F">
        <w:rPr>
          <w:color w:val="000000"/>
          <w:lang w:bidi="ar-SA"/>
        </w:rPr>
        <w:t>Dňa 19.3.2015 minister práce, sociálnych vecí a rodiny Ján Richter informoval na tlačovej besede o</w:t>
      </w:r>
      <w:r>
        <w:rPr>
          <w:color w:val="000000"/>
          <w:lang w:bidi="ar-SA"/>
        </w:rPr>
        <w:t xml:space="preserve"> spustení </w:t>
      </w:r>
      <w:r w:rsidRPr="00D75A0F">
        <w:rPr>
          <w:color w:val="000000"/>
          <w:lang w:bidi="ar-SA"/>
        </w:rPr>
        <w:t>národnej link</w:t>
      </w:r>
      <w:r>
        <w:rPr>
          <w:color w:val="000000"/>
          <w:lang w:bidi="ar-SA"/>
        </w:rPr>
        <w:t>y</w:t>
      </w:r>
      <w:r w:rsidRPr="00D75A0F">
        <w:rPr>
          <w:color w:val="000000"/>
          <w:lang w:bidi="ar-SA"/>
        </w:rPr>
        <w:t xml:space="preserve"> pre ženy zažívajúce násilie. </w:t>
      </w:r>
      <w:r w:rsidR="00F00A84" w:rsidRPr="00F00A84">
        <w:rPr>
          <w:color w:val="000000"/>
          <w:lang w:bidi="ar-SA"/>
        </w:rPr>
        <w:t xml:space="preserve">Počas roku 2015 poradkyne na linke vybavili  celkovo  6 073 hovorov,  z toho  2829 zo ženami zažívajúcimi  násilie. Celkovo pomohli  495 klientkam,   z   ktorých  na  základe  odhadu  nebezpečenstva  bolo 199 rizikových, 336 zažilo fyzické násilie, 80 </w:t>
      </w:r>
      <w:proofErr w:type="spellStart"/>
      <w:r w:rsidR="00F00A84" w:rsidRPr="00F00A84">
        <w:rPr>
          <w:color w:val="000000"/>
          <w:lang w:bidi="ar-SA"/>
        </w:rPr>
        <w:t>sexualizované</w:t>
      </w:r>
      <w:proofErr w:type="spellEnd"/>
      <w:r w:rsidR="00F00A84" w:rsidRPr="00F00A84">
        <w:rPr>
          <w:color w:val="000000"/>
          <w:lang w:bidi="ar-SA"/>
        </w:rPr>
        <w:t xml:space="preserve">, 223 ekonomické, 133 sociálne násilie a 482 psychické násilie. Poradkyne na linke asistovali ženám pri zásahu polície alebo volali Záchrannú zdravotnú službu, za priamej asistencie poradkýň bolo 37 volajúcich žien umiestnených  v bezpečných ženských domoch alebo iných ubytovacích zariadeniach, všetkým ženám boli odporúčané osobné poradenské služby,  podľa možnosti špecializované na násilie  páchané na ženách. </w:t>
      </w:r>
    </w:p>
    <w:p w:rsidR="00D75A0F" w:rsidRPr="00D75A0F" w:rsidRDefault="002B3080" w:rsidP="00D75A0F">
      <w:pPr>
        <w:numPr>
          <w:ilvl w:val="12"/>
          <w:numId w:val="0"/>
        </w:numPr>
        <w:shd w:val="clear" w:color="auto" w:fill="auto"/>
        <w:spacing w:after="120" w:line="240" w:lineRule="auto"/>
        <w:rPr>
          <w:color w:val="000000"/>
          <w:lang w:bidi="ar-SA"/>
        </w:rPr>
      </w:pPr>
      <w:r w:rsidRPr="002B3080">
        <w:rPr>
          <w:i/>
          <w:color w:val="000000"/>
          <w:lang w:bidi="ar-SA"/>
        </w:rPr>
        <w:t>Podpora prevencie a eliminácie násilia na ženách</w:t>
      </w:r>
      <w:r w:rsidRPr="00D75A0F">
        <w:rPr>
          <w:color w:val="000000"/>
          <w:lang w:bidi="ar-SA"/>
        </w:rPr>
        <w:t xml:space="preserve"> (PPEN2)  (v období od júna 2014 do decembra 2015, miesto realizácie Inštitút pre výskum práce a rodiny, Župné nám. 5-6, 812 41 Bratislava).</w:t>
      </w:r>
      <w:r w:rsidR="000150C9">
        <w:rPr>
          <w:color w:val="000000"/>
          <w:lang w:bidi="ar-SA"/>
        </w:rPr>
        <w:t xml:space="preserve"> </w:t>
      </w:r>
      <w:r w:rsidR="00D75A0F" w:rsidRPr="00D75A0F">
        <w:rPr>
          <w:color w:val="000000"/>
          <w:lang w:bidi="ar-SA"/>
        </w:rPr>
        <w:t xml:space="preserve">Tento národný projekt </w:t>
      </w:r>
      <w:r w:rsidR="000150C9">
        <w:rPr>
          <w:color w:val="000000"/>
          <w:lang w:bidi="ar-SA"/>
        </w:rPr>
        <w:t>bol</w:t>
      </w:r>
      <w:r w:rsidR="00D75A0F" w:rsidRPr="00D75A0F">
        <w:rPr>
          <w:color w:val="000000"/>
          <w:lang w:bidi="ar-SA"/>
        </w:rPr>
        <w:t xml:space="preserve"> komplementárny k</w:t>
      </w:r>
      <w:r w:rsidR="000150C9">
        <w:rPr>
          <w:color w:val="000000"/>
          <w:lang w:bidi="ar-SA"/>
        </w:rPr>
        <w:t> PPEN1 a bol</w:t>
      </w:r>
      <w:r w:rsidR="00D75A0F" w:rsidRPr="00D75A0F">
        <w:rPr>
          <w:color w:val="000000"/>
          <w:lang w:bidi="ar-SA"/>
        </w:rPr>
        <w:t xml:space="preserve"> zameraný na tvorbu kľúčových strategických a metodických dokumentov, s cieľom zjednotiť a štandardizovať sociálne služby pre ženy zažívajúce násilie. V rámci projektu sa vyprac</w:t>
      </w:r>
      <w:r w:rsidR="000150C9">
        <w:rPr>
          <w:color w:val="000000"/>
          <w:lang w:bidi="ar-SA"/>
        </w:rPr>
        <w:t>ovali</w:t>
      </w:r>
      <w:r w:rsidR="00D75A0F" w:rsidRPr="00D75A0F">
        <w:rPr>
          <w:color w:val="000000"/>
          <w:lang w:bidi="ar-SA"/>
        </w:rPr>
        <w:t xml:space="preserve"> aj štúdie o osobitných skupinách žien ohrozených násilím, napr. o rómskych a vidieckych ženách, so zámerom identifikovať prekážky a osobitosti v poskytovaní pomoci. V rámci projektu </w:t>
      </w:r>
      <w:r w:rsidR="00695639">
        <w:rPr>
          <w:color w:val="000000"/>
          <w:lang w:bidi="ar-SA"/>
        </w:rPr>
        <w:t>bolo</w:t>
      </w:r>
      <w:r w:rsidR="00D75A0F" w:rsidRPr="00D75A0F">
        <w:rPr>
          <w:color w:val="000000"/>
          <w:lang w:bidi="ar-SA"/>
        </w:rPr>
        <w:t xml:space="preserve"> vyvzdelaných 120 odborníkov a odborníčok </w:t>
      </w:r>
      <w:r w:rsidR="00D75A0F" w:rsidRPr="00D75A0F">
        <w:rPr>
          <w:color w:val="000000"/>
          <w:lang w:bidi="ar-SA"/>
        </w:rPr>
        <w:lastRenderedPageBreak/>
        <w:t>a vytvori</w:t>
      </w:r>
      <w:r w:rsidR="00695639">
        <w:rPr>
          <w:color w:val="000000"/>
          <w:lang w:bidi="ar-SA"/>
        </w:rPr>
        <w:t>li</w:t>
      </w:r>
      <w:r w:rsidR="00D75A0F" w:rsidRPr="00D75A0F">
        <w:rPr>
          <w:color w:val="000000"/>
          <w:lang w:bidi="ar-SA"/>
        </w:rPr>
        <w:t xml:space="preserve"> sa pracovné skupiny </w:t>
      </w:r>
      <w:proofErr w:type="spellStart"/>
      <w:r w:rsidR="00D75A0F" w:rsidRPr="00D75A0F">
        <w:rPr>
          <w:color w:val="000000"/>
          <w:lang w:bidi="ar-SA"/>
        </w:rPr>
        <w:t>multiinštitucionálnej</w:t>
      </w:r>
      <w:proofErr w:type="spellEnd"/>
      <w:r w:rsidR="00D75A0F" w:rsidRPr="00D75A0F">
        <w:rPr>
          <w:color w:val="000000"/>
          <w:lang w:bidi="ar-SA"/>
        </w:rPr>
        <w:t xml:space="preserve"> spolupráce pre včasné a efektívne riešenie prípadov násilia páchaného na ženách.</w:t>
      </w:r>
    </w:p>
    <w:p w:rsidR="00D75A0F" w:rsidRPr="00D75A0F" w:rsidRDefault="00D75A0F" w:rsidP="00D75A0F">
      <w:pPr>
        <w:numPr>
          <w:ilvl w:val="12"/>
          <w:numId w:val="0"/>
        </w:numPr>
        <w:shd w:val="clear" w:color="auto" w:fill="auto"/>
        <w:spacing w:after="120" w:line="240" w:lineRule="auto"/>
        <w:rPr>
          <w:b/>
          <w:color w:val="000000"/>
          <w:lang w:bidi="ar-SA"/>
        </w:rPr>
      </w:pPr>
      <w:r w:rsidRPr="00D75A0F">
        <w:rPr>
          <w:b/>
          <w:color w:val="000000"/>
          <w:lang w:bidi="ar-SA"/>
        </w:rPr>
        <w:t>Národný pilotný projekt Rodina a práca</w:t>
      </w:r>
    </w:p>
    <w:p w:rsidR="00D75A0F" w:rsidRPr="00D75A0F" w:rsidRDefault="00D75A0F" w:rsidP="00D75A0F">
      <w:pPr>
        <w:numPr>
          <w:ilvl w:val="12"/>
          <w:numId w:val="0"/>
        </w:numPr>
        <w:shd w:val="clear" w:color="auto" w:fill="auto"/>
        <w:spacing w:after="120" w:line="240" w:lineRule="auto"/>
        <w:rPr>
          <w:color w:val="000000"/>
          <w:lang w:bidi="ar-SA"/>
        </w:rPr>
      </w:pPr>
      <w:r w:rsidRPr="00D75A0F">
        <w:rPr>
          <w:color w:val="000000"/>
          <w:lang w:bidi="ar-SA"/>
        </w:rPr>
        <w:t>V roku 2015 sa realizoval pilotný národný projekt „</w:t>
      </w:r>
      <w:r w:rsidRPr="00695639">
        <w:rPr>
          <w:i/>
          <w:color w:val="000000"/>
          <w:lang w:bidi="ar-SA"/>
        </w:rPr>
        <w:t>Rodina a práca</w:t>
      </w:r>
      <w:r w:rsidRPr="00D75A0F">
        <w:rPr>
          <w:color w:val="000000"/>
          <w:lang w:bidi="ar-SA"/>
        </w:rPr>
        <w:t xml:space="preserve">“, ktorý bol predstavený </w:t>
      </w:r>
      <w:r w:rsidR="00695639">
        <w:rPr>
          <w:color w:val="000000"/>
          <w:lang w:bidi="ar-SA"/>
        </w:rPr>
        <w:t xml:space="preserve">na tlačovej besede </w:t>
      </w:r>
      <w:r w:rsidRPr="00D75A0F">
        <w:rPr>
          <w:color w:val="000000"/>
          <w:lang w:bidi="ar-SA"/>
        </w:rPr>
        <w:t xml:space="preserve">19. januára 2015 premiérom SR </w:t>
      </w:r>
      <w:proofErr w:type="spellStart"/>
      <w:r w:rsidRPr="00D75A0F">
        <w:rPr>
          <w:color w:val="000000"/>
          <w:lang w:bidi="ar-SA"/>
        </w:rPr>
        <w:t>Robertom</w:t>
      </w:r>
      <w:proofErr w:type="spellEnd"/>
      <w:r w:rsidRPr="00D75A0F">
        <w:rPr>
          <w:color w:val="000000"/>
          <w:lang w:bidi="ar-SA"/>
        </w:rPr>
        <w:t xml:space="preserve"> Ficom spolu s ministrom práce, sociálnych vecí a rodiny SR Jánom Richterom.</w:t>
      </w:r>
    </w:p>
    <w:p w:rsidR="00D75A0F" w:rsidRPr="00D75A0F" w:rsidRDefault="00D75A0F" w:rsidP="00D75A0F">
      <w:pPr>
        <w:numPr>
          <w:ilvl w:val="12"/>
          <w:numId w:val="0"/>
        </w:numPr>
        <w:shd w:val="clear" w:color="auto" w:fill="auto"/>
        <w:spacing w:after="120" w:line="240" w:lineRule="auto"/>
        <w:rPr>
          <w:color w:val="000000"/>
          <w:lang w:bidi="ar-SA"/>
        </w:rPr>
      </w:pPr>
      <w:r w:rsidRPr="00D75A0F">
        <w:rPr>
          <w:color w:val="000000"/>
          <w:lang w:bidi="ar-SA"/>
        </w:rPr>
        <w:t xml:space="preserve">Prostredníctvom projektu boli  podporené pracovné miesta formou flexibilných foriem práce v súlade s §49, §49a, a §52  Zákonníka práce. </w:t>
      </w:r>
    </w:p>
    <w:p w:rsidR="00D75A0F" w:rsidRPr="00D75A0F" w:rsidRDefault="00D75A0F" w:rsidP="00D75A0F">
      <w:pPr>
        <w:numPr>
          <w:ilvl w:val="12"/>
          <w:numId w:val="0"/>
        </w:numPr>
        <w:shd w:val="clear" w:color="auto" w:fill="auto"/>
        <w:spacing w:after="120" w:line="240" w:lineRule="auto"/>
        <w:rPr>
          <w:color w:val="000000"/>
          <w:lang w:bidi="ar-SA"/>
        </w:rPr>
      </w:pPr>
      <w:r w:rsidRPr="00D75A0F">
        <w:rPr>
          <w:color w:val="000000"/>
          <w:lang w:bidi="ar-SA"/>
        </w:rPr>
        <w:t xml:space="preserve">Podmienkou  projektu bolo, že pracovné miesta budú obsadené buď osobami na rodičovskej dovolenke, alebo </w:t>
      </w:r>
      <w:r w:rsidR="00695639">
        <w:rPr>
          <w:color w:val="000000"/>
          <w:lang w:bidi="ar-SA"/>
        </w:rPr>
        <w:t>matkou</w:t>
      </w:r>
      <w:r w:rsidRPr="00D75A0F">
        <w:rPr>
          <w:color w:val="000000"/>
          <w:lang w:bidi="ar-SA"/>
        </w:rPr>
        <w:t xml:space="preserve"> s dieťaťom pred nástupom do školy (cca do veku 6 rokov),ktoré boli dotované vo výške 90 percent reálnej celkovej ceny práce, maximálne však do výšky priemernej mzdy v národnom hospodárstve. V druhom prípade – pri zamestnávaní matiek s deťmi vo veku 6-10 rokov – bola forma podpory vo výške 50 percent z celkovej ceny práce.</w:t>
      </w:r>
    </w:p>
    <w:p w:rsidR="00D75A0F" w:rsidRDefault="00D75A0F" w:rsidP="00D75A0F">
      <w:pPr>
        <w:numPr>
          <w:ilvl w:val="12"/>
          <w:numId w:val="0"/>
        </w:numPr>
        <w:shd w:val="clear" w:color="auto" w:fill="auto"/>
        <w:spacing w:after="120" w:line="240" w:lineRule="auto"/>
        <w:rPr>
          <w:color w:val="000000"/>
          <w:lang w:bidi="ar-SA"/>
        </w:rPr>
      </w:pPr>
      <w:r w:rsidRPr="00D75A0F">
        <w:rPr>
          <w:color w:val="000000"/>
          <w:lang w:bidi="ar-SA"/>
        </w:rPr>
        <w:t xml:space="preserve">Projekt sa zameriaval aj na oblasť vytvárania vhodných </w:t>
      </w:r>
      <w:proofErr w:type="spellStart"/>
      <w:r w:rsidRPr="00D75A0F">
        <w:rPr>
          <w:color w:val="000000"/>
          <w:lang w:bidi="ar-SA"/>
        </w:rPr>
        <w:t>prorodinných</w:t>
      </w:r>
      <w:proofErr w:type="spellEnd"/>
      <w:r w:rsidRPr="00D75A0F">
        <w:rPr>
          <w:color w:val="000000"/>
          <w:lang w:bidi="ar-SA"/>
        </w:rPr>
        <w:t xml:space="preserve"> podmienok a  starostlivosti o detí v rodinách zamestnaných rodičov. Cieľom projektu bolo zlepšenie podmienok pre zosúladenie rodinného a pracovného života podporou tzv. kútikov dočasnej starostlivosti. Kútiky dočasnej starostlivosti mohli vytvárať buď priamo zamestnávatelia alebo spolupracujúce organizácie poskytujúce služby starostlivosti o deti. Preplatené boli náklady celkovej ceny práce odborného pedagogického personálu (vychovávateľky či vychovávateľa), najviac však vo výške celkovej ceny práce vypočítanej z mediánu mesačnej hrubej mzdy na tejto pracovnej pozícii (ide o cca 700 </w:t>
      </w:r>
      <w:r w:rsidR="006D03BE">
        <w:rPr>
          <w:color w:val="000000"/>
          <w:lang w:bidi="ar-SA"/>
        </w:rPr>
        <w:t>EUR</w:t>
      </w:r>
      <w:r w:rsidRPr="00D75A0F">
        <w:rPr>
          <w:color w:val="000000"/>
          <w:lang w:bidi="ar-SA"/>
        </w:rPr>
        <w:t xml:space="preserve"> hrubej mzdy).</w:t>
      </w:r>
    </w:p>
    <w:p w:rsidR="006D03BE" w:rsidRDefault="006D03BE" w:rsidP="006D03BE">
      <w:pPr>
        <w:numPr>
          <w:ilvl w:val="12"/>
          <w:numId w:val="0"/>
        </w:numPr>
        <w:shd w:val="clear" w:color="auto" w:fill="auto"/>
        <w:spacing w:after="120" w:line="240" w:lineRule="auto"/>
        <w:rPr>
          <w:color w:val="000000"/>
          <w:lang w:bidi="ar-SA"/>
        </w:rPr>
      </w:pPr>
      <w:r w:rsidRPr="006D03BE">
        <w:rPr>
          <w:color w:val="000000"/>
          <w:lang w:bidi="ar-SA"/>
        </w:rPr>
        <w:t xml:space="preserve">Do projektu sa zapojilo 765 zamestnávateľov pričom bolo podporených 1406 pracovných miest pre osoby s rodičovskými povinnosťami a to na flexibilné formy práce – kratší pracovný čas, delené pracovné miesto a domácku prácu. </w:t>
      </w:r>
      <w:r w:rsidR="002B6F49" w:rsidRPr="002B6F49">
        <w:rPr>
          <w:color w:val="000000"/>
          <w:lang w:bidi="ar-SA"/>
        </w:rPr>
        <w:t xml:space="preserve">Z týchto miest boli 4 obsadené mužmi, ktorí sa vrátili na trh práce po čerpaní rodičovskej dovolenky. Ostatné miesta boli obsadené ženami. </w:t>
      </w:r>
      <w:r w:rsidRPr="006D03BE">
        <w:rPr>
          <w:color w:val="000000"/>
          <w:lang w:bidi="ar-SA"/>
        </w:rPr>
        <w:t>Podpora bola poskytovaná formou refundácie celkovej ceny práce zamestnankýň až do výšky 90</w:t>
      </w:r>
      <w:r w:rsidR="005C794F">
        <w:rPr>
          <w:color w:val="000000"/>
          <w:lang w:bidi="ar-SA"/>
        </w:rPr>
        <w:t xml:space="preserve"> %</w:t>
      </w:r>
      <w:r w:rsidRPr="006D03BE">
        <w:rPr>
          <w:color w:val="000000"/>
          <w:lang w:bidi="ar-SA"/>
        </w:rPr>
        <w:t xml:space="preserve"> celkovej ceny práce, priemerne išlo 880 EUR mesačne. Podporené boli všetky regióny, okrem Bratislavského, pričom najväčší záujem sme zaznamenali v Žilinskom, Banskobystrickom a Prešovskom kraji.</w:t>
      </w:r>
    </w:p>
    <w:p w:rsidR="002B6F49" w:rsidRDefault="002B6F49" w:rsidP="002B6F49">
      <w:pPr>
        <w:numPr>
          <w:ilvl w:val="12"/>
          <w:numId w:val="0"/>
        </w:numPr>
        <w:shd w:val="clear" w:color="auto" w:fill="auto"/>
        <w:spacing w:after="120" w:line="240" w:lineRule="auto"/>
        <w:rPr>
          <w:color w:val="000000"/>
          <w:lang w:bidi="ar-SA"/>
        </w:rPr>
      </w:pPr>
      <w:r w:rsidRPr="002B6F49">
        <w:rPr>
          <w:color w:val="000000"/>
          <w:lang w:bidi="ar-SA"/>
        </w:rPr>
        <w:t xml:space="preserve">Najširšie uplatnenie v rámci projektu našla </w:t>
      </w:r>
      <w:proofErr w:type="spellStart"/>
      <w:r w:rsidRPr="002B6F49">
        <w:rPr>
          <w:color w:val="000000"/>
          <w:lang w:bidi="ar-SA"/>
        </w:rPr>
        <w:t>telepráca</w:t>
      </w:r>
      <w:proofErr w:type="spellEnd"/>
      <w:r w:rsidRPr="002B6F49">
        <w:rPr>
          <w:color w:val="000000"/>
          <w:lang w:bidi="ar-SA"/>
        </w:rPr>
        <w:t xml:space="preserve"> resp. domácka práca v zmysle §52 Zákonníka práce; na túto formu bolo zamestnaných 732 žien. 650 osôb malo vytvorené podmienky na kratší pracovný čas a 13 žien bolo zamestnaných na </w:t>
      </w:r>
      <w:proofErr w:type="spellStart"/>
      <w:r w:rsidRPr="002B6F49">
        <w:rPr>
          <w:color w:val="000000"/>
          <w:lang w:bidi="ar-SA"/>
        </w:rPr>
        <w:t>zdieľanom</w:t>
      </w:r>
      <w:proofErr w:type="spellEnd"/>
      <w:r w:rsidRPr="002B6F49">
        <w:rPr>
          <w:color w:val="000000"/>
          <w:lang w:bidi="ar-SA"/>
        </w:rPr>
        <w:t xml:space="preserve"> pracovnom mieste v zmysle §49a Zákonníka práce. Podrobnejšie informácie sa dozviete v nasledujúcich príspevkoch.</w:t>
      </w:r>
    </w:p>
    <w:p w:rsidR="002B6F49" w:rsidRDefault="002B6F49" w:rsidP="002B6F49">
      <w:pPr>
        <w:numPr>
          <w:ilvl w:val="12"/>
          <w:numId w:val="0"/>
        </w:numPr>
        <w:shd w:val="clear" w:color="auto" w:fill="auto"/>
        <w:spacing w:after="120" w:line="240" w:lineRule="auto"/>
        <w:rPr>
          <w:color w:val="000000"/>
          <w:lang w:bidi="ar-SA"/>
        </w:rPr>
      </w:pPr>
      <w:r w:rsidRPr="002B6F49">
        <w:rPr>
          <w:color w:val="000000"/>
          <w:lang w:bidi="ar-SA"/>
        </w:rPr>
        <w:t xml:space="preserve">V rámci projektu bolo vytvorených 33 kútikov dočasnej starostlivosti o deti, v ktorých bolo zamestnaných 58 vychovávateliek. Celkovo využili takéto služby 90 zamestnávateľov, ktorí v 10 prípadoch buď priamo zriadili tzv. detský kútik v ostatných prípadoch </w:t>
      </w:r>
      <w:proofErr w:type="spellStart"/>
      <w:r w:rsidRPr="002B6F49">
        <w:rPr>
          <w:color w:val="000000"/>
          <w:lang w:bidi="ar-SA"/>
        </w:rPr>
        <w:t>zazmluvnili</w:t>
      </w:r>
      <w:proofErr w:type="spellEnd"/>
      <w:r w:rsidRPr="002B6F49">
        <w:rPr>
          <w:color w:val="000000"/>
          <w:lang w:bidi="ar-SA"/>
        </w:rPr>
        <w:t xml:space="preserve"> externú organizáciu</w:t>
      </w:r>
      <w:r w:rsidR="001D19C9">
        <w:rPr>
          <w:color w:val="000000"/>
          <w:lang w:bidi="ar-SA"/>
        </w:rPr>
        <w:t xml:space="preserve">. </w:t>
      </w:r>
    </w:p>
    <w:p w:rsidR="001D19C9" w:rsidRPr="001D19C9" w:rsidRDefault="001D19C9" w:rsidP="001D19C9">
      <w:pPr>
        <w:numPr>
          <w:ilvl w:val="12"/>
          <w:numId w:val="0"/>
        </w:numPr>
        <w:shd w:val="clear" w:color="auto" w:fill="auto"/>
        <w:spacing w:after="120" w:line="240" w:lineRule="auto"/>
        <w:rPr>
          <w:rFonts w:eastAsia="Calibri" w:cs="Cambria"/>
          <w:color w:val="000000"/>
          <w:szCs w:val="24"/>
          <w:lang w:eastAsia="sk-SK" w:bidi="ar-SA"/>
        </w:rPr>
      </w:pPr>
      <w:r w:rsidRPr="001D19C9">
        <w:rPr>
          <w:rFonts w:eastAsia="Calibri" w:cs="Cambria"/>
          <w:color w:val="000000"/>
          <w:szCs w:val="24"/>
          <w:lang w:eastAsia="sk-SK" w:bidi="ar-SA"/>
        </w:rPr>
        <w:t xml:space="preserve">Na základe dotazníkového prieskumu medzi zriaďovateľmi resp. prevádzkovateľmi kútikov dočasnej starostlivosti o deti boli vyhodnotené rôzne parametre využívania </w:t>
      </w:r>
      <w:r w:rsidRPr="001D19C9">
        <w:rPr>
          <w:rFonts w:eastAsia="Calibri" w:cs="Cambria"/>
          <w:color w:val="000000"/>
          <w:szCs w:val="24"/>
          <w:lang w:eastAsia="sk-SK" w:bidi="ar-SA"/>
        </w:rPr>
        <w:lastRenderedPageBreak/>
        <w:t>kútikov. Dotazníkový prieskum sa konal v októbri 2015 a zapojilo sa do neho 33 prevádzkovateľov kútikov, t.j. návratnosť dotazníka bola 100</w:t>
      </w:r>
      <w:r w:rsidR="005C794F">
        <w:rPr>
          <w:rFonts w:eastAsia="Calibri" w:cs="Cambria"/>
          <w:color w:val="000000"/>
          <w:szCs w:val="24"/>
          <w:lang w:eastAsia="sk-SK" w:bidi="ar-SA"/>
        </w:rPr>
        <w:t xml:space="preserve"> %</w:t>
      </w:r>
      <w:r w:rsidRPr="001D19C9">
        <w:rPr>
          <w:rFonts w:eastAsia="Calibri" w:cs="Cambria"/>
          <w:color w:val="000000"/>
          <w:szCs w:val="24"/>
          <w:lang w:eastAsia="sk-SK" w:bidi="ar-SA"/>
        </w:rPr>
        <w:t xml:space="preserve">, </w:t>
      </w:r>
    </w:p>
    <w:p w:rsidR="001D19C9" w:rsidRDefault="001D19C9" w:rsidP="001D19C9">
      <w:pPr>
        <w:shd w:val="clear" w:color="auto" w:fill="auto"/>
        <w:autoSpaceDE w:val="0"/>
        <w:autoSpaceDN w:val="0"/>
        <w:adjustRightInd w:val="0"/>
        <w:spacing w:after="0" w:line="240" w:lineRule="auto"/>
        <w:jc w:val="left"/>
        <w:rPr>
          <w:rFonts w:eastAsia="Calibri" w:cs="Cambria"/>
          <w:color w:val="000000"/>
          <w:szCs w:val="24"/>
          <w:lang w:eastAsia="sk-SK" w:bidi="ar-SA"/>
        </w:rPr>
      </w:pPr>
      <w:r w:rsidRPr="001D19C9">
        <w:rPr>
          <w:rFonts w:eastAsia="Calibri" w:cs="Cambria"/>
          <w:color w:val="000000"/>
          <w:szCs w:val="24"/>
          <w:lang w:eastAsia="sk-SK" w:bidi="ar-SA"/>
        </w:rPr>
        <w:t xml:space="preserve">Na základe odpovedí môžeme konštatovať: </w:t>
      </w:r>
    </w:p>
    <w:p w:rsidR="001D19C9" w:rsidRPr="001D19C9" w:rsidRDefault="001D19C9" w:rsidP="001D19C9">
      <w:pPr>
        <w:shd w:val="clear" w:color="auto" w:fill="auto"/>
        <w:autoSpaceDE w:val="0"/>
        <w:autoSpaceDN w:val="0"/>
        <w:adjustRightInd w:val="0"/>
        <w:spacing w:after="0" w:line="240" w:lineRule="auto"/>
        <w:jc w:val="left"/>
        <w:rPr>
          <w:rFonts w:eastAsia="Calibri" w:cs="Cambria"/>
          <w:color w:val="000000"/>
          <w:szCs w:val="24"/>
          <w:lang w:eastAsia="sk-SK" w:bidi="ar-SA"/>
        </w:rPr>
      </w:pPr>
    </w:p>
    <w:p w:rsidR="001D19C9" w:rsidRPr="001D19C9" w:rsidRDefault="001D19C9" w:rsidP="001D19C9">
      <w:pPr>
        <w:pStyle w:val="Odsekzoznamu"/>
        <w:numPr>
          <w:ilvl w:val="0"/>
          <w:numId w:val="45"/>
        </w:numPr>
        <w:shd w:val="clear" w:color="auto" w:fill="auto"/>
        <w:autoSpaceDE w:val="0"/>
        <w:autoSpaceDN w:val="0"/>
        <w:adjustRightInd w:val="0"/>
        <w:spacing w:after="0" w:line="240" w:lineRule="auto"/>
        <w:rPr>
          <w:rFonts w:eastAsia="Calibri" w:cs="Cambria"/>
          <w:color w:val="000000"/>
          <w:szCs w:val="24"/>
          <w:lang w:eastAsia="sk-SK" w:bidi="ar-SA"/>
        </w:rPr>
      </w:pPr>
      <w:r w:rsidRPr="001D19C9">
        <w:rPr>
          <w:rFonts w:eastAsia="Calibri" w:cs="Cambria"/>
          <w:bCs/>
          <w:color w:val="000000"/>
          <w:szCs w:val="24"/>
          <w:lang w:eastAsia="sk-SK" w:bidi="ar-SA"/>
        </w:rPr>
        <w:t>Až 76,5</w:t>
      </w:r>
      <w:r w:rsidR="005C794F">
        <w:rPr>
          <w:rFonts w:eastAsia="Calibri" w:cs="Cambria"/>
          <w:bCs/>
          <w:color w:val="000000"/>
          <w:szCs w:val="24"/>
          <w:lang w:eastAsia="sk-SK" w:bidi="ar-SA"/>
        </w:rPr>
        <w:t xml:space="preserve"> %</w:t>
      </w:r>
      <w:r w:rsidRPr="001D19C9">
        <w:rPr>
          <w:rFonts w:eastAsia="Calibri" w:cs="Cambria"/>
          <w:bCs/>
          <w:color w:val="000000"/>
          <w:szCs w:val="24"/>
          <w:lang w:eastAsia="sk-SK" w:bidi="ar-SA"/>
        </w:rPr>
        <w:t xml:space="preserve"> detí v detských kútikov bolo vo veku medzi 2 až 4 roky.</w:t>
      </w:r>
      <w:r w:rsidRPr="001D19C9">
        <w:rPr>
          <w:rFonts w:eastAsia="Calibri" w:cs="Cambria"/>
          <w:b/>
          <w:bCs/>
          <w:color w:val="000000"/>
          <w:szCs w:val="24"/>
          <w:lang w:eastAsia="sk-SK" w:bidi="ar-SA"/>
        </w:rPr>
        <w:t xml:space="preserve"> </w:t>
      </w:r>
      <w:r w:rsidRPr="001D19C9">
        <w:rPr>
          <w:rFonts w:eastAsia="Calibri" w:cs="Cambria"/>
          <w:color w:val="000000"/>
          <w:szCs w:val="24"/>
          <w:lang w:eastAsia="sk-SK" w:bidi="ar-SA"/>
        </w:rPr>
        <w:t xml:space="preserve">Kútiky teda poskytli alternatívu pre deti pred nástupom do materskej školy. Práve vo veku od dovŕšenia 3 rokov dieťaťa, kedy sa prestáva poskytovať príspevok k starostlivosti o dieťa, až do nástupu do materskej školy, existuje najväčší dopyt po alternatívnych formách starostlivosti o deti, ktoré by boli flexibilné a cenovo dostupné. </w:t>
      </w:r>
    </w:p>
    <w:p w:rsidR="001D19C9" w:rsidRPr="001D19C9" w:rsidRDefault="001D19C9" w:rsidP="001D19C9">
      <w:pPr>
        <w:shd w:val="clear" w:color="auto" w:fill="auto"/>
        <w:autoSpaceDE w:val="0"/>
        <w:autoSpaceDN w:val="0"/>
        <w:adjustRightInd w:val="0"/>
        <w:spacing w:after="0" w:line="240" w:lineRule="auto"/>
        <w:jc w:val="left"/>
        <w:rPr>
          <w:rFonts w:eastAsia="Calibri" w:cs="Cambria"/>
          <w:color w:val="000000"/>
          <w:szCs w:val="24"/>
          <w:lang w:eastAsia="sk-SK" w:bidi="ar-SA"/>
        </w:rPr>
      </w:pPr>
    </w:p>
    <w:p w:rsidR="001D19C9" w:rsidRPr="001D19C9" w:rsidRDefault="001D19C9" w:rsidP="001D19C9">
      <w:pPr>
        <w:pStyle w:val="Odsekzoznamu"/>
        <w:numPr>
          <w:ilvl w:val="0"/>
          <w:numId w:val="45"/>
        </w:numPr>
        <w:shd w:val="clear" w:color="auto" w:fill="auto"/>
        <w:autoSpaceDE w:val="0"/>
        <w:autoSpaceDN w:val="0"/>
        <w:adjustRightInd w:val="0"/>
        <w:spacing w:after="0" w:line="240" w:lineRule="auto"/>
        <w:rPr>
          <w:rFonts w:eastAsia="Calibri" w:cs="Cambria"/>
          <w:color w:val="000000"/>
          <w:szCs w:val="24"/>
          <w:lang w:eastAsia="sk-SK" w:bidi="ar-SA"/>
        </w:rPr>
      </w:pPr>
      <w:r w:rsidRPr="001D19C9">
        <w:rPr>
          <w:rFonts w:eastAsia="Calibri" w:cs="Cambria"/>
          <w:bCs/>
          <w:color w:val="000000"/>
          <w:szCs w:val="24"/>
          <w:lang w:eastAsia="sk-SK" w:bidi="ar-SA"/>
        </w:rPr>
        <w:t>Až 80</w:t>
      </w:r>
      <w:r w:rsidR="005C794F">
        <w:rPr>
          <w:rFonts w:eastAsia="Calibri" w:cs="Cambria"/>
          <w:bCs/>
          <w:color w:val="000000"/>
          <w:szCs w:val="24"/>
          <w:lang w:eastAsia="sk-SK" w:bidi="ar-SA"/>
        </w:rPr>
        <w:t xml:space="preserve"> %</w:t>
      </w:r>
      <w:r w:rsidRPr="001D19C9">
        <w:rPr>
          <w:rFonts w:eastAsia="Calibri" w:cs="Cambria"/>
          <w:bCs/>
          <w:color w:val="000000"/>
          <w:szCs w:val="24"/>
          <w:lang w:eastAsia="sk-SK" w:bidi="ar-SA"/>
        </w:rPr>
        <w:t xml:space="preserve"> detí strávilo v detskom kútiku viac ako 4 hodiny, takmer polovica viac ako 6 hodín.</w:t>
      </w:r>
      <w:r w:rsidRPr="001D19C9">
        <w:rPr>
          <w:rFonts w:eastAsia="Calibri" w:cs="Cambria"/>
          <w:b/>
          <w:bCs/>
          <w:color w:val="000000"/>
          <w:szCs w:val="24"/>
          <w:lang w:eastAsia="sk-SK" w:bidi="ar-SA"/>
        </w:rPr>
        <w:t xml:space="preserve"> </w:t>
      </w:r>
      <w:r w:rsidRPr="001D19C9">
        <w:rPr>
          <w:rFonts w:eastAsia="Calibri" w:cs="Cambria"/>
          <w:color w:val="000000"/>
          <w:szCs w:val="24"/>
          <w:lang w:eastAsia="sk-SK" w:bidi="ar-SA"/>
        </w:rPr>
        <w:t xml:space="preserve">Detské kútiky teda poskytovali reálnu alternatívu k štandardným formám starostlivosti o deti ako sú materské školy a umožňovali matkám plnohodnotne sa zapojiť do pracovného procesu. </w:t>
      </w:r>
    </w:p>
    <w:p w:rsidR="001D19C9" w:rsidRPr="001D19C9" w:rsidRDefault="001D19C9" w:rsidP="001D19C9">
      <w:pPr>
        <w:shd w:val="clear" w:color="auto" w:fill="auto"/>
        <w:autoSpaceDE w:val="0"/>
        <w:autoSpaceDN w:val="0"/>
        <w:adjustRightInd w:val="0"/>
        <w:spacing w:after="0" w:line="240" w:lineRule="auto"/>
        <w:jc w:val="left"/>
        <w:rPr>
          <w:rFonts w:eastAsia="Calibri" w:cs="Cambria"/>
          <w:color w:val="000000"/>
          <w:szCs w:val="24"/>
          <w:lang w:eastAsia="sk-SK" w:bidi="ar-SA"/>
        </w:rPr>
      </w:pPr>
    </w:p>
    <w:p w:rsidR="001D19C9" w:rsidRPr="001D19C9" w:rsidRDefault="001D19C9" w:rsidP="001D19C9">
      <w:pPr>
        <w:pStyle w:val="Odsekzoznamu"/>
        <w:numPr>
          <w:ilvl w:val="0"/>
          <w:numId w:val="45"/>
        </w:numPr>
        <w:shd w:val="clear" w:color="auto" w:fill="auto"/>
        <w:autoSpaceDE w:val="0"/>
        <w:autoSpaceDN w:val="0"/>
        <w:adjustRightInd w:val="0"/>
        <w:spacing w:after="0" w:line="240" w:lineRule="auto"/>
        <w:rPr>
          <w:rFonts w:eastAsia="Calibri" w:cs="Cambria"/>
          <w:color w:val="000000"/>
          <w:szCs w:val="24"/>
          <w:lang w:eastAsia="sk-SK" w:bidi="ar-SA"/>
        </w:rPr>
      </w:pPr>
      <w:r w:rsidRPr="001D19C9">
        <w:rPr>
          <w:rFonts w:eastAsia="Calibri" w:cs="Cambria"/>
          <w:color w:val="000000"/>
          <w:szCs w:val="24"/>
          <w:lang w:eastAsia="sk-SK" w:bidi="ar-SA"/>
        </w:rPr>
        <w:t xml:space="preserve">Počet detí v detských kútikoch sa rôznil, od malých skupín až po skupiny s 15 a viac deťmi, pričom v tretine kútikov sa </w:t>
      </w:r>
      <w:proofErr w:type="spellStart"/>
      <w:r w:rsidRPr="001D19C9">
        <w:rPr>
          <w:rFonts w:eastAsia="Calibri" w:cs="Cambria"/>
          <w:color w:val="000000"/>
          <w:szCs w:val="24"/>
          <w:lang w:eastAsia="sk-SK" w:bidi="ar-SA"/>
        </w:rPr>
        <w:t>prestriedalo</w:t>
      </w:r>
      <w:proofErr w:type="spellEnd"/>
      <w:r w:rsidRPr="001D19C9">
        <w:rPr>
          <w:rFonts w:eastAsia="Calibri" w:cs="Cambria"/>
          <w:color w:val="000000"/>
          <w:szCs w:val="24"/>
          <w:lang w:eastAsia="sk-SK" w:bidi="ar-SA"/>
        </w:rPr>
        <w:t xml:space="preserve"> viac ako50 detí. </w:t>
      </w:r>
    </w:p>
    <w:p w:rsidR="001D19C9" w:rsidRPr="001D19C9" w:rsidRDefault="001D19C9" w:rsidP="001D19C9">
      <w:pPr>
        <w:shd w:val="clear" w:color="auto" w:fill="auto"/>
        <w:autoSpaceDE w:val="0"/>
        <w:autoSpaceDN w:val="0"/>
        <w:adjustRightInd w:val="0"/>
        <w:spacing w:after="0" w:line="240" w:lineRule="auto"/>
        <w:jc w:val="left"/>
        <w:rPr>
          <w:rFonts w:eastAsia="Calibri" w:cs="Cambria"/>
          <w:color w:val="000000"/>
          <w:szCs w:val="24"/>
          <w:lang w:eastAsia="sk-SK" w:bidi="ar-SA"/>
        </w:rPr>
      </w:pPr>
    </w:p>
    <w:p w:rsidR="001D19C9" w:rsidRPr="001D19C9" w:rsidRDefault="001D19C9" w:rsidP="001D19C9">
      <w:pPr>
        <w:pStyle w:val="Odsekzoznamu"/>
        <w:numPr>
          <w:ilvl w:val="0"/>
          <w:numId w:val="45"/>
        </w:numPr>
        <w:shd w:val="clear" w:color="auto" w:fill="auto"/>
        <w:autoSpaceDE w:val="0"/>
        <w:autoSpaceDN w:val="0"/>
        <w:adjustRightInd w:val="0"/>
        <w:spacing w:after="0" w:line="240" w:lineRule="auto"/>
        <w:rPr>
          <w:rFonts w:eastAsia="Calibri" w:cs="Cambria"/>
          <w:color w:val="000000"/>
          <w:szCs w:val="24"/>
          <w:lang w:eastAsia="sk-SK" w:bidi="ar-SA"/>
        </w:rPr>
      </w:pPr>
      <w:r w:rsidRPr="001D19C9">
        <w:rPr>
          <w:rFonts w:eastAsia="Calibri" w:cs="Cambria"/>
          <w:bCs/>
          <w:color w:val="000000"/>
          <w:szCs w:val="24"/>
          <w:lang w:eastAsia="sk-SK" w:bidi="ar-SA"/>
        </w:rPr>
        <w:t xml:space="preserve">Všetci prevádzkovatelia kútikov vyslovili </w:t>
      </w:r>
      <w:r w:rsidRPr="001D19C9">
        <w:rPr>
          <w:rFonts w:eastAsia="Calibri" w:cs="Cambria"/>
          <w:color w:val="000000"/>
          <w:szCs w:val="24"/>
          <w:lang w:eastAsia="sk-SK" w:bidi="ar-SA"/>
        </w:rPr>
        <w:t>záujem</w:t>
      </w:r>
      <w:r w:rsidRPr="001D19C9">
        <w:rPr>
          <w:rFonts w:eastAsia="Calibri" w:cs="Cambria"/>
          <w:bCs/>
          <w:color w:val="000000"/>
          <w:szCs w:val="24"/>
          <w:lang w:eastAsia="sk-SK" w:bidi="ar-SA"/>
        </w:rPr>
        <w:t xml:space="preserve"> na pokračovaní poskytovania služby v detskom kútiku,</w:t>
      </w:r>
      <w:r w:rsidRPr="001D19C9">
        <w:rPr>
          <w:rFonts w:eastAsia="Calibri" w:cs="Cambria"/>
          <w:b/>
          <w:bCs/>
          <w:color w:val="000000"/>
          <w:szCs w:val="24"/>
          <w:lang w:eastAsia="sk-SK" w:bidi="ar-SA"/>
        </w:rPr>
        <w:t xml:space="preserve"> </w:t>
      </w:r>
      <w:r w:rsidRPr="001D19C9">
        <w:rPr>
          <w:rFonts w:eastAsia="Calibri" w:cs="Cambria"/>
          <w:color w:val="000000"/>
          <w:szCs w:val="24"/>
          <w:lang w:eastAsia="sk-SK" w:bidi="ar-SA"/>
        </w:rPr>
        <w:t xml:space="preserve">pričom pre dve tretiny bola podpora z projektu pre jeho zriadenie rozhodujúca. </w:t>
      </w:r>
    </w:p>
    <w:p w:rsidR="001D19C9" w:rsidRPr="006D03BE" w:rsidRDefault="001D19C9" w:rsidP="002B6F49">
      <w:pPr>
        <w:numPr>
          <w:ilvl w:val="12"/>
          <w:numId w:val="0"/>
        </w:numPr>
        <w:shd w:val="clear" w:color="auto" w:fill="auto"/>
        <w:spacing w:after="120" w:line="240" w:lineRule="auto"/>
        <w:rPr>
          <w:color w:val="000000"/>
          <w:szCs w:val="24"/>
          <w:lang w:bidi="ar-SA"/>
        </w:rPr>
      </w:pPr>
    </w:p>
    <w:p w:rsidR="00D75A0F" w:rsidRPr="00D75A0F" w:rsidRDefault="00D75A0F" w:rsidP="00D75A0F">
      <w:pPr>
        <w:numPr>
          <w:ilvl w:val="12"/>
          <w:numId w:val="0"/>
        </w:numPr>
        <w:shd w:val="clear" w:color="auto" w:fill="auto"/>
        <w:spacing w:after="120" w:line="240" w:lineRule="auto"/>
        <w:rPr>
          <w:b/>
          <w:color w:val="000000"/>
          <w:lang w:bidi="ar-SA"/>
        </w:rPr>
      </w:pPr>
      <w:r w:rsidRPr="00D75A0F">
        <w:rPr>
          <w:b/>
          <w:color w:val="000000"/>
          <w:lang w:bidi="ar-SA"/>
        </w:rPr>
        <w:t>Nórsky finančný mechanizmus</w:t>
      </w:r>
    </w:p>
    <w:p w:rsidR="00D75A0F" w:rsidRPr="00D75A0F" w:rsidRDefault="00D75A0F" w:rsidP="00D75A0F">
      <w:pPr>
        <w:shd w:val="clear" w:color="auto" w:fill="auto"/>
        <w:spacing w:line="240" w:lineRule="auto"/>
        <w:rPr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t xml:space="preserve">V rámci programu SK09: </w:t>
      </w:r>
      <w:r w:rsidRPr="001D19C9">
        <w:rPr>
          <w:i/>
          <w:color w:val="000000"/>
          <w:lang w:eastAsia="sk-SK" w:bidi="ar-SA"/>
        </w:rPr>
        <w:t>Domáce a rodovo podmienené násilie</w:t>
      </w:r>
      <w:r w:rsidRPr="00D75A0F">
        <w:rPr>
          <w:color w:val="000000"/>
          <w:lang w:eastAsia="sk-SK" w:bidi="ar-SA"/>
        </w:rPr>
        <w:t xml:space="preserve"> prebieha implementácia projektu </w:t>
      </w:r>
      <w:r w:rsidRPr="001D19C9">
        <w:rPr>
          <w:i/>
          <w:color w:val="000000"/>
          <w:lang w:eastAsia="sk-SK" w:bidi="ar-SA"/>
        </w:rPr>
        <w:t>Koordinačno–metodického centra</w:t>
      </w:r>
      <w:r w:rsidR="001D19C9">
        <w:rPr>
          <w:color w:val="000000"/>
          <w:lang w:eastAsia="sk-SK" w:bidi="ar-SA"/>
        </w:rPr>
        <w:t xml:space="preserve"> </w:t>
      </w:r>
      <w:r w:rsidR="001D19C9" w:rsidRPr="001D19C9">
        <w:rPr>
          <w:i/>
          <w:color w:val="000000"/>
          <w:lang w:eastAsia="sk-SK" w:bidi="ar-SA"/>
        </w:rPr>
        <w:t>pre rodovo podmie</w:t>
      </w:r>
      <w:r w:rsidR="001D19C9">
        <w:rPr>
          <w:i/>
          <w:color w:val="000000"/>
          <w:lang w:eastAsia="sk-SK" w:bidi="ar-SA"/>
        </w:rPr>
        <w:t>ne</w:t>
      </w:r>
      <w:r w:rsidR="001D19C9" w:rsidRPr="001D19C9">
        <w:rPr>
          <w:i/>
          <w:color w:val="000000"/>
          <w:lang w:eastAsia="sk-SK" w:bidi="ar-SA"/>
        </w:rPr>
        <w:t>né a domáce násilie</w:t>
      </w:r>
      <w:r w:rsidRPr="00D75A0F">
        <w:rPr>
          <w:color w:val="000000"/>
          <w:lang w:eastAsia="sk-SK" w:bidi="ar-SA"/>
        </w:rPr>
        <w:t xml:space="preserve"> (</w:t>
      </w:r>
      <w:r w:rsidR="001D19C9">
        <w:rPr>
          <w:color w:val="000000"/>
          <w:lang w:eastAsia="sk-SK" w:bidi="ar-SA"/>
        </w:rPr>
        <w:t>ďalej len „</w:t>
      </w:r>
      <w:r w:rsidRPr="00D75A0F">
        <w:rPr>
          <w:color w:val="000000"/>
          <w:lang w:eastAsia="sk-SK" w:bidi="ar-SA"/>
        </w:rPr>
        <w:t>KMC</w:t>
      </w:r>
      <w:r w:rsidR="001D19C9">
        <w:rPr>
          <w:color w:val="000000"/>
          <w:lang w:eastAsia="sk-SK" w:bidi="ar-SA"/>
        </w:rPr>
        <w:t>“</w:t>
      </w:r>
      <w:r w:rsidRPr="00D75A0F">
        <w:rPr>
          <w:color w:val="000000"/>
          <w:lang w:eastAsia="sk-SK" w:bidi="ar-SA"/>
        </w:rPr>
        <w:t xml:space="preserve">), ktorý je financovaný z grantu Nórskeho kráľovstva prostredníctvom Nórskeho finančného mechanizmu a spolufinancovaný zo štátneho rozpočtu Slovenskej republiky grantom vo výške 2.000.000 Eur.  Projekt KMC implementuje MPSVR SR v partnerstve s Inštitútom pre výskum práce a rodiny, Radou Európy a Nórskym centrom pre násilie a traumatické stresové štúdie. Odbor rodovej rovnosti a rovnosti príležitostí MPSVR SR zabezpečuje odbornú garanciu projektu. Poslaním KMC je v súlade s </w:t>
      </w:r>
      <w:r w:rsidRPr="001D19C9">
        <w:rPr>
          <w:i/>
          <w:color w:val="000000"/>
          <w:lang w:eastAsia="sk-SK" w:bidi="ar-SA"/>
        </w:rPr>
        <w:t>Národným akčným plánom na prevenciu a elimináciu násilia páchaného na ženách na roky 2014-2019</w:t>
      </w:r>
      <w:r w:rsidRPr="00D75A0F">
        <w:rPr>
          <w:color w:val="000000"/>
          <w:lang w:eastAsia="sk-SK" w:bidi="ar-SA"/>
        </w:rPr>
        <w:t xml:space="preserve"> vytvoriť, implementovať a koordinovať komplexnú celoštátnu politiku pre danú oblasť.</w:t>
      </w:r>
    </w:p>
    <w:p w:rsidR="00D75A0F" w:rsidRPr="00D75A0F" w:rsidRDefault="00D75A0F" w:rsidP="00D75A0F">
      <w:pPr>
        <w:shd w:val="clear" w:color="auto" w:fill="auto"/>
        <w:spacing w:line="240" w:lineRule="auto"/>
        <w:rPr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t xml:space="preserve">Zriadenie KMC napĺňa článok 10 </w:t>
      </w:r>
      <w:r w:rsidRPr="001D19C9">
        <w:rPr>
          <w:i/>
          <w:color w:val="000000"/>
          <w:lang w:eastAsia="sk-SK" w:bidi="ar-SA"/>
        </w:rPr>
        <w:t>Dohovoru Rady Európy o predchádzaní násiliu na ženách a domácemu násiliu a boji proti nemu</w:t>
      </w:r>
      <w:r w:rsidRPr="00D75A0F">
        <w:rPr>
          <w:color w:val="000000"/>
          <w:lang w:eastAsia="sk-SK" w:bidi="ar-SA"/>
        </w:rPr>
        <w:t xml:space="preserve"> (Istanbulský dohovor), ktorý zmluvným stranám ukladá povinnosť koordinačný orgán v danej oblasti zriadiť.</w:t>
      </w:r>
      <w:r w:rsidR="001D19C9">
        <w:rPr>
          <w:color w:val="000000"/>
          <w:lang w:eastAsia="sk-SK" w:bidi="ar-SA"/>
        </w:rPr>
        <w:t xml:space="preserve"> Projekt bol oficiálne zahájený o</w:t>
      </w:r>
      <w:r w:rsidRPr="00D75A0F">
        <w:rPr>
          <w:color w:val="000000"/>
          <w:lang w:eastAsia="sk-SK" w:bidi="ar-SA"/>
        </w:rPr>
        <w:t>tváracou konferenciou v apríl</w:t>
      </w:r>
      <w:r w:rsidR="001D19C9">
        <w:rPr>
          <w:color w:val="000000"/>
          <w:lang w:eastAsia="sk-SK" w:bidi="ar-SA"/>
        </w:rPr>
        <w:t>i</w:t>
      </w:r>
      <w:r w:rsidRPr="00D75A0F">
        <w:rPr>
          <w:color w:val="000000"/>
          <w:lang w:eastAsia="sk-SK" w:bidi="ar-SA"/>
        </w:rPr>
        <w:t xml:space="preserve"> 2015 za účasti veľvyslankyne Nórskeho kráľovstva, ministra práce, sociálnych vecí a rodiny SR, riaditeľa sekcie rovnosti a ľudskej dôstojnosti Rady Európy, generálneho riaditeľa sekcie bilaterálnych finančných nástrojov Úradu vlády SR a zástupcov a zástupkýň Nórskeho centra pre násilie a traumatické stresové štúdie. Na konferencii sa zúčastnilo približne sto osôb z relevantných ministerstiev, iných verejných inštitúcií a mimovládnych organizácií. </w:t>
      </w:r>
    </w:p>
    <w:p w:rsidR="00D75A0F" w:rsidRPr="00D75A0F" w:rsidRDefault="00D75A0F" w:rsidP="00D75A0F">
      <w:pPr>
        <w:shd w:val="clear" w:color="auto" w:fill="auto"/>
        <w:spacing w:line="240" w:lineRule="auto"/>
        <w:rPr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lastRenderedPageBreak/>
        <w:t xml:space="preserve">KMC bolo zriadené v rámci Inštitútu pre výskum práce a rodiny a svoje úlohy plní prierezovo cez všetky relevantné rezorty. V roku 2015 bola nadviazaná spolupráca s Justičnou akadémiou a Policajnou akadémiou, ako kľúčovými inštitúciami v oblasti vzdelávania polície a právnických profesií - prokuratúry a súdov, ako aj vzdelávania v oblasti znaleckej činnosti. Rovnako prebehli stretnutia s Ministerstvom vnútra, Ministerstvom spravodlivosti,  Ministerstvom zdravotníctva, Metodicko-pedagogickým centrom a Štátnym pedagogickým ústavom o možnostiach budúcej spolupráce. </w:t>
      </w:r>
    </w:p>
    <w:p w:rsidR="00D75A0F" w:rsidRPr="00D75A0F" w:rsidRDefault="00D75A0F" w:rsidP="00D75A0F">
      <w:pPr>
        <w:shd w:val="clear" w:color="auto" w:fill="auto"/>
        <w:spacing w:line="240" w:lineRule="auto"/>
        <w:rPr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t xml:space="preserve">V rámci KMC bol vytvorený expertný tím zodpovedný za odbornú koordináciu a supervíziu systémovej prevencie a intervencie na podporu obetí a poskytovania služieb v oblasti násilia páchaného na ženách a domáceho násilia. Do expertnej činnosti KMC bolo zapojených 25 osôb do konca roka 2015 (interne: 5, externe: 20). </w:t>
      </w:r>
    </w:p>
    <w:p w:rsidR="00D75A0F" w:rsidRPr="00D75A0F" w:rsidRDefault="005D07A9" w:rsidP="00D75A0F">
      <w:pPr>
        <w:shd w:val="clear" w:color="auto" w:fill="auto"/>
        <w:spacing w:line="240" w:lineRule="auto"/>
        <w:rPr>
          <w:color w:val="000000"/>
          <w:lang w:eastAsia="sk-SK" w:bidi="ar-SA"/>
        </w:rPr>
      </w:pPr>
      <w:r>
        <w:rPr>
          <w:color w:val="000000"/>
          <w:lang w:eastAsia="sk-SK" w:bidi="ar-SA"/>
        </w:rPr>
        <w:t>Expertný</w:t>
      </w:r>
      <w:r w:rsidR="00D75A0F" w:rsidRPr="00D75A0F">
        <w:rPr>
          <w:color w:val="000000"/>
          <w:lang w:eastAsia="sk-SK" w:bidi="ar-SA"/>
        </w:rPr>
        <w:t xml:space="preserve"> tím KMC vytvára podmienky pre multi</w:t>
      </w:r>
      <w:r w:rsidR="00560412">
        <w:rPr>
          <w:color w:val="000000"/>
          <w:lang w:eastAsia="sk-SK" w:bidi="ar-SA"/>
        </w:rPr>
        <w:t>-</w:t>
      </w:r>
      <w:r w:rsidR="00D75A0F" w:rsidRPr="00D75A0F">
        <w:rPr>
          <w:color w:val="000000"/>
          <w:lang w:eastAsia="sk-SK" w:bidi="ar-SA"/>
        </w:rPr>
        <w:t>inštitucionálnu spoluprácu pomáhajúcich profesií a zabezpečuje systém vzdelávania týchto profesií. Projekt KMC nadväzuje na aktivity a výsledky národného projektu: Prevencia a eliminácia násilia na ženách, v rámci ktorého boli vytvorené pracovné skupiny multi</w:t>
      </w:r>
      <w:r w:rsidR="00560412">
        <w:rPr>
          <w:color w:val="000000"/>
          <w:lang w:eastAsia="sk-SK" w:bidi="ar-SA"/>
        </w:rPr>
        <w:t>-</w:t>
      </w:r>
      <w:r w:rsidR="00D75A0F" w:rsidRPr="00D75A0F">
        <w:rPr>
          <w:color w:val="000000"/>
          <w:lang w:eastAsia="sk-SK" w:bidi="ar-SA"/>
        </w:rPr>
        <w:t>inštitucionálnej spolupráce v ôsmych samosprávnych krajoch. Prebieha príprava Metodiky fungovania partnerstiev multi</w:t>
      </w:r>
      <w:r w:rsidR="00560412">
        <w:rPr>
          <w:color w:val="000000"/>
          <w:lang w:eastAsia="sk-SK" w:bidi="ar-SA"/>
        </w:rPr>
        <w:t>-</w:t>
      </w:r>
      <w:r w:rsidR="00D75A0F" w:rsidRPr="00D75A0F">
        <w:rPr>
          <w:color w:val="000000"/>
          <w:lang w:eastAsia="sk-SK" w:bidi="ar-SA"/>
        </w:rPr>
        <w:t>inštitucionálnej spolupráce v oblasti násilia na ženách a to na základe realizovaného hodnotenia činnosti doterajších 8 pracovných skupín. Dňa 22.10.2015 sa uskutočnil workshop pre relevantné subjekty: Multi</w:t>
      </w:r>
      <w:r w:rsidR="00560412">
        <w:rPr>
          <w:color w:val="000000"/>
          <w:lang w:eastAsia="sk-SK" w:bidi="ar-SA"/>
        </w:rPr>
        <w:t>-</w:t>
      </w:r>
      <w:r w:rsidR="00D75A0F" w:rsidRPr="00D75A0F">
        <w:rPr>
          <w:color w:val="000000"/>
          <w:lang w:eastAsia="sk-SK" w:bidi="ar-SA"/>
        </w:rPr>
        <w:t xml:space="preserve">inštitucionálna spolupráca ako predpoklad účinného boja proti násiliu na ženách a domácemu násiliu. </w:t>
      </w:r>
    </w:p>
    <w:p w:rsidR="00D75A0F" w:rsidRPr="00D75A0F" w:rsidRDefault="00D75A0F" w:rsidP="00D75A0F">
      <w:pPr>
        <w:shd w:val="clear" w:color="auto" w:fill="auto"/>
        <w:spacing w:line="240" w:lineRule="auto"/>
        <w:rPr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t>S cieľom zaistiť presné nastavenie vzdelávania polície a právnických profesií - prokuratúry a súdov SR a vypracovanie tréningu pre trénerov uvedených profesií bola zorganizovaná „</w:t>
      </w:r>
      <w:r w:rsidRPr="001D19C9">
        <w:rPr>
          <w:i/>
          <w:color w:val="000000"/>
          <w:lang w:eastAsia="sk-SK" w:bidi="ar-SA"/>
        </w:rPr>
        <w:t>Fact Finding Mission</w:t>
      </w:r>
      <w:r w:rsidRPr="00D75A0F">
        <w:rPr>
          <w:color w:val="000000"/>
          <w:lang w:eastAsia="sk-SK" w:bidi="ar-SA"/>
        </w:rPr>
        <w:t xml:space="preserve">“ s expertkami z Rady Európy a s tromi cieľovými skupinami: polícia, MVO, prokuratúra a súdnictvo (29.6., 30.6. a 1.7.). Na základe zistení z daných stretnutí vypracovali expertky z Rady Európy Manuál tréningu pre trénerov pre políciu, prokuratúru a súdy, ktorý bude využitý na vytrénovanie </w:t>
      </w:r>
      <w:proofErr w:type="spellStart"/>
      <w:r w:rsidRPr="00D75A0F">
        <w:rPr>
          <w:color w:val="000000"/>
          <w:lang w:eastAsia="sk-SK" w:bidi="ar-SA"/>
        </w:rPr>
        <w:t>multiplikátorov</w:t>
      </w:r>
      <w:proofErr w:type="spellEnd"/>
      <w:r w:rsidRPr="00D75A0F">
        <w:rPr>
          <w:color w:val="000000"/>
          <w:lang w:eastAsia="sk-SK" w:bidi="ar-SA"/>
        </w:rPr>
        <w:t xml:space="preserve"> a </w:t>
      </w:r>
      <w:proofErr w:type="spellStart"/>
      <w:r w:rsidRPr="00D75A0F">
        <w:rPr>
          <w:color w:val="000000"/>
          <w:lang w:eastAsia="sk-SK" w:bidi="ar-SA"/>
        </w:rPr>
        <w:t>multiplikátoriek</w:t>
      </w:r>
      <w:proofErr w:type="spellEnd"/>
      <w:r w:rsidRPr="00D75A0F">
        <w:rPr>
          <w:color w:val="000000"/>
          <w:lang w:eastAsia="sk-SK" w:bidi="ar-SA"/>
        </w:rPr>
        <w:t xml:space="preserve"> danej témy. Plánovaný termín pre uskutočnenie tréningu je 23.-24.jún 2016. Účastníčkami a účastníkmi tréningu budú zástupcovia a zástupkyne Policajného zboru SR, prokuratúry, advokáti a advokátky, najmä už so skúsenosťami v danej problematike. S ponukou na daný tréning oslovíme aj sudcov a sudkyne. </w:t>
      </w:r>
    </w:p>
    <w:p w:rsidR="00D75A0F" w:rsidRPr="00D75A0F" w:rsidRDefault="00D75A0F" w:rsidP="00D75A0F">
      <w:pPr>
        <w:shd w:val="clear" w:color="auto" w:fill="auto"/>
        <w:spacing w:line="240" w:lineRule="auto"/>
        <w:rPr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t>Expertný tím KMC rovnako spolupracuje s Policajným zborom SR na aktualizácii Metodiky postupov polície v prípadoch domáceho násilia.</w:t>
      </w:r>
    </w:p>
    <w:p w:rsidR="00D75A0F" w:rsidRPr="00D75A0F" w:rsidRDefault="00D75A0F" w:rsidP="00D75A0F">
      <w:pPr>
        <w:shd w:val="clear" w:color="auto" w:fill="auto"/>
        <w:spacing w:line="240" w:lineRule="auto"/>
        <w:rPr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t xml:space="preserve">V oblasti znalectva bol vypracovaný materiál </w:t>
      </w:r>
      <w:r w:rsidRPr="001D19C9">
        <w:rPr>
          <w:i/>
          <w:color w:val="000000"/>
          <w:lang w:eastAsia="sk-SK" w:bidi="ar-SA"/>
        </w:rPr>
        <w:t>Vybrané aspekty znaleckého posudzovania prípadov násilia na ženách</w:t>
      </w:r>
      <w:r w:rsidRPr="00D75A0F">
        <w:rPr>
          <w:color w:val="000000"/>
          <w:lang w:eastAsia="sk-SK" w:bidi="ar-SA"/>
        </w:rPr>
        <w:t xml:space="preserve">, ktorý pomenúva problémové oblasti znaleckého posudzovania v daných prípadoch a ponúka možnosti riešenia, aby nedochádzalo k sekundárnej viktimizácii žien. </w:t>
      </w:r>
    </w:p>
    <w:p w:rsidR="00D75A0F" w:rsidRPr="00D75A0F" w:rsidRDefault="00D75A0F" w:rsidP="00D75A0F">
      <w:pPr>
        <w:shd w:val="clear" w:color="auto" w:fill="auto"/>
        <w:spacing w:line="240" w:lineRule="auto"/>
        <w:rPr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t xml:space="preserve">Expertný tím KMC zorganizoval dva tréningy pre </w:t>
      </w:r>
      <w:proofErr w:type="spellStart"/>
      <w:r w:rsidRPr="00D75A0F">
        <w:rPr>
          <w:color w:val="000000"/>
          <w:lang w:eastAsia="sk-SK" w:bidi="ar-SA"/>
        </w:rPr>
        <w:t>multiplikátorov</w:t>
      </w:r>
      <w:proofErr w:type="spellEnd"/>
      <w:r w:rsidRPr="00D75A0F">
        <w:rPr>
          <w:color w:val="000000"/>
          <w:lang w:eastAsia="sk-SK" w:bidi="ar-SA"/>
        </w:rPr>
        <w:t xml:space="preserve"> a </w:t>
      </w:r>
      <w:proofErr w:type="spellStart"/>
      <w:r w:rsidRPr="00D75A0F">
        <w:rPr>
          <w:color w:val="000000"/>
          <w:lang w:eastAsia="sk-SK" w:bidi="ar-SA"/>
        </w:rPr>
        <w:t>multiplikátork</w:t>
      </w:r>
      <w:r w:rsidR="00560412">
        <w:rPr>
          <w:color w:val="000000"/>
          <w:lang w:eastAsia="sk-SK" w:bidi="ar-SA"/>
        </w:rPr>
        <w:t>y</w:t>
      </w:r>
      <w:proofErr w:type="spellEnd"/>
      <w:r w:rsidRPr="00D75A0F">
        <w:rPr>
          <w:color w:val="000000"/>
          <w:lang w:eastAsia="sk-SK" w:bidi="ar-SA"/>
        </w:rPr>
        <w:t xml:space="preserve"> v oblasti terénnej sociálnej práce v MRK (21.-22.9, 5.-6.10, 19.-20.10.). Cieľom bolo nielen vzdelať koordinátorov a koordinátorky terénnej sociálnej práce v MRK, ale aj identifikovať nieko</w:t>
      </w:r>
      <w:r w:rsidR="00560412">
        <w:rPr>
          <w:color w:val="000000"/>
          <w:lang w:eastAsia="sk-SK" w:bidi="ar-SA"/>
        </w:rPr>
        <w:t>ľkých budúcich lektorov a lekto</w:t>
      </w:r>
      <w:r w:rsidR="005C794F">
        <w:rPr>
          <w:color w:val="000000"/>
          <w:lang w:eastAsia="sk-SK" w:bidi="ar-SA"/>
        </w:rPr>
        <w:t>r</w:t>
      </w:r>
      <w:r w:rsidRPr="00D75A0F">
        <w:rPr>
          <w:color w:val="000000"/>
          <w:lang w:eastAsia="sk-SK" w:bidi="ar-SA"/>
        </w:rPr>
        <w:t>k</w:t>
      </w:r>
      <w:r w:rsidR="00560412">
        <w:rPr>
          <w:color w:val="000000"/>
          <w:lang w:eastAsia="sk-SK" w:bidi="ar-SA"/>
        </w:rPr>
        <w:t>y</w:t>
      </w:r>
      <w:r w:rsidRPr="00D75A0F">
        <w:rPr>
          <w:color w:val="000000"/>
          <w:lang w:eastAsia="sk-SK" w:bidi="ar-SA"/>
        </w:rPr>
        <w:t xml:space="preserve"> v téme rodovo podmieneného a domáceho násilia pri vzdelávaní terénnych sociálnych pracovníčok a pracovníkov, preto </w:t>
      </w:r>
      <w:r w:rsidRPr="00D75A0F">
        <w:rPr>
          <w:color w:val="000000"/>
          <w:lang w:eastAsia="sk-SK" w:bidi="ar-SA"/>
        </w:rPr>
        <w:lastRenderedPageBreak/>
        <w:t>bol tréning navrhnutý a realizovaný aj s komponentom trénerských zručností. Realizácii tréningu predchádzalo vytvorenie osobitného tréningového manuálu a príručky pre účastníkov a účastníčky. Celkový počet účastníkov a účastníčok tréningov bol 24 a bolo odtrénovaných 102 hodín.</w:t>
      </w:r>
    </w:p>
    <w:p w:rsidR="00D75A0F" w:rsidRPr="00D75A0F" w:rsidRDefault="00D75A0F" w:rsidP="00D75A0F">
      <w:pPr>
        <w:shd w:val="clear" w:color="auto" w:fill="auto"/>
        <w:spacing w:line="240" w:lineRule="auto"/>
        <w:rPr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t xml:space="preserve">V oblasti domáceho násilia bol zrealizovaný workshop na tému </w:t>
      </w:r>
      <w:r w:rsidRPr="001D19C9">
        <w:rPr>
          <w:i/>
          <w:color w:val="000000"/>
          <w:lang w:eastAsia="sk-SK" w:bidi="ar-SA"/>
        </w:rPr>
        <w:t>Domáce násilie LGBTI ľudí</w:t>
      </w:r>
      <w:r w:rsidRPr="00D75A0F">
        <w:rPr>
          <w:color w:val="000000"/>
          <w:lang w:eastAsia="sk-SK" w:bidi="ar-SA"/>
        </w:rPr>
        <w:t xml:space="preserve"> s expertkami a expertmi, ktorí sa venujú ľudským právam LGBTI ľudí (20.11.2015). Boli identifikované potreby spracovania návrhu špecializovaných postupov a to vo forme metodiky ako zo strany pomáhajúcich profesií riešiť domáce násilie na LGBTI ľuďoch v rodinách.</w:t>
      </w:r>
    </w:p>
    <w:p w:rsidR="00D75A0F" w:rsidRPr="00D75A0F" w:rsidRDefault="00D75A0F" w:rsidP="00D75A0F">
      <w:pPr>
        <w:shd w:val="clear" w:color="auto" w:fill="auto"/>
        <w:spacing w:line="240" w:lineRule="auto"/>
        <w:rPr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t xml:space="preserve">V novembri 2015 sa uskutočnili stretnutia s expertkami a expertmi v problematike programov pre páchateľov násilia na ženách. Výstupom stretnutí bolo nadviazanie spolupráce v rámci vypracovania </w:t>
      </w:r>
      <w:r w:rsidRPr="001D19C9">
        <w:rPr>
          <w:i/>
          <w:color w:val="000000"/>
          <w:lang w:eastAsia="sk-SK" w:bidi="ar-SA"/>
        </w:rPr>
        <w:t>Štandardov a postupov zavedenia sociálno-intervenčných programov pre páchateľov násilia na ženách</w:t>
      </w:r>
      <w:r w:rsidRPr="00D75A0F">
        <w:rPr>
          <w:color w:val="000000"/>
          <w:lang w:eastAsia="sk-SK" w:bidi="ar-SA"/>
        </w:rPr>
        <w:t xml:space="preserve">, ktoré budú obsahovať odporúčania najmä pre prax súdov ohľadom možnosti udeľovania ochranných opatrení páchateľom násilia páchaného na ženách a domáceho násilia v prípadoch podmienečného odsúdenia na trest odňatia slobody alebo v prípade podmienečného prepustenia z výkonu trestu odňatia slobody v týchto prípadoch. </w:t>
      </w:r>
    </w:p>
    <w:p w:rsidR="00D75A0F" w:rsidRPr="00D75A0F" w:rsidRDefault="00D75A0F" w:rsidP="00D75A0F">
      <w:pPr>
        <w:shd w:val="clear" w:color="auto" w:fill="auto"/>
        <w:spacing w:line="240" w:lineRule="auto"/>
        <w:rPr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t xml:space="preserve">V oblasti primárnej prevencie sa projekt KMC venuje prevencii násilia prostredníctvom informovania mladých ľudí, </w:t>
      </w:r>
      <w:r w:rsidR="00560412">
        <w:rPr>
          <w:color w:val="000000"/>
          <w:lang w:eastAsia="sk-SK" w:bidi="ar-SA"/>
        </w:rPr>
        <w:t xml:space="preserve">najmä </w:t>
      </w:r>
      <w:r w:rsidRPr="00D75A0F">
        <w:rPr>
          <w:color w:val="000000"/>
          <w:lang w:eastAsia="sk-SK" w:bidi="ar-SA"/>
        </w:rPr>
        <w:t xml:space="preserve">študentov a študentiek, a organizovaním besied o násilí. Spoluprácou s </w:t>
      </w:r>
      <w:r w:rsidRPr="001D19C9">
        <w:rPr>
          <w:i/>
          <w:color w:val="000000"/>
          <w:lang w:eastAsia="sk-SK" w:bidi="ar-SA"/>
        </w:rPr>
        <w:t>Olympiádou ľudských práv</w:t>
      </w:r>
      <w:r w:rsidRPr="00D75A0F">
        <w:rPr>
          <w:color w:val="000000"/>
          <w:lang w:eastAsia="sk-SK" w:bidi="ar-SA"/>
        </w:rPr>
        <w:t xml:space="preserve">, ktorú organizuje </w:t>
      </w:r>
      <w:r w:rsidRPr="001D19C9">
        <w:rPr>
          <w:i/>
          <w:color w:val="000000"/>
          <w:lang w:eastAsia="sk-SK" w:bidi="ar-SA"/>
        </w:rPr>
        <w:t>Helsinský výbor na Slovensku</w:t>
      </w:r>
      <w:r w:rsidRPr="00D75A0F">
        <w:rPr>
          <w:color w:val="000000"/>
          <w:lang w:eastAsia="sk-SK" w:bidi="ar-SA"/>
        </w:rPr>
        <w:t>, KMC otvorilo svoju ponuku aktivít v oblasti prevencie v októbri 2015. Učitelia a učiteľky stredných škôl mali príležitosť zúčastniť sa prednášok o problematike násilia na ženách a domáceho násilia z pohľadu ľudských práv ako aj workshopu na tému „</w:t>
      </w:r>
      <w:r w:rsidRPr="001D19C9">
        <w:rPr>
          <w:i/>
          <w:color w:val="000000"/>
          <w:lang w:eastAsia="sk-SK" w:bidi="ar-SA"/>
        </w:rPr>
        <w:t>Domáce a rodovo podmienené násilie</w:t>
      </w:r>
      <w:r w:rsidRPr="00D75A0F">
        <w:rPr>
          <w:color w:val="000000"/>
          <w:lang w:eastAsia="sk-SK" w:bidi="ar-SA"/>
        </w:rPr>
        <w:t xml:space="preserve">“. V súčasnej dobe sú na stredných školách organizované individuálne workshopy. Expertky a experti z KMC oslovili vyše 700 ľudí (študentov a študentiek a ich pedagógov a pedagogičky) v rámci primárnej prevencie. </w:t>
      </w:r>
    </w:p>
    <w:p w:rsidR="00D75A0F" w:rsidRPr="001D19C9" w:rsidRDefault="00D75A0F" w:rsidP="00D75A0F">
      <w:pPr>
        <w:shd w:val="clear" w:color="auto" w:fill="auto"/>
        <w:spacing w:line="240" w:lineRule="auto"/>
        <w:rPr>
          <w:i/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t xml:space="preserve">KMC rovnako uskutočňuje výskumy a monitoring, konkrétne v súčasnosti prebiehajú štyri výskumné projekty: </w:t>
      </w:r>
      <w:r w:rsidRPr="001D19C9">
        <w:rPr>
          <w:i/>
          <w:color w:val="000000"/>
          <w:lang w:eastAsia="sk-SK" w:bidi="ar-SA"/>
        </w:rPr>
        <w:t>Prevalencia a charakter domáceho násilia na Slovensku, Prevalencia a charakter sexuálneho násilia páchaného na ženách, Mapovania postupov a postojov vyšetrovateľov PZ SR v prípadoch násilia páchaného na ženách, Vzťah matka – dieťa v kontexte partnerského násilia páchaného na ženách.</w:t>
      </w:r>
    </w:p>
    <w:p w:rsidR="00D75A0F" w:rsidRPr="00D75A0F" w:rsidRDefault="00D75A0F" w:rsidP="001D19C9">
      <w:pPr>
        <w:shd w:val="clear" w:color="auto" w:fill="auto"/>
        <w:spacing w:line="240" w:lineRule="auto"/>
        <w:rPr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t xml:space="preserve">Na požiadanie Správcu programu SK09, Úradu vlády SR, expertný tím KMC realizoval </w:t>
      </w:r>
      <w:r w:rsidRPr="001D19C9">
        <w:rPr>
          <w:i/>
          <w:color w:val="000000"/>
          <w:lang w:eastAsia="sk-SK" w:bidi="ar-SA"/>
        </w:rPr>
        <w:t>Monitoring a hodnotenie súladu poskytovania služieb ženám zažívajúcim násilie a ich deťom so Štandardami Rady Európy organizáciami</w:t>
      </w:r>
      <w:r w:rsidRPr="00D75A0F">
        <w:rPr>
          <w:color w:val="000000"/>
          <w:lang w:eastAsia="sk-SK" w:bidi="ar-SA"/>
        </w:rPr>
        <w:t xml:space="preserve">, ktoré sú prijímateľmi a garantmi projektov </w:t>
      </w:r>
      <w:r w:rsidR="001D19C9">
        <w:rPr>
          <w:color w:val="000000"/>
          <w:lang w:eastAsia="sk-SK" w:bidi="ar-SA"/>
        </w:rPr>
        <w:t xml:space="preserve">v rámci I. výzvy programu SK09 </w:t>
      </w:r>
      <w:r w:rsidRPr="00D75A0F">
        <w:rPr>
          <w:color w:val="000000"/>
          <w:lang w:eastAsia="sk-SK" w:bidi="ar-SA"/>
        </w:rPr>
        <w:t>DGV01 programu Domáce a rodovo podmienené násilie I. kola grantov (11 poskytovateľov).</w:t>
      </w:r>
    </w:p>
    <w:p w:rsidR="00D75A0F" w:rsidRDefault="00D75A0F" w:rsidP="00D75A0F">
      <w:pPr>
        <w:keepNext/>
        <w:shd w:val="clear" w:color="auto" w:fill="auto"/>
        <w:spacing w:line="240" w:lineRule="auto"/>
        <w:outlineLvl w:val="2"/>
        <w:rPr>
          <w:rFonts w:cs="Arial"/>
          <w:bCs/>
          <w:smallCaps/>
          <w:color w:val="17365D"/>
          <w:sz w:val="32"/>
          <w:szCs w:val="26"/>
          <w:lang w:eastAsia="sk-SK" w:bidi="ar-SA"/>
        </w:rPr>
      </w:pPr>
    </w:p>
    <w:p w:rsidR="00B67898" w:rsidRDefault="00B67898">
      <w:pPr>
        <w:shd w:val="clear" w:color="auto" w:fill="auto"/>
        <w:spacing w:after="0" w:line="240" w:lineRule="auto"/>
        <w:jc w:val="left"/>
        <w:rPr>
          <w:caps/>
          <w:color w:val="000000"/>
          <w:sz w:val="28"/>
          <w:szCs w:val="24"/>
          <w:lang w:eastAsia="sk-SK" w:bidi="ar-SA"/>
        </w:rPr>
      </w:pPr>
      <w:bookmarkStart w:id="3" w:name="_Toc451508603"/>
      <w:r>
        <w:rPr>
          <w:lang w:eastAsia="sk-SK" w:bidi="ar-SA"/>
        </w:rPr>
        <w:br w:type="page"/>
      </w:r>
    </w:p>
    <w:p w:rsidR="00D75A0F" w:rsidRPr="00D75A0F" w:rsidRDefault="00D75A0F" w:rsidP="00261666">
      <w:pPr>
        <w:pStyle w:val="Nadpis3"/>
        <w:rPr>
          <w:lang w:eastAsia="sk-SK" w:bidi="ar-SA"/>
        </w:rPr>
      </w:pPr>
      <w:r w:rsidRPr="00D75A0F">
        <w:rPr>
          <w:lang w:eastAsia="sk-SK" w:bidi="ar-SA"/>
        </w:rPr>
        <w:lastRenderedPageBreak/>
        <w:t>AKTIVITY A KAMPANE</w:t>
      </w:r>
      <w:bookmarkEnd w:id="3"/>
    </w:p>
    <w:p w:rsidR="00D75A0F" w:rsidRPr="00D75A0F" w:rsidRDefault="00D75A0F" w:rsidP="00D75A0F">
      <w:pPr>
        <w:shd w:val="clear" w:color="auto" w:fill="auto"/>
        <w:spacing w:line="240" w:lineRule="auto"/>
        <w:rPr>
          <w:b/>
          <w:color w:val="000000"/>
          <w:lang w:eastAsia="sk-SK" w:bidi="ar-SA"/>
        </w:rPr>
      </w:pPr>
      <w:r w:rsidRPr="00D75A0F">
        <w:rPr>
          <w:b/>
          <w:color w:val="000000"/>
          <w:lang w:eastAsia="sk-SK" w:bidi="ar-SA"/>
        </w:rPr>
        <w:t>Obhajoba piatej a šiestej periodickej správy SR k Dohovoru o odstránení všetkých foriem diskriminácie žien pred Výborom OSN pre odstránenie diskriminácie žien</w:t>
      </w:r>
    </w:p>
    <w:p w:rsidR="00D75A0F" w:rsidRPr="00D75A0F" w:rsidRDefault="00D75A0F" w:rsidP="00D75A0F">
      <w:pPr>
        <w:shd w:val="clear" w:color="auto" w:fill="auto"/>
        <w:spacing w:line="240" w:lineRule="auto"/>
        <w:rPr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t xml:space="preserve">SR je zmluvnou stranou </w:t>
      </w:r>
      <w:r w:rsidRPr="00177FDD">
        <w:rPr>
          <w:i/>
          <w:color w:val="000000"/>
          <w:lang w:eastAsia="sk-SK" w:bidi="ar-SA"/>
        </w:rPr>
        <w:t>Dohovoru OSN o odstránení všetkých foriem diskriminácie žien</w:t>
      </w:r>
      <w:r w:rsidRPr="00D75A0F">
        <w:rPr>
          <w:color w:val="000000"/>
          <w:lang w:eastAsia="sk-SK" w:bidi="ar-SA"/>
        </w:rPr>
        <w:t xml:space="preserve">  a </w:t>
      </w:r>
      <w:r w:rsidR="00177FDD">
        <w:rPr>
          <w:color w:val="000000"/>
          <w:lang w:eastAsia="sk-SK" w:bidi="ar-SA"/>
        </w:rPr>
        <w:t xml:space="preserve">(ďalej len „CEDAW“) </w:t>
      </w:r>
      <w:r w:rsidRPr="00D75A0F">
        <w:rPr>
          <w:color w:val="000000"/>
          <w:lang w:eastAsia="sk-SK" w:bidi="ar-SA"/>
        </w:rPr>
        <w:t xml:space="preserve">jeho Opčného protokolu. </w:t>
      </w:r>
      <w:r w:rsidR="00177FDD">
        <w:rPr>
          <w:color w:val="000000"/>
          <w:lang w:eastAsia="sk-SK" w:bidi="ar-SA"/>
        </w:rPr>
        <w:t xml:space="preserve"> </w:t>
      </w:r>
      <w:r w:rsidR="00560412">
        <w:rPr>
          <w:color w:val="000000"/>
          <w:lang w:eastAsia="sk-SK" w:bidi="ar-SA"/>
        </w:rPr>
        <w:t xml:space="preserve">ORRRP MPSVR SR </w:t>
      </w:r>
      <w:proofErr w:type="spellStart"/>
      <w:r w:rsidRPr="00D75A0F">
        <w:rPr>
          <w:color w:val="000000"/>
          <w:lang w:eastAsia="sk-SK" w:bidi="ar-SA"/>
        </w:rPr>
        <w:t>gestoroval</w:t>
      </w:r>
      <w:proofErr w:type="spellEnd"/>
      <w:r w:rsidRPr="00D75A0F">
        <w:rPr>
          <w:color w:val="000000"/>
          <w:lang w:eastAsia="sk-SK" w:bidi="ar-SA"/>
        </w:rPr>
        <w:t xml:space="preserve"> prípravu </w:t>
      </w:r>
      <w:r w:rsidR="00177FDD" w:rsidRPr="00177FDD">
        <w:rPr>
          <w:i/>
          <w:color w:val="000000"/>
          <w:lang w:eastAsia="sk-SK" w:bidi="ar-SA"/>
        </w:rPr>
        <w:t>P</w:t>
      </w:r>
      <w:r w:rsidRPr="00177FDD">
        <w:rPr>
          <w:i/>
          <w:color w:val="000000"/>
          <w:lang w:eastAsia="sk-SK" w:bidi="ar-SA"/>
        </w:rPr>
        <w:t>iatej a šiestej periodickej správy SR k Dohovoru o odstránení všetkých foriem diskriminácie žien</w:t>
      </w:r>
      <w:r w:rsidRPr="00D75A0F">
        <w:rPr>
          <w:color w:val="000000"/>
          <w:lang w:eastAsia="sk-SK" w:bidi="ar-SA"/>
        </w:rPr>
        <w:t xml:space="preserve"> a vypracovanie odpovedí na dodatočné otázky a zabezpečil úspešnú obhajobu pred Výborom OSN pre odstránenie diskriminácie žien dňa 12.11.2015. </w:t>
      </w:r>
    </w:p>
    <w:p w:rsidR="001B6E75" w:rsidRDefault="00D75A0F" w:rsidP="00D75A0F">
      <w:pPr>
        <w:shd w:val="clear" w:color="auto" w:fill="auto"/>
        <w:spacing w:line="240" w:lineRule="auto"/>
        <w:rPr>
          <w:color w:val="000000"/>
          <w:lang w:eastAsia="sk-SK" w:bidi="ar-SA"/>
        </w:rPr>
      </w:pPr>
      <w:r w:rsidRPr="00177FDD">
        <w:rPr>
          <w:i/>
          <w:color w:val="000000"/>
          <w:lang w:eastAsia="sk-SK" w:bidi="ar-SA"/>
        </w:rPr>
        <w:t>Výbor OSN pre odstránenie diskriminácie žien</w:t>
      </w:r>
      <w:r w:rsidRPr="00D75A0F">
        <w:rPr>
          <w:color w:val="000000"/>
          <w:lang w:eastAsia="sk-SK" w:bidi="ar-SA"/>
        </w:rPr>
        <w:t xml:space="preserve"> (CEDAW) je jedným zo zmluvných orgánov v systéme OSN, ktorý tvorí 23 nezávislých expertov volených členskými krajinami OSN. SR ako zmluvná strana Dohovoru pravidelne informuje výbor o opatreniach prijímaných na plnenie ustanovení dohovoru v podmienkach SR. Interaktívne dialógy s hodnotenými krajinami sú zverejnené na </w:t>
      </w:r>
      <w:hyperlink r:id="rId9" w:history="1">
        <w:r w:rsidR="00177FDD" w:rsidRPr="00A22AC8">
          <w:rPr>
            <w:rStyle w:val="Hypertextovprepojenie"/>
            <w:lang w:eastAsia="sk-SK" w:bidi="ar-SA"/>
          </w:rPr>
          <w:t>www.treatybodywebcast.org</w:t>
        </w:r>
      </w:hyperlink>
      <w:r w:rsidRPr="00D75A0F">
        <w:rPr>
          <w:color w:val="000000"/>
          <w:lang w:eastAsia="sk-SK" w:bidi="ar-SA"/>
        </w:rPr>
        <w:t>.</w:t>
      </w:r>
      <w:r w:rsidR="00177FDD">
        <w:rPr>
          <w:color w:val="000000"/>
          <w:lang w:eastAsia="sk-SK" w:bidi="ar-SA"/>
        </w:rPr>
        <w:t xml:space="preserve"> </w:t>
      </w:r>
      <w:r w:rsidRPr="00D75A0F">
        <w:rPr>
          <w:color w:val="000000"/>
          <w:lang w:eastAsia="sk-SK" w:bidi="ar-SA"/>
        </w:rPr>
        <w:t xml:space="preserve">V úvodnom vystúpení členovia a členky delegácie SR informovali o opatreniach prijatých v oblastiach definovaných v CEDAW, o zmenách antidiskriminačného zákona (ADZ) a prijatých stratégiách a akčných plánov a načrtli inštitucionálne posilnenie agendy rodovej rovnosti a podčiarkli význam vytvorenia </w:t>
      </w:r>
      <w:r w:rsidRPr="001B6E75">
        <w:rPr>
          <w:i/>
          <w:color w:val="000000"/>
          <w:lang w:eastAsia="sk-SK" w:bidi="ar-SA"/>
        </w:rPr>
        <w:t>Koordinačno-metodického centra pre oblasť rodovo podmieneného a domáceho násilia</w:t>
      </w:r>
      <w:r w:rsidR="001B6E75">
        <w:rPr>
          <w:color w:val="000000"/>
          <w:lang w:eastAsia="sk-SK" w:bidi="ar-SA"/>
        </w:rPr>
        <w:t xml:space="preserve"> v apríli 2015</w:t>
      </w:r>
      <w:r w:rsidRPr="00D75A0F">
        <w:rPr>
          <w:color w:val="000000"/>
          <w:lang w:eastAsia="sk-SK" w:bidi="ar-SA"/>
        </w:rPr>
        <w:t xml:space="preserve">. </w:t>
      </w:r>
    </w:p>
    <w:p w:rsidR="00261666" w:rsidRDefault="00D75A0F" w:rsidP="00DA4A97">
      <w:pPr>
        <w:shd w:val="clear" w:color="auto" w:fill="auto"/>
        <w:spacing w:line="240" w:lineRule="auto"/>
        <w:rPr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t>Výbor CEDAW nastolil otázku prístupu žien k spravodlivosti a postoj slovenských súdov k prípadom diskriminácie. Delegácia SR  odpovedala na otázky týkajúce sa implementácie legislatívneho rámca na podporu rodovej rovnosti, opatrení na odstraňovanie diskriminácie žien s dôrazom na aplikáciu a dopad ADZ /DVO), prístup žien k spravodlivosti, kroky na podporu rodovej rovnosti v oblasti zamestnávania a v rodinnom živote a opatrenia na boj proti domácemu násiliu. Výbor CEDAW osobitne privítal a ocenil záväzok SR ratifikovať Istanbulský dohovor do júna 2016</w:t>
      </w:r>
      <w:r w:rsidR="005C794F">
        <w:rPr>
          <w:color w:val="000000"/>
          <w:lang w:eastAsia="sk-SK" w:bidi="ar-SA"/>
        </w:rPr>
        <w:t xml:space="preserve"> (Uznesenie vlády </w:t>
      </w:r>
      <w:r w:rsidR="00DA4A97" w:rsidRPr="00DA4A97">
        <w:rPr>
          <w:color w:val="000000"/>
          <w:lang w:eastAsia="sk-SK" w:bidi="ar-SA"/>
        </w:rPr>
        <w:t>č. 297</w:t>
      </w:r>
      <w:r w:rsidR="00DA4A97">
        <w:rPr>
          <w:color w:val="000000"/>
          <w:lang w:eastAsia="sk-SK" w:bidi="ar-SA"/>
        </w:rPr>
        <w:t xml:space="preserve"> </w:t>
      </w:r>
      <w:r w:rsidR="00DA4A97" w:rsidRPr="00DA4A97">
        <w:rPr>
          <w:color w:val="000000"/>
          <w:lang w:eastAsia="sk-SK" w:bidi="ar-SA"/>
        </w:rPr>
        <w:t>zo 4. mája 2011</w:t>
      </w:r>
      <w:r w:rsidR="00DA4A97">
        <w:rPr>
          <w:color w:val="000000"/>
          <w:lang w:eastAsia="sk-SK" w:bidi="ar-SA"/>
        </w:rPr>
        <w:t>)</w:t>
      </w:r>
      <w:r w:rsidR="005C794F">
        <w:rPr>
          <w:color w:val="000000"/>
          <w:lang w:eastAsia="sk-SK" w:bidi="ar-SA"/>
        </w:rPr>
        <w:t xml:space="preserve"> </w:t>
      </w:r>
      <w:r w:rsidRPr="00D75A0F">
        <w:rPr>
          <w:color w:val="000000"/>
          <w:lang w:eastAsia="sk-SK" w:bidi="ar-SA"/>
        </w:rPr>
        <w:t xml:space="preserve"> a odporučil, aby všetky plánované legislatívne opatrenia SR boli v súlade s terminológiou Istanbulského dohovoru. </w:t>
      </w:r>
    </w:p>
    <w:p w:rsidR="00261666" w:rsidRDefault="00D75A0F" w:rsidP="00D75A0F">
      <w:pPr>
        <w:shd w:val="clear" w:color="auto" w:fill="auto"/>
        <w:spacing w:line="240" w:lineRule="auto"/>
        <w:rPr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t>Výbor sa okrem iného zaujímal aj o zastúpenie žien v politike, diplomacii na vedúcich pozíciách a na seniorských postoch v ústredí. Otázka účasti žien v politickom a verejnom živote je podľa výboru oblasť, v ktorej SR nedosiahla dostatočný pokrok. Výbor CEDAW načrtol otázku zavedenia kvót, prípadne iných motivujúcich opatrení osobitne pre politické strany (</w:t>
      </w:r>
      <w:proofErr w:type="spellStart"/>
      <w:r w:rsidRPr="00D75A0F">
        <w:rPr>
          <w:color w:val="000000"/>
          <w:lang w:eastAsia="sk-SK" w:bidi="ar-SA"/>
        </w:rPr>
        <w:t>incentives</w:t>
      </w:r>
      <w:proofErr w:type="spellEnd"/>
      <w:r w:rsidRPr="00D75A0F">
        <w:rPr>
          <w:color w:val="000000"/>
          <w:lang w:eastAsia="sk-SK" w:bidi="ar-SA"/>
        </w:rPr>
        <w:t xml:space="preserve">) a ďalšie otázky. </w:t>
      </w:r>
    </w:p>
    <w:p w:rsidR="00D75A0F" w:rsidRPr="00D75A0F" w:rsidRDefault="00D75A0F" w:rsidP="00D75A0F">
      <w:pPr>
        <w:shd w:val="clear" w:color="auto" w:fill="auto"/>
        <w:spacing w:line="240" w:lineRule="auto"/>
        <w:rPr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t xml:space="preserve">SR poskytla doplňujúce informácie na predložené otázky a dodatočné odpovede do 48 hodín po skončení prerokovania správy v komplexnej podobe. Je potrebné upozorniť, že Výbor CEDAW sa do veľkej miery stotožnil s pohľadom slovenských MVO na situáciu na Slovensku. Komentáre a otázky členov CEDAW v podstate kopírovali témy, ktoré MVO označili ako problematické vo vzťahu k SR. Prerokovania správy sa zúčastnili  tri MVO: Občan, demokracia a zodpovednosť, Poradňa pre ľudské a občianske práva a Centrum pre reprodukčné práva z USA.  Viac informácií na </w:t>
      </w:r>
      <w:hyperlink r:id="rId10" w:history="1">
        <w:r w:rsidR="00261666" w:rsidRPr="00A22AC8">
          <w:rPr>
            <w:rStyle w:val="Hypertextovprepojenie"/>
            <w:lang w:eastAsia="sk-SK" w:bidi="ar-SA"/>
          </w:rPr>
          <w:t>http://www.gender.gov.sk/?p=3788</w:t>
        </w:r>
      </w:hyperlink>
      <w:r w:rsidR="00261666">
        <w:rPr>
          <w:color w:val="000000"/>
          <w:lang w:eastAsia="sk-SK" w:bidi="ar-SA"/>
        </w:rPr>
        <w:t xml:space="preserve">, </w:t>
      </w:r>
      <w:r w:rsidRPr="00D75A0F">
        <w:rPr>
          <w:color w:val="000000"/>
          <w:lang w:eastAsia="sk-SK" w:bidi="ar-SA"/>
        </w:rPr>
        <w:t xml:space="preserve"> kde sú uverejnené aj </w:t>
      </w:r>
      <w:r w:rsidRPr="00261666">
        <w:rPr>
          <w:i/>
          <w:color w:val="000000"/>
          <w:lang w:eastAsia="sk-SK" w:bidi="ar-SA"/>
        </w:rPr>
        <w:t>Záverečné odporúčania Výboru CEDAW pre SR</w:t>
      </w:r>
      <w:r w:rsidRPr="00D75A0F">
        <w:rPr>
          <w:color w:val="000000"/>
          <w:lang w:eastAsia="sk-SK" w:bidi="ar-SA"/>
        </w:rPr>
        <w:t>, zápis priebehu dialógu ako aj tzv. tieňové správy MVO.</w:t>
      </w:r>
    </w:p>
    <w:p w:rsidR="004505A8" w:rsidRDefault="004505A8">
      <w:pPr>
        <w:shd w:val="clear" w:color="auto" w:fill="auto"/>
        <w:spacing w:after="0" w:line="240" w:lineRule="auto"/>
        <w:jc w:val="left"/>
        <w:rPr>
          <w:b/>
          <w:bCs/>
          <w:color w:val="000000"/>
          <w:szCs w:val="28"/>
          <w:lang w:eastAsia="sk-SK" w:bidi="ar-SA"/>
        </w:rPr>
      </w:pPr>
      <w:r>
        <w:rPr>
          <w:b/>
          <w:bCs/>
          <w:color w:val="000000"/>
          <w:szCs w:val="28"/>
          <w:lang w:eastAsia="sk-SK" w:bidi="ar-SA"/>
        </w:rPr>
        <w:lastRenderedPageBreak/>
        <w:br w:type="page"/>
      </w:r>
    </w:p>
    <w:p w:rsidR="00261666" w:rsidRPr="00D75A0F" w:rsidRDefault="00261666" w:rsidP="00261666">
      <w:pPr>
        <w:keepNext/>
        <w:shd w:val="clear" w:color="auto" w:fill="auto"/>
        <w:spacing w:before="240" w:after="60" w:line="240" w:lineRule="auto"/>
        <w:outlineLvl w:val="3"/>
        <w:rPr>
          <w:b/>
          <w:bCs/>
          <w:color w:val="000000"/>
          <w:szCs w:val="28"/>
          <w:lang w:eastAsia="sk-SK" w:bidi="ar-SA"/>
        </w:rPr>
      </w:pPr>
      <w:r w:rsidRPr="00D75A0F">
        <w:rPr>
          <w:b/>
          <w:bCs/>
          <w:color w:val="000000"/>
          <w:szCs w:val="28"/>
          <w:lang w:eastAsia="sk-SK" w:bidi="ar-SA"/>
        </w:rPr>
        <w:t xml:space="preserve">Zasadnutie Komisie pre postavenie žien OSN </w:t>
      </w:r>
    </w:p>
    <w:p w:rsidR="00261666" w:rsidRPr="00D75A0F" w:rsidRDefault="00261666" w:rsidP="00261666">
      <w:pPr>
        <w:shd w:val="clear" w:color="auto" w:fill="auto"/>
        <w:spacing w:after="0" w:line="240" w:lineRule="auto"/>
        <w:rPr>
          <w:szCs w:val="24"/>
          <w:lang w:eastAsia="sk-SK" w:bidi="ar-SA"/>
        </w:rPr>
      </w:pPr>
    </w:p>
    <w:p w:rsidR="00261666" w:rsidRPr="00D75A0F" w:rsidRDefault="00261666" w:rsidP="00261666">
      <w:pPr>
        <w:shd w:val="clear" w:color="auto" w:fill="auto"/>
        <w:spacing w:after="0" w:line="240" w:lineRule="auto"/>
        <w:rPr>
          <w:szCs w:val="24"/>
          <w:lang w:eastAsia="sk-SK" w:bidi="ar-SA"/>
        </w:rPr>
      </w:pPr>
      <w:r w:rsidRPr="00D75A0F">
        <w:rPr>
          <w:szCs w:val="24"/>
          <w:lang w:eastAsia="sk-SK" w:bidi="ar-SA"/>
        </w:rPr>
        <w:t>V dňoch 9.3. až 20.3. sa konalo v sídle OSN v New Yorku 59. zasadnutie Komisie pre postavenie žien pri OSN. Rok 2015 bol kľúčovým momentom pre napredovanie úsilia o dosiahnutie rodovej rovnosti. Uplynuli dve dekády od konferencie v Pekingu, kde bola prijatá stratégia pod názvom Akčná platforma (</w:t>
      </w:r>
      <w:proofErr w:type="spellStart"/>
      <w:r w:rsidRPr="00D75A0F">
        <w:rPr>
          <w:szCs w:val="24"/>
          <w:lang w:eastAsia="sk-SK" w:bidi="ar-SA"/>
        </w:rPr>
        <w:t>Platfom</w:t>
      </w:r>
      <w:proofErr w:type="spellEnd"/>
      <w:r w:rsidRPr="00D75A0F">
        <w:rPr>
          <w:szCs w:val="24"/>
          <w:lang w:eastAsia="sk-SK" w:bidi="ar-SA"/>
        </w:rPr>
        <w:t xml:space="preserve"> </w:t>
      </w:r>
      <w:proofErr w:type="spellStart"/>
      <w:r w:rsidRPr="00D75A0F">
        <w:rPr>
          <w:szCs w:val="24"/>
          <w:lang w:eastAsia="sk-SK" w:bidi="ar-SA"/>
        </w:rPr>
        <w:t>for</w:t>
      </w:r>
      <w:proofErr w:type="spellEnd"/>
      <w:r w:rsidRPr="00D75A0F">
        <w:rPr>
          <w:szCs w:val="24"/>
          <w:lang w:eastAsia="sk-SK" w:bidi="ar-SA"/>
        </w:rPr>
        <w:t xml:space="preserve"> Action,1995) a 15 rokov oslávila aj rezolúcia Bezpečnostnej Rady OSN 1325 o ženách, mieri a bezpečnosti. Príspevky najvyšších predstaviteľov OSN ako aj delegátov jednotlivých členských štátov mali spoločného menovateľa – presvedčenie, že ženy musia byť stredobodom rozvojových intervencií v rámci agendy post-2015. Disproporcionálne trpia dopadmi finančnej krízy, </w:t>
      </w:r>
      <w:r w:rsidR="00D554C0" w:rsidRPr="00D75A0F">
        <w:rPr>
          <w:szCs w:val="24"/>
          <w:lang w:eastAsia="sk-SK" w:bidi="ar-SA"/>
        </w:rPr>
        <w:t>environmentálnej</w:t>
      </w:r>
      <w:r w:rsidRPr="00D75A0F">
        <w:rPr>
          <w:szCs w:val="24"/>
          <w:lang w:eastAsia="sk-SK" w:bidi="ar-SA"/>
        </w:rPr>
        <w:t xml:space="preserve"> degradácie a sú terčom útokov a násilia. Určitý pozitívny posun je badateľný, progres je však pomalý a ženy stále čelia mnohým bariéram v ekonomickej a politickej sfére, diskriminačným zákonom a kultúrnym praktikám. Medzinárodná komunita musí budovať na základoch Pekinskej deklarácie a spojiť sily na dosiahnutie cieľa rodovej rovnosti “50/50” do 2030. Tento rok predstavuje míľnik a je potrebné využiť tento moment pre napredovanie agendy rodovej rovnosti a mobilizovanie relevantných aktérov (štátna správa, MVO, privátny sektor atď.) V septembri sa bude finalizovať návrh </w:t>
      </w:r>
      <w:proofErr w:type="spellStart"/>
      <w:r w:rsidRPr="00D75A0F">
        <w:rPr>
          <w:szCs w:val="24"/>
          <w:lang w:eastAsia="sk-SK" w:bidi="ar-SA"/>
        </w:rPr>
        <w:t>SDGs</w:t>
      </w:r>
      <w:proofErr w:type="spellEnd"/>
      <w:r w:rsidRPr="00D75A0F">
        <w:rPr>
          <w:szCs w:val="24"/>
          <w:lang w:eastAsia="sk-SK" w:bidi="ar-SA"/>
        </w:rPr>
        <w:t xml:space="preserve"> a vytvorenie samostatného “</w:t>
      </w:r>
      <w:proofErr w:type="spellStart"/>
      <w:r w:rsidRPr="00D75A0F">
        <w:rPr>
          <w:szCs w:val="24"/>
          <w:lang w:eastAsia="sk-SK" w:bidi="ar-SA"/>
        </w:rPr>
        <w:t>stand-alone</w:t>
      </w:r>
      <w:proofErr w:type="spellEnd"/>
      <w:r w:rsidRPr="00D75A0F">
        <w:rPr>
          <w:szCs w:val="24"/>
          <w:lang w:eastAsia="sk-SK" w:bidi="ar-SA"/>
        </w:rPr>
        <w:t>” cieľa je nevyhnutné, takisto ako začlenenie rodovej perspektívy aj naprieč ostatnými cieľmi.</w:t>
      </w:r>
    </w:p>
    <w:p w:rsidR="00261666" w:rsidRPr="00D75A0F" w:rsidRDefault="00261666" w:rsidP="00261666">
      <w:pPr>
        <w:shd w:val="clear" w:color="auto" w:fill="auto"/>
        <w:spacing w:after="0" w:line="240" w:lineRule="auto"/>
        <w:rPr>
          <w:szCs w:val="24"/>
          <w:lang w:eastAsia="sk-SK" w:bidi="ar-SA"/>
        </w:rPr>
      </w:pPr>
    </w:p>
    <w:p w:rsidR="00261666" w:rsidRPr="00D75A0F" w:rsidRDefault="00261666" w:rsidP="00261666">
      <w:pPr>
        <w:shd w:val="clear" w:color="auto" w:fill="auto"/>
        <w:spacing w:after="0" w:line="240" w:lineRule="auto"/>
        <w:rPr>
          <w:szCs w:val="24"/>
          <w:lang w:eastAsia="sk-SK" w:bidi="ar-SA"/>
        </w:rPr>
      </w:pPr>
      <w:r w:rsidRPr="00D75A0F">
        <w:rPr>
          <w:szCs w:val="24"/>
          <w:lang w:eastAsia="sk-SK" w:bidi="ar-SA"/>
        </w:rPr>
        <w:t>V rámci generálnej diskusie zástupkyňa SR Oľga Pietruchová, riaditeľka ORRRP MPSVR SR, predniesla príspevok o pokroku, ktorý Slovensko za 20 rokov dosiahlo a o ostatných aktivitách. V príspevku zvýraznila najmä posilnenie inštitucionálneho zabezpečenia rodovej rovnosti na MPSVR SR a vytvorenie participatívnych mechanizmov ako je Rada vlády pre ľudské práva, národnostné menšiny a rodovú rovnosť a jej Výbor pre rodovú rovnosť; prijatie strategických materiálov ako je Celoštátna stratégia rodovej rovnosti a Akčný plán rodovej rovnosti na roky 2014-2019, ako aj Národný akčný plán pre elimináciu a prevenciu násilia na ženách 2014-2019; pokrok dosiahnutý v niektorých oblastiach, najmä zníženie rodového mzdového rozdielu; opatrenia na prevenciu a elimináciu násilia na ženách, najmä spustenie národnej bezplatnej non-stop linky, podpora služieb a príprava špecifického zákona; existujúce výzvy ako je nízke zastúpenie žien vo verejnom živote alebo stereotypné ponímanie tradičných úloh v domácnosti.</w:t>
      </w:r>
    </w:p>
    <w:p w:rsidR="00D75A0F" w:rsidRPr="00D75A0F" w:rsidRDefault="00D75A0F" w:rsidP="00D75A0F">
      <w:pPr>
        <w:keepNext/>
        <w:shd w:val="clear" w:color="auto" w:fill="auto"/>
        <w:spacing w:before="240" w:after="60" w:line="240" w:lineRule="auto"/>
        <w:outlineLvl w:val="3"/>
        <w:rPr>
          <w:b/>
          <w:bCs/>
          <w:color w:val="000000"/>
          <w:szCs w:val="28"/>
          <w:lang w:eastAsia="sk-SK" w:bidi="ar-SA"/>
        </w:rPr>
      </w:pPr>
      <w:r w:rsidRPr="00D75A0F">
        <w:rPr>
          <w:b/>
          <w:bCs/>
          <w:color w:val="000000"/>
          <w:szCs w:val="28"/>
          <w:lang w:eastAsia="sk-SK" w:bidi="ar-SA"/>
        </w:rPr>
        <w:t xml:space="preserve">25. marec – Deň rovnosti v odmeňovaní </w:t>
      </w:r>
    </w:p>
    <w:p w:rsidR="00D75A0F" w:rsidRPr="00D75A0F" w:rsidRDefault="00D75A0F" w:rsidP="00D75A0F">
      <w:pPr>
        <w:shd w:val="clear" w:color="auto" w:fill="auto"/>
        <w:spacing w:after="0" w:line="240" w:lineRule="auto"/>
        <w:rPr>
          <w:b/>
          <w:bCs/>
          <w:kern w:val="36"/>
          <w:szCs w:val="24"/>
          <w:lang w:eastAsia="sk-SK" w:bidi="ar-SA"/>
        </w:rPr>
      </w:pPr>
    </w:p>
    <w:p w:rsidR="00D75A0F" w:rsidRPr="00D75A0F" w:rsidRDefault="00D75A0F" w:rsidP="00D75A0F">
      <w:pPr>
        <w:shd w:val="clear" w:color="auto" w:fill="auto"/>
        <w:spacing w:after="0" w:line="240" w:lineRule="auto"/>
        <w:rPr>
          <w:szCs w:val="24"/>
          <w:lang w:eastAsia="sk-SK" w:bidi="ar-SA"/>
        </w:rPr>
      </w:pPr>
      <w:r w:rsidRPr="00D75A0F">
        <w:rPr>
          <w:szCs w:val="24"/>
          <w:lang w:eastAsia="sk-SK" w:bidi="ar-SA"/>
        </w:rPr>
        <w:t>Deň rovnosti v odmeňovaní medzi mužmi a ženami pripadol v roku 2015 na Slovensku na 25. marca a organizoval sa už štvrtýkrát</w:t>
      </w:r>
      <w:r w:rsidRPr="00D75A0F">
        <w:rPr>
          <w:b/>
          <w:bCs/>
          <w:szCs w:val="24"/>
          <w:lang w:eastAsia="sk-SK" w:bidi="ar-SA"/>
        </w:rPr>
        <w:t xml:space="preserve">. </w:t>
      </w:r>
      <w:r w:rsidRPr="00D75A0F">
        <w:rPr>
          <w:szCs w:val="24"/>
          <w:lang w:eastAsia="sk-SK" w:bidi="ar-SA"/>
        </w:rPr>
        <w:t>Táto celoeurópska udalosť vyznačuje v  kalendárnom roku deň, od ktorého začnú byť v </w:t>
      </w:r>
      <w:r w:rsidR="005C794F">
        <w:rPr>
          <w:szCs w:val="24"/>
          <w:lang w:eastAsia="sk-SK" w:bidi="ar-SA"/>
        </w:rPr>
        <w:t>danej</w:t>
      </w:r>
      <w:r w:rsidRPr="00D75A0F">
        <w:rPr>
          <w:szCs w:val="24"/>
          <w:lang w:eastAsia="sk-SK" w:bidi="ar-SA"/>
        </w:rPr>
        <w:t xml:space="preserve"> krajine ženy v porovnaní s mužmi za svoju prácu skutočne platené. To znamená, že Slovenky museli v danom roku pracovať takmer o 3 mesiace dlhšie, aby zarobili rovnakú mzdu ako muži za rok 2014.  </w:t>
      </w:r>
    </w:p>
    <w:p w:rsidR="009F7A61" w:rsidRDefault="009F7A61">
      <w:pPr>
        <w:shd w:val="clear" w:color="auto" w:fill="auto"/>
        <w:spacing w:after="0" w:line="240" w:lineRule="auto"/>
        <w:jc w:val="left"/>
        <w:rPr>
          <w:b/>
          <w:bCs/>
          <w:color w:val="000000"/>
          <w:szCs w:val="28"/>
          <w:lang w:eastAsia="sk-SK" w:bidi="ar-SA"/>
        </w:rPr>
      </w:pPr>
      <w:r>
        <w:rPr>
          <w:b/>
          <w:bCs/>
          <w:color w:val="000000"/>
          <w:szCs w:val="28"/>
          <w:lang w:eastAsia="sk-SK" w:bidi="ar-SA"/>
        </w:rPr>
        <w:br w:type="page"/>
      </w:r>
    </w:p>
    <w:p w:rsidR="00D75A0F" w:rsidRPr="00D75A0F" w:rsidRDefault="00D75A0F" w:rsidP="00D75A0F">
      <w:pPr>
        <w:keepNext/>
        <w:shd w:val="clear" w:color="auto" w:fill="auto"/>
        <w:spacing w:before="240" w:after="60" w:line="240" w:lineRule="auto"/>
        <w:outlineLvl w:val="3"/>
        <w:rPr>
          <w:b/>
          <w:bCs/>
          <w:color w:val="000000"/>
          <w:szCs w:val="28"/>
          <w:lang w:eastAsia="sk-SK" w:bidi="ar-SA"/>
        </w:rPr>
      </w:pPr>
      <w:r w:rsidRPr="00D75A0F">
        <w:rPr>
          <w:b/>
          <w:bCs/>
          <w:color w:val="000000"/>
          <w:szCs w:val="28"/>
          <w:lang w:eastAsia="sk-SK" w:bidi="ar-SA"/>
        </w:rPr>
        <w:lastRenderedPageBreak/>
        <w:t xml:space="preserve">Kampaň OSN proti násiliu na ženách “Oranžový svet” </w:t>
      </w:r>
    </w:p>
    <w:p w:rsidR="00D75A0F" w:rsidRPr="00D75A0F" w:rsidRDefault="00D75A0F" w:rsidP="00D75A0F">
      <w:pPr>
        <w:shd w:val="clear" w:color="auto" w:fill="auto"/>
        <w:spacing w:after="0" w:line="240" w:lineRule="auto"/>
        <w:rPr>
          <w:szCs w:val="24"/>
          <w:lang w:eastAsia="sk-SK" w:bidi="ar-SA"/>
        </w:rPr>
      </w:pPr>
    </w:p>
    <w:p w:rsidR="00D75A0F" w:rsidRPr="00D75A0F" w:rsidRDefault="00D75A0F" w:rsidP="00D75A0F">
      <w:pPr>
        <w:shd w:val="clear" w:color="auto" w:fill="auto"/>
        <w:spacing w:after="0" w:line="240" w:lineRule="auto"/>
        <w:rPr>
          <w:szCs w:val="24"/>
          <w:lang w:eastAsia="sk-SK" w:bidi="ar-SA"/>
        </w:rPr>
      </w:pPr>
      <w:r w:rsidRPr="00D75A0F">
        <w:rPr>
          <w:szCs w:val="24"/>
          <w:lang w:eastAsia="sk-SK" w:bidi="ar-SA"/>
        </w:rPr>
        <w:t>25. november bol v roku 1999 vyhlásený OSN za </w:t>
      </w:r>
      <w:r w:rsidRPr="00D75A0F">
        <w:rPr>
          <w:i/>
          <w:iCs/>
          <w:szCs w:val="24"/>
          <w:lang w:eastAsia="sk-SK" w:bidi="ar-SA"/>
        </w:rPr>
        <w:t>Medzinárodný deň eliminácie násilia páchaného na ženách</w:t>
      </w:r>
      <w:r w:rsidRPr="00D75A0F">
        <w:rPr>
          <w:szCs w:val="24"/>
          <w:lang w:eastAsia="sk-SK" w:bidi="ar-SA"/>
        </w:rPr>
        <w:t>. V tento deň začínajú celosvetové aktivity v rámci kampane </w:t>
      </w:r>
      <w:r w:rsidRPr="00D75A0F">
        <w:rPr>
          <w:i/>
          <w:iCs/>
          <w:szCs w:val="24"/>
          <w:lang w:eastAsia="sk-SK" w:bidi="ar-SA"/>
        </w:rPr>
        <w:t>16 dní aktivizmu proti násiliu páchanom na ženách</w:t>
      </w:r>
      <w:r w:rsidRPr="00D75A0F">
        <w:rPr>
          <w:szCs w:val="24"/>
          <w:lang w:eastAsia="sk-SK" w:bidi="ar-SA"/>
        </w:rPr>
        <w:t>, ktorá trvá do 10. decembra, </w:t>
      </w:r>
      <w:r w:rsidRPr="00D75A0F">
        <w:rPr>
          <w:i/>
          <w:iCs/>
          <w:szCs w:val="24"/>
          <w:lang w:eastAsia="sk-SK" w:bidi="ar-SA"/>
        </w:rPr>
        <w:t>Medzinárodného dňa ľudských práv</w:t>
      </w:r>
      <w:r w:rsidRPr="00D75A0F">
        <w:rPr>
          <w:szCs w:val="24"/>
          <w:lang w:eastAsia="sk-SK" w:bidi="ar-SA"/>
        </w:rPr>
        <w:t>. Cieľom každoročnej kampane je upozorniť na skutočnosť, že napriek dlhodobému úsiliu občianskej spoločnosti a medzinárodných i národných inštitúcií  je násilie páchané na ženách stále jednou z najrozšírenejších foriem porušovania ich ľudských práv a zásahu do ľudskej dôstojnosti.</w:t>
      </w:r>
    </w:p>
    <w:p w:rsidR="00D75A0F" w:rsidRPr="00D75A0F" w:rsidRDefault="00D75A0F" w:rsidP="00D75A0F">
      <w:pPr>
        <w:shd w:val="clear" w:color="auto" w:fill="auto"/>
        <w:spacing w:after="0" w:line="240" w:lineRule="auto"/>
        <w:rPr>
          <w:szCs w:val="24"/>
          <w:lang w:eastAsia="sk-SK" w:bidi="ar-SA"/>
        </w:rPr>
      </w:pPr>
    </w:p>
    <w:p w:rsidR="00D75A0F" w:rsidRPr="00D75A0F" w:rsidRDefault="00D75A0F" w:rsidP="00D75A0F">
      <w:pPr>
        <w:shd w:val="clear" w:color="auto" w:fill="auto"/>
        <w:spacing w:after="0" w:line="240" w:lineRule="auto"/>
        <w:rPr>
          <w:szCs w:val="24"/>
          <w:lang w:eastAsia="sk-SK" w:bidi="ar-SA"/>
        </w:rPr>
      </w:pPr>
      <w:r w:rsidRPr="00D75A0F">
        <w:rPr>
          <w:szCs w:val="24"/>
          <w:lang w:eastAsia="sk-SK" w:bidi="ar-SA"/>
        </w:rPr>
        <w:t>V roku 2015 OSN organizovala počas 16 dní aktivizmu proti násiliu na ženách celosvetovú kampaň “Ora</w:t>
      </w:r>
      <w:r w:rsidR="00560412">
        <w:rPr>
          <w:szCs w:val="24"/>
          <w:lang w:eastAsia="sk-SK" w:bidi="ar-SA"/>
        </w:rPr>
        <w:t>n</w:t>
      </w:r>
      <w:r w:rsidRPr="00D75A0F">
        <w:rPr>
          <w:szCs w:val="24"/>
          <w:lang w:eastAsia="sk-SK" w:bidi="ar-SA"/>
        </w:rPr>
        <w:t xml:space="preserve">žový svet”, ktorej cieľom bolo symbolikou oranžovej farby vyjadriť podporu prevencii násilia na ženách. Oranžová farba bola zvolená ako symbol kvôli kampani generálneho sekretára OSN </w:t>
      </w:r>
      <w:proofErr w:type="spellStart"/>
      <w:r w:rsidRPr="00D75A0F">
        <w:rPr>
          <w:szCs w:val="24"/>
          <w:lang w:eastAsia="sk-SK" w:bidi="ar-SA"/>
        </w:rPr>
        <w:t>UNiTE</w:t>
      </w:r>
      <w:proofErr w:type="spellEnd"/>
      <w:r w:rsidRPr="00D75A0F">
        <w:rPr>
          <w:szCs w:val="24"/>
          <w:lang w:eastAsia="sk-SK" w:bidi="ar-SA"/>
        </w:rPr>
        <w:t xml:space="preserve"> (spojenie v boji proti násiliu na ženách).</w:t>
      </w:r>
    </w:p>
    <w:p w:rsidR="00D75A0F" w:rsidRPr="00D75A0F" w:rsidRDefault="00D75A0F" w:rsidP="00D75A0F">
      <w:pPr>
        <w:shd w:val="clear" w:color="auto" w:fill="auto"/>
        <w:spacing w:after="0" w:line="240" w:lineRule="auto"/>
        <w:rPr>
          <w:szCs w:val="24"/>
          <w:lang w:eastAsia="sk-SK" w:bidi="ar-SA"/>
        </w:rPr>
      </w:pPr>
    </w:p>
    <w:p w:rsidR="00D75A0F" w:rsidRPr="00D75A0F" w:rsidRDefault="00D75A0F" w:rsidP="00D75A0F">
      <w:pPr>
        <w:shd w:val="clear" w:color="auto" w:fill="auto"/>
        <w:spacing w:after="0" w:line="240" w:lineRule="auto"/>
        <w:rPr>
          <w:szCs w:val="24"/>
          <w:lang w:eastAsia="sk-SK" w:bidi="ar-SA"/>
        </w:rPr>
      </w:pPr>
      <w:r w:rsidRPr="00D75A0F">
        <w:rPr>
          <w:szCs w:val="24"/>
          <w:lang w:eastAsia="sk-SK" w:bidi="ar-SA"/>
        </w:rPr>
        <w:t>Ku kampani sa pridali aj MVO na Slovensku podporené aj z dotačných prostriedkov MPSVR SR a v rámci Medzinárodného dňa eliminácie násilia na ženách -</w:t>
      </w:r>
      <w:r w:rsidRPr="00D75A0F">
        <w:rPr>
          <w:color w:val="09B7C3"/>
          <w:szCs w:val="24"/>
          <w:lang w:eastAsia="sk-SK" w:bidi="ar-SA"/>
        </w:rPr>
        <w:t xml:space="preserve"> </w:t>
      </w:r>
      <w:r w:rsidRPr="00D75A0F">
        <w:rPr>
          <w:szCs w:val="24"/>
          <w:lang w:eastAsia="sk-SK" w:bidi="ar-SA"/>
        </w:rPr>
        <w:t xml:space="preserve">25. november s aktivitami v rámci kampane </w:t>
      </w:r>
      <w:r w:rsidRPr="00D75A0F">
        <w:rPr>
          <w:i/>
          <w:iCs/>
          <w:szCs w:val="24"/>
          <w:lang w:eastAsia="sk-SK" w:bidi="ar-SA"/>
        </w:rPr>
        <w:t>16 dní aktivizmu proti násiliu páchanému na ženách</w:t>
      </w:r>
      <w:r w:rsidRPr="00D75A0F">
        <w:rPr>
          <w:szCs w:val="24"/>
          <w:lang w:eastAsia="sk-SK" w:bidi="ar-SA"/>
        </w:rPr>
        <w:t xml:space="preserve">, ktorá trvá do 10. decembra, </w:t>
      </w:r>
      <w:r w:rsidRPr="00D75A0F">
        <w:rPr>
          <w:i/>
          <w:iCs/>
          <w:szCs w:val="24"/>
          <w:lang w:eastAsia="sk-SK" w:bidi="ar-SA"/>
        </w:rPr>
        <w:t>Medzinárodného dňa ľudských práv</w:t>
      </w:r>
      <w:r w:rsidRPr="00D75A0F">
        <w:rPr>
          <w:szCs w:val="24"/>
          <w:lang w:eastAsia="sk-SK" w:bidi="ar-SA"/>
        </w:rPr>
        <w:t>. Cieľom každoročnej kampane je upozorniť na skutočnosť, že napriek dlhodobému úsiliu občianskej spoločnosti a medzinárodných i národných inštitúcií  je násilie páchané na ženách stále jednou z najrozšírenejších foriem porušovania ich ľudských práv a zásahu do ľudskej dôstojnosti.</w:t>
      </w:r>
    </w:p>
    <w:p w:rsidR="00D75A0F" w:rsidRPr="00D75A0F" w:rsidRDefault="00D75A0F" w:rsidP="00D75A0F">
      <w:pPr>
        <w:shd w:val="clear" w:color="auto" w:fill="auto"/>
        <w:spacing w:after="0" w:line="240" w:lineRule="auto"/>
        <w:rPr>
          <w:szCs w:val="24"/>
          <w:lang w:eastAsia="sk-SK" w:bidi="ar-SA"/>
        </w:rPr>
      </w:pPr>
    </w:p>
    <w:p w:rsidR="00D75A0F" w:rsidRPr="00D75A0F" w:rsidRDefault="00D75A0F" w:rsidP="00D75A0F">
      <w:pPr>
        <w:shd w:val="clear" w:color="auto" w:fill="auto"/>
        <w:spacing w:after="0" w:line="240" w:lineRule="auto"/>
        <w:rPr>
          <w:szCs w:val="24"/>
          <w:lang w:eastAsia="sk-SK" w:bidi="ar-SA"/>
        </w:rPr>
      </w:pPr>
      <w:r w:rsidRPr="00D75A0F">
        <w:rPr>
          <w:szCs w:val="24"/>
          <w:lang w:eastAsia="sk-SK" w:bidi="ar-SA"/>
        </w:rPr>
        <w:t xml:space="preserve">Informácie k problematika rodovo podmieneného násilia a domáceho násilia sú k dispozícii na stránke </w:t>
      </w:r>
      <w:hyperlink r:id="rId11" w:history="1">
        <w:r w:rsidRPr="00D75A0F">
          <w:rPr>
            <w:color w:val="0000FF"/>
            <w:szCs w:val="24"/>
            <w:u w:val="single"/>
            <w:lang w:eastAsia="sk-SK" w:bidi="ar-SA"/>
          </w:rPr>
          <w:t>www.zastavmenasilie.sk</w:t>
        </w:r>
      </w:hyperlink>
    </w:p>
    <w:p w:rsidR="00D75A0F" w:rsidRPr="00D75A0F" w:rsidRDefault="00D75A0F" w:rsidP="00D75A0F">
      <w:pPr>
        <w:shd w:val="clear" w:color="auto" w:fill="auto"/>
        <w:autoSpaceDE w:val="0"/>
        <w:autoSpaceDN w:val="0"/>
        <w:adjustRightInd w:val="0"/>
        <w:spacing w:after="0" w:line="240" w:lineRule="auto"/>
        <w:ind w:firstLine="708"/>
        <w:rPr>
          <w:color w:val="000000"/>
          <w:szCs w:val="24"/>
          <w:lang w:eastAsia="sk-SK" w:bidi="ar-SA"/>
        </w:rPr>
      </w:pPr>
    </w:p>
    <w:p w:rsidR="00261666" w:rsidRDefault="00261666" w:rsidP="00261666">
      <w:pPr>
        <w:pStyle w:val="Nadpis3"/>
        <w:rPr>
          <w:lang w:eastAsia="sk-SK" w:bidi="ar-SA"/>
        </w:rPr>
      </w:pPr>
      <w:bookmarkStart w:id="4" w:name="_Toc451508604"/>
      <w:r>
        <w:rPr>
          <w:lang w:eastAsia="sk-SK" w:bidi="ar-SA"/>
        </w:rPr>
        <w:t>PRíPRAVA PREDSEDNÍCTVA SR V RADE EÚ</w:t>
      </w:r>
      <w:bookmarkEnd w:id="4"/>
    </w:p>
    <w:p w:rsidR="00261666" w:rsidRDefault="00261666" w:rsidP="00D75A0F">
      <w:pPr>
        <w:shd w:val="clear" w:color="auto" w:fill="auto"/>
        <w:spacing w:after="0" w:line="240" w:lineRule="auto"/>
        <w:rPr>
          <w:b/>
          <w:szCs w:val="24"/>
          <w:lang w:eastAsia="sk-SK" w:bidi="ar-SA"/>
        </w:rPr>
      </w:pPr>
      <w:r>
        <w:rPr>
          <w:b/>
          <w:szCs w:val="24"/>
          <w:lang w:eastAsia="sk-SK" w:bidi="ar-SA"/>
        </w:rPr>
        <w:t xml:space="preserve"> </w:t>
      </w:r>
    </w:p>
    <w:p w:rsidR="00D75A0F" w:rsidRPr="00D75A0F" w:rsidRDefault="00D75A0F" w:rsidP="00D75A0F">
      <w:pPr>
        <w:shd w:val="clear" w:color="auto" w:fill="auto"/>
        <w:spacing w:after="0" w:line="240" w:lineRule="auto"/>
        <w:rPr>
          <w:b/>
          <w:szCs w:val="24"/>
          <w:lang w:eastAsia="sk-SK" w:bidi="ar-SA"/>
        </w:rPr>
      </w:pPr>
      <w:r w:rsidRPr="00D75A0F">
        <w:rPr>
          <w:b/>
          <w:szCs w:val="24"/>
          <w:lang w:eastAsia="sk-SK" w:bidi="ar-SA"/>
        </w:rPr>
        <w:t>Deklaráci</w:t>
      </w:r>
      <w:r w:rsidR="00261666">
        <w:rPr>
          <w:b/>
          <w:szCs w:val="24"/>
          <w:lang w:eastAsia="sk-SK" w:bidi="ar-SA"/>
        </w:rPr>
        <w:t>a</w:t>
      </w:r>
      <w:r w:rsidRPr="00D75A0F">
        <w:rPr>
          <w:b/>
          <w:szCs w:val="24"/>
          <w:lang w:eastAsia="sk-SK" w:bidi="ar-SA"/>
        </w:rPr>
        <w:t xml:space="preserve"> pre oblasť rodovej rovnosti</w:t>
      </w:r>
    </w:p>
    <w:p w:rsidR="00D75A0F" w:rsidRPr="00D75A0F" w:rsidRDefault="00D75A0F" w:rsidP="00D75A0F">
      <w:pPr>
        <w:shd w:val="clear" w:color="auto" w:fill="auto"/>
        <w:spacing w:after="0" w:line="240" w:lineRule="auto"/>
        <w:rPr>
          <w:b/>
          <w:i/>
          <w:szCs w:val="24"/>
          <w:lang w:eastAsia="sk-SK" w:bidi="ar-SA"/>
        </w:rPr>
      </w:pPr>
    </w:p>
    <w:p w:rsidR="00D75A0F" w:rsidRPr="00D75A0F" w:rsidRDefault="00D75A0F" w:rsidP="00D75A0F">
      <w:pPr>
        <w:shd w:val="clear" w:color="auto" w:fill="auto"/>
        <w:spacing w:after="0" w:line="240" w:lineRule="auto"/>
        <w:rPr>
          <w:color w:val="000000"/>
          <w:lang w:eastAsia="sk-SK" w:bidi="ar-SA"/>
        </w:rPr>
      </w:pPr>
      <w:r w:rsidRPr="00D75A0F">
        <w:rPr>
          <w:szCs w:val="24"/>
          <w:lang w:eastAsia="sk-SK" w:bidi="ar-SA"/>
        </w:rPr>
        <w:t xml:space="preserve">7. decembra 2015 podpísalo predsednícke trio </w:t>
      </w:r>
      <w:r w:rsidRPr="00D75A0F">
        <w:rPr>
          <w:b/>
          <w:szCs w:val="24"/>
          <w:lang w:eastAsia="sk-SK" w:bidi="ar-SA"/>
        </w:rPr>
        <w:t xml:space="preserve">Deklaráciu pre oblasť rodovej rovnosti. </w:t>
      </w:r>
      <w:r w:rsidRPr="00D75A0F">
        <w:rPr>
          <w:color w:val="000000"/>
          <w:lang w:eastAsia="sk-SK" w:bidi="ar-SA"/>
        </w:rPr>
        <w:t>Holandsko, Slovensko a Malta, ako členské štáty, ktoré v priebehu 18 – mesačného obdobia od januára 2016 do júla 2017 budú predsedať Rade Európskej únie, počas Rady EPSCO predstavili svoj</w:t>
      </w:r>
      <w:r w:rsidR="00261666">
        <w:rPr>
          <w:color w:val="000000"/>
          <w:lang w:eastAsia="sk-SK" w:bidi="ar-SA"/>
        </w:rPr>
        <w:t xml:space="preserve"> program </w:t>
      </w:r>
      <w:r w:rsidRPr="00D75A0F">
        <w:rPr>
          <w:color w:val="000000"/>
          <w:lang w:eastAsia="sk-SK" w:bidi="ar-SA"/>
        </w:rPr>
        <w:t>a pre oblasť rodovej rovnosti. Dokument, podpísaný príslušným politickým zástupcom z uvedených členských štátov, dal na vedomie názory a plány predmetných krajín pre nadchádzajúce predsedníctvo. V Deklarácii sa dosiahnutie rodovej rovnosti uznáva za jeden z cieľov a úloh Európskej únie. Medzi všeobecné ciele Európskej únie patrí aj zapojenie rodovo špecifickej perspektívy do všetkých jej činností. Rodová rovnosť je totiž nevyhnutným predpokladom pre zabezpečenie rastu, prosperity, blahobytu a sociálne začlenenie.</w:t>
      </w:r>
    </w:p>
    <w:p w:rsidR="00D75A0F" w:rsidRPr="00D75A0F" w:rsidRDefault="00D75A0F" w:rsidP="00D75A0F">
      <w:pPr>
        <w:shd w:val="clear" w:color="auto" w:fill="auto"/>
        <w:spacing w:after="0" w:line="240" w:lineRule="auto"/>
        <w:rPr>
          <w:color w:val="000000"/>
          <w:lang w:eastAsia="sk-SK" w:bidi="ar-SA"/>
        </w:rPr>
      </w:pPr>
    </w:p>
    <w:p w:rsidR="00D75A0F" w:rsidRPr="00D75A0F" w:rsidRDefault="00D75A0F" w:rsidP="00D75A0F">
      <w:pPr>
        <w:shd w:val="clear" w:color="auto" w:fill="auto"/>
        <w:spacing w:line="240" w:lineRule="auto"/>
        <w:rPr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t xml:space="preserve">Deklarácia sa zameriava na posilnenie ekonomickej aktivity žien a ich účasti na trhu práce. Zvýšenie zamestnanosti žien totiž napomáha k znižovaniu rizika chudoby a </w:t>
      </w:r>
      <w:r w:rsidRPr="00D75A0F">
        <w:rPr>
          <w:color w:val="000000"/>
          <w:lang w:eastAsia="sk-SK" w:bidi="ar-SA"/>
        </w:rPr>
        <w:lastRenderedPageBreak/>
        <w:t>sociálneho vylúčenia. Ďalej sa v Deklarácii uvádza, že “</w:t>
      </w:r>
      <w:r w:rsidRPr="00D75A0F">
        <w:rPr>
          <w:i/>
          <w:iCs/>
          <w:color w:val="000000"/>
          <w:lang w:eastAsia="sk-SK" w:bidi="ar-SA"/>
        </w:rPr>
        <w:t>rast chudoby a sociálneho vylúčenia v dôsledku krízy zasiahol mužov aj ženy. Avšak, všeobecne, ženy čelia oveľa vyššiemu riziku sociálneho vylúčenia a chudoby, než muži. Preto je nutné systematicky pracovať na zabezpečení ekonomickej nezávislosti žien.</w:t>
      </w:r>
      <w:r w:rsidRPr="00D75A0F">
        <w:rPr>
          <w:color w:val="000000"/>
          <w:lang w:eastAsia="sk-SK" w:bidi="ar-SA"/>
        </w:rPr>
        <w:t xml:space="preserve">” Deklaráciu podporuje zoznam konkrétnych aktivít v oblasti rodovej rovnosti, ktoré majú byť vykonané. Slovensko sa zaviazalo, že slovenské predsedníctvo bude pokračovať v práci a rokovaniach, ktoré sa začali počas predchádzajúcich predsedníctiev a bude podporovať diskusie, aktivity a výmenu osvedčených postupov vo vzťahu k rodovej rovnosti a uplatňovaniu rodového hľadiska; ďalej sa zaviazalo, že v spolupráci s EIGE zrealizuje slovenské predsedníctvo monitorovanie implementácie </w:t>
      </w:r>
      <w:r w:rsidRPr="00D75A0F">
        <w:rPr>
          <w:i/>
          <w:iCs/>
          <w:color w:val="000000"/>
          <w:lang w:eastAsia="sk-SK" w:bidi="ar-SA"/>
        </w:rPr>
        <w:t xml:space="preserve">Pekinskej akčnej platformy </w:t>
      </w:r>
      <w:r w:rsidRPr="00D75A0F">
        <w:rPr>
          <w:color w:val="000000"/>
          <w:lang w:eastAsia="sk-SK" w:bidi="ar-SA"/>
        </w:rPr>
        <w:t>členskými štátmi EÚ v oblasti "</w:t>
      </w:r>
      <w:r w:rsidRPr="00D75A0F">
        <w:rPr>
          <w:i/>
          <w:iCs/>
          <w:color w:val="000000"/>
          <w:lang w:eastAsia="sk-SK" w:bidi="ar-SA"/>
        </w:rPr>
        <w:t>Ženy a chudoba</w:t>
      </w:r>
      <w:r w:rsidRPr="00D75A0F">
        <w:rPr>
          <w:color w:val="000000"/>
          <w:lang w:eastAsia="sk-SK" w:bidi="ar-SA"/>
        </w:rPr>
        <w:t xml:space="preserve">". Správa sa zameria na celý rad negatívnych faktorov, ktoré ovplyvňujú životy žien, ich pracovné podmienky a ich miesto v spoločnosti. Dôraz sa bude klásť na monitorovanie situácie najviac znevýhodnených skupín žien a identifikáciu viacrozmerných problémov a príčiny chudoby žien (napr. vek, imigračný status, osamelí rodičia, zdravotné postihnutie, etnická príslušnosť vrátane Rómov a pod.). Súčasťou bude aj vyhodnotenie možného vplyvu ekonomickej krízy na chudobu žien, najmä v najviac znevýhodnených skupinách v rámci EÚ. </w:t>
      </w:r>
    </w:p>
    <w:p w:rsidR="00D75A0F" w:rsidRPr="00261666" w:rsidRDefault="00D75A0F" w:rsidP="00D75A0F">
      <w:pPr>
        <w:shd w:val="clear" w:color="auto" w:fill="auto"/>
        <w:spacing w:line="240" w:lineRule="auto"/>
        <w:rPr>
          <w:rFonts w:eastAsia="Calibri"/>
          <w:i/>
          <w:color w:val="000000"/>
          <w:lang w:bidi="ar-SA"/>
        </w:rPr>
      </w:pPr>
      <w:r w:rsidRPr="00D75A0F">
        <w:rPr>
          <w:rFonts w:eastAsia="Calibri"/>
          <w:color w:val="000000"/>
          <w:lang w:bidi="ar-SA"/>
        </w:rPr>
        <w:t xml:space="preserve">V rámci SK PRES sa bude konať zasadnutie </w:t>
      </w:r>
      <w:r w:rsidR="00261666">
        <w:rPr>
          <w:rFonts w:eastAsia="Calibri"/>
          <w:i/>
          <w:color w:val="000000"/>
          <w:lang w:bidi="ar-SA"/>
        </w:rPr>
        <w:t>S</w:t>
      </w:r>
      <w:r w:rsidRPr="00261666">
        <w:rPr>
          <w:rFonts w:eastAsia="Calibri"/>
          <w:i/>
          <w:color w:val="000000"/>
          <w:lang w:bidi="ar-SA"/>
        </w:rPr>
        <w:t xml:space="preserve">kupiny na vysokej úrovni pre </w:t>
      </w:r>
      <w:proofErr w:type="spellStart"/>
      <w:r w:rsidRPr="00261666">
        <w:rPr>
          <w:rFonts w:eastAsia="Calibri"/>
          <w:i/>
          <w:color w:val="000000"/>
          <w:lang w:bidi="ar-SA"/>
        </w:rPr>
        <w:t>gender</w:t>
      </w:r>
      <w:proofErr w:type="spellEnd"/>
      <w:r w:rsidRPr="00261666">
        <w:rPr>
          <w:rFonts w:eastAsia="Calibri"/>
          <w:i/>
          <w:color w:val="000000"/>
          <w:lang w:bidi="ar-SA"/>
        </w:rPr>
        <w:t xml:space="preserve"> </w:t>
      </w:r>
      <w:proofErr w:type="spellStart"/>
      <w:r w:rsidRPr="00261666">
        <w:rPr>
          <w:rFonts w:eastAsia="Calibri"/>
          <w:i/>
          <w:color w:val="000000"/>
          <w:lang w:bidi="ar-SA"/>
        </w:rPr>
        <w:t>mainstreaming</w:t>
      </w:r>
      <w:proofErr w:type="spellEnd"/>
      <w:r w:rsidRPr="00D75A0F">
        <w:rPr>
          <w:rFonts w:eastAsia="Calibri"/>
          <w:color w:val="000000"/>
          <w:lang w:bidi="ar-SA"/>
        </w:rPr>
        <w:t xml:space="preserve"> v Bratislave dňa 7. a 8. septembra 2016 s cieľom zabezpečiť účinnú spoluprácu medzi členskými štátmi a Európskou komisiou v oblasti rodovej rovnosti a uplatňovania rodového hľadiska v EÚ. Zosúladenie pracovného, rodinného a súkromného života je predpokladom pre vyššiu účasť žien na trhu práce a ich ekonomickú nezávislosť; s ohľadom na túto skutočnosť sa bude v Bratislave konať </w:t>
      </w:r>
      <w:r w:rsidRPr="00261666">
        <w:rPr>
          <w:rFonts w:eastAsia="Calibri"/>
          <w:i/>
          <w:color w:val="000000"/>
          <w:lang w:bidi="ar-SA"/>
        </w:rPr>
        <w:t xml:space="preserve">konferencia venovaná zosúladeniu pracovného, rodinného a súkromného života v meniacej sa spoločnosti. </w:t>
      </w:r>
    </w:p>
    <w:p w:rsidR="00D75A0F" w:rsidRPr="00D75A0F" w:rsidRDefault="00D75A0F" w:rsidP="00D75A0F">
      <w:pPr>
        <w:shd w:val="clear" w:color="auto" w:fill="auto"/>
        <w:spacing w:line="240" w:lineRule="auto"/>
        <w:rPr>
          <w:rFonts w:eastAsia="Calibri"/>
          <w:color w:val="000000"/>
          <w:lang w:bidi="ar-SA"/>
        </w:rPr>
      </w:pPr>
      <w:r w:rsidRPr="00D75A0F">
        <w:rPr>
          <w:rFonts w:eastAsia="Calibri"/>
          <w:color w:val="000000"/>
          <w:lang w:bidi="ar-SA"/>
        </w:rPr>
        <w:t>V prípade predloženia iniciatívy Komisie "</w:t>
      </w:r>
      <w:r w:rsidRPr="00261666">
        <w:rPr>
          <w:rFonts w:eastAsia="Calibri"/>
          <w:i/>
          <w:color w:val="000000"/>
          <w:lang w:bidi="ar-SA"/>
        </w:rPr>
        <w:t>Nový začiatok riešenia úloh v oblasti zosúladenia rodinného, súkromného a pracovného života, ktorým čelia pracujúci rodičia</w:t>
      </w:r>
      <w:r w:rsidRPr="00D75A0F">
        <w:rPr>
          <w:rFonts w:eastAsia="Calibri"/>
          <w:color w:val="000000"/>
          <w:lang w:bidi="ar-SA"/>
        </w:rPr>
        <w:t xml:space="preserve">" zabezpečí slovenské predsedníctvo efektívne rokovania v rámci Rady. </w:t>
      </w:r>
    </w:p>
    <w:p w:rsidR="00D75A0F" w:rsidRDefault="00D75A0F" w:rsidP="00D75A0F">
      <w:pPr>
        <w:shd w:val="clear" w:color="auto" w:fill="auto"/>
        <w:spacing w:line="240" w:lineRule="auto"/>
        <w:rPr>
          <w:rFonts w:eastAsia="Calibri"/>
          <w:lang w:bidi="ar-SA"/>
        </w:rPr>
      </w:pPr>
      <w:r w:rsidRPr="00D75A0F">
        <w:rPr>
          <w:rFonts w:eastAsia="Calibri"/>
          <w:color w:val="000000"/>
          <w:lang w:bidi="ar-SA"/>
        </w:rPr>
        <w:t xml:space="preserve">Rodová rovnosť je rozhodujúca pre zabezpečenie rovnoprávnej a spravodlivej spoločnosti, ktorá je schopná zvyšovať rast a znižovať chudobu; Slovensko bude preto podporovať Európsku komisiu pri odstraňovaní niektorých zostávajúcich rodových rozdielov v zmysle stratégie pre rodovú rovnosť, ako aj na napĺňanie cieľov rodovej rovnosti po roku 2015. </w:t>
      </w:r>
      <w:r w:rsidRPr="00D75A0F">
        <w:rPr>
          <w:rFonts w:eastAsia="Calibri"/>
          <w:lang w:bidi="ar-SA"/>
        </w:rPr>
        <w:t>Slovenské predsedníctvo bude spolupracovať s Európskou službou pre vonkajšiu činnosť (EEAS) s cieľom zabezpečiť koordinovanú účasť EÚ na 61. zasadnutí Komisie OSN pre postavenie žien v marci 2017.</w:t>
      </w:r>
    </w:p>
    <w:p w:rsidR="00B67898" w:rsidRDefault="00B67898" w:rsidP="00D75A0F">
      <w:pPr>
        <w:shd w:val="clear" w:color="auto" w:fill="auto"/>
        <w:spacing w:line="240" w:lineRule="auto"/>
        <w:rPr>
          <w:rFonts w:eastAsia="Calibri"/>
          <w:lang w:bidi="ar-SA"/>
        </w:rPr>
      </w:pPr>
      <w:r>
        <w:rPr>
          <w:rFonts w:eastAsia="Calibri"/>
          <w:lang w:bidi="ar-SA"/>
        </w:rPr>
        <w:t xml:space="preserve">Text deklarácie je dostupný v preklade na webovom sídle </w:t>
      </w:r>
      <w:hyperlink r:id="rId12" w:history="1">
        <w:r w:rsidRPr="00EC4D11">
          <w:rPr>
            <w:rStyle w:val="Hypertextovprepojenie"/>
            <w:rFonts w:eastAsia="Calibri"/>
            <w:lang w:bidi="ar-SA"/>
          </w:rPr>
          <w:t>http://www.gender.gov.sk/?p=3808</w:t>
        </w:r>
      </w:hyperlink>
      <w:r>
        <w:rPr>
          <w:rFonts w:eastAsia="Calibri"/>
          <w:lang w:bidi="ar-SA"/>
        </w:rPr>
        <w:t>.</w:t>
      </w:r>
    </w:p>
    <w:p w:rsidR="00B67898" w:rsidRPr="00D75A0F" w:rsidRDefault="00B67898" w:rsidP="00D75A0F">
      <w:pPr>
        <w:shd w:val="clear" w:color="auto" w:fill="auto"/>
        <w:spacing w:line="240" w:lineRule="auto"/>
        <w:rPr>
          <w:rFonts w:eastAsia="Calibri"/>
          <w:szCs w:val="24"/>
          <w:lang w:bidi="ar-SA"/>
        </w:rPr>
      </w:pPr>
    </w:p>
    <w:p w:rsidR="00D75A0F" w:rsidRPr="00D75A0F" w:rsidRDefault="00D75A0F" w:rsidP="00D75A0F">
      <w:pPr>
        <w:shd w:val="clear" w:color="auto" w:fill="auto"/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color w:val="000000"/>
          <w:szCs w:val="24"/>
          <w:lang w:bidi="ar-SA"/>
        </w:rPr>
      </w:pPr>
    </w:p>
    <w:p w:rsidR="00B67898" w:rsidRDefault="00B67898">
      <w:pPr>
        <w:shd w:val="clear" w:color="auto" w:fill="auto"/>
        <w:spacing w:after="0" w:line="240" w:lineRule="auto"/>
        <w:jc w:val="left"/>
        <w:rPr>
          <w:rFonts w:eastAsia="Calibri"/>
          <w:caps/>
          <w:color w:val="000000"/>
          <w:sz w:val="28"/>
          <w:szCs w:val="24"/>
          <w:lang w:bidi="ar-SA"/>
        </w:rPr>
      </w:pPr>
      <w:bookmarkStart w:id="5" w:name="_Toc451508605"/>
      <w:r>
        <w:rPr>
          <w:rFonts w:eastAsia="Calibri"/>
          <w:lang w:bidi="ar-SA"/>
        </w:rPr>
        <w:br w:type="page"/>
      </w:r>
    </w:p>
    <w:p w:rsidR="00D75A0F" w:rsidRPr="00D75A0F" w:rsidRDefault="00D75A0F" w:rsidP="00261666">
      <w:pPr>
        <w:pStyle w:val="Nadpis3"/>
        <w:rPr>
          <w:rFonts w:eastAsia="Calibri"/>
          <w:lang w:bidi="ar-SA"/>
        </w:rPr>
      </w:pPr>
      <w:r w:rsidRPr="00D75A0F">
        <w:rPr>
          <w:rFonts w:eastAsia="Calibri"/>
          <w:lang w:bidi="ar-SA"/>
        </w:rPr>
        <w:lastRenderedPageBreak/>
        <w:t>Publikácie</w:t>
      </w:r>
      <w:bookmarkEnd w:id="5"/>
    </w:p>
    <w:p w:rsidR="00261666" w:rsidRDefault="00261666" w:rsidP="00261666">
      <w:pPr>
        <w:pStyle w:val="Podtitul"/>
        <w:rPr>
          <w:lang w:eastAsia="sk-SK"/>
        </w:rPr>
      </w:pPr>
      <w:r>
        <w:rPr>
          <w:lang w:eastAsia="sk-SK"/>
        </w:rPr>
        <w:t>Rodová rovnosť 2015</w:t>
      </w:r>
    </w:p>
    <w:p w:rsidR="00D75A0F" w:rsidRPr="00D75A0F" w:rsidRDefault="001F6765" w:rsidP="00D75A0F">
      <w:pPr>
        <w:shd w:val="clear" w:color="auto" w:fill="auto"/>
        <w:spacing w:line="240" w:lineRule="auto"/>
        <w:rPr>
          <w:rFonts w:eastAsia="Calibri"/>
          <w:color w:val="000000"/>
          <w:lang w:bidi="ar-SA"/>
        </w:rPr>
      </w:pPr>
      <w:r w:rsidRPr="001F6765">
        <w:rPr>
          <w:color w:val="000000"/>
          <w:lang w:eastAsia="sk-SK" w:bidi="ar-SA"/>
        </w:rPr>
        <w:t>V novembri 2015 Štatistický úrad SR vydal pravidelnú štatistickú publikáciu Rodová rovnosť 2015</w:t>
      </w:r>
      <w:r>
        <w:rPr>
          <w:color w:val="000000"/>
          <w:lang w:eastAsia="sk-SK" w:bidi="ar-SA"/>
        </w:rPr>
        <w:t>.</w:t>
      </w:r>
      <w:r w:rsidR="00D75A0F">
        <w:rPr>
          <w:noProof/>
          <w:color w:val="000000"/>
          <w:lang w:eastAsia="sk-SK" w:bidi="ar-SA"/>
        </w:rPr>
        <w:drawing>
          <wp:anchor distT="0" distB="0" distL="114300" distR="114300" simplePos="0" relativeHeight="251670528" behindDoc="0" locked="0" layoutInCell="1" allowOverlap="1" wp14:anchorId="5C6AFA48" wp14:editId="0F109026">
            <wp:simplePos x="0" y="0"/>
            <wp:positionH relativeFrom="column">
              <wp:posOffset>40005</wp:posOffset>
            </wp:positionH>
            <wp:positionV relativeFrom="paragraph">
              <wp:posOffset>152400</wp:posOffset>
            </wp:positionV>
            <wp:extent cx="1098550" cy="1555750"/>
            <wp:effectExtent l="0" t="0" r="6350" b="6350"/>
            <wp:wrapSquare wrapText="bothSides"/>
            <wp:docPr id="8" name="Obrázok 8" descr="https://slovak.statistics.sk/wps/wcm/connect/ad59ee8f-3030-46e8-867e-e3802082a351/rodova-rovnost-2015-na-net115x163.png?MOD=AJPERES&amp;CACHEID=ad59ee8f-3030-46e8-867e-e3802082a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s://slovak.statistics.sk/wps/wcm/connect/ad59ee8f-3030-46e8-867e-e3802082a351/rodova-rovnost-2015-na-net115x163.png?MOD=AJPERES&amp;CACHEID=ad59ee8f-3030-46e8-867e-e3802082a3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A0F" w:rsidRPr="00D75A0F">
        <w:rPr>
          <w:rFonts w:eastAsia="Calibri"/>
          <w:color w:val="000000"/>
          <w:lang w:bidi="ar-SA"/>
        </w:rPr>
        <w:t>Štatistický úrad Slovenskej republiky dlhodobo zisťuje, spracováva a poskytuje štatistické informácie v členení podľa pohlavia. Tým umožňuje opísať javy ovplyvňujúce postavenie žien a mužov v spoločnosti a napomáha pri tvorbe a prijímaní opatrení na zvýšenie úrovne podpory, ochrany a dodržiavania rovnosti práv a príležitostí medzi pohlaviami.</w:t>
      </w:r>
    </w:p>
    <w:p w:rsidR="00D75A0F" w:rsidRPr="00D75A0F" w:rsidRDefault="00D75A0F" w:rsidP="00D75A0F">
      <w:pPr>
        <w:shd w:val="clear" w:color="auto" w:fill="auto"/>
        <w:autoSpaceDE w:val="0"/>
        <w:autoSpaceDN w:val="0"/>
        <w:adjustRightInd w:val="0"/>
        <w:spacing w:after="0" w:line="240" w:lineRule="auto"/>
        <w:rPr>
          <w:rFonts w:eastAsia="Calibri"/>
          <w:szCs w:val="24"/>
          <w:lang w:bidi="ar-SA"/>
        </w:rPr>
      </w:pPr>
      <w:r w:rsidRPr="00D75A0F">
        <w:rPr>
          <w:rFonts w:eastAsia="Calibri"/>
          <w:szCs w:val="24"/>
          <w:lang w:bidi="ar-SA"/>
        </w:rPr>
        <w:t xml:space="preserve">Publikácia </w:t>
      </w:r>
      <w:r w:rsidRPr="00261666">
        <w:rPr>
          <w:rFonts w:eastAsia="Calibri"/>
          <w:i/>
          <w:szCs w:val="24"/>
          <w:lang w:bidi="ar-SA"/>
        </w:rPr>
        <w:t>Rodová rovnosť 2015</w:t>
      </w:r>
      <w:r w:rsidRPr="00D75A0F">
        <w:rPr>
          <w:rFonts w:eastAsia="Calibri"/>
          <w:szCs w:val="24"/>
          <w:lang w:bidi="ar-SA"/>
        </w:rPr>
        <w:t xml:space="preserve"> prezentuje štatistické údaje rozčlenené podľa pohlavia a nadväzuje na obdobné publikácie o rodovej rovnosti, ktoré boli vydané v posledných rokoch. Cieľom publikácie je v prehľadnej forme poskytnúť užívateľom dostupné informácie charakterizujúce postavenie žien v našej spoločnosti a prispieť k poznaniu rovnosti príležitosti na Slovensku, aj v ostatných štátoch Európskej únie.</w:t>
      </w:r>
    </w:p>
    <w:p w:rsidR="00D75A0F" w:rsidRPr="00D75A0F" w:rsidRDefault="00D75A0F" w:rsidP="00D75A0F">
      <w:pPr>
        <w:shd w:val="clear" w:color="auto" w:fill="auto"/>
        <w:autoSpaceDE w:val="0"/>
        <w:autoSpaceDN w:val="0"/>
        <w:adjustRightInd w:val="0"/>
        <w:spacing w:after="0" w:line="240" w:lineRule="auto"/>
        <w:rPr>
          <w:rFonts w:eastAsia="Calibri"/>
          <w:szCs w:val="24"/>
          <w:lang w:bidi="ar-SA"/>
        </w:rPr>
      </w:pPr>
    </w:p>
    <w:p w:rsidR="00D75A0F" w:rsidRPr="00D75A0F" w:rsidRDefault="00D75A0F" w:rsidP="00D75A0F">
      <w:pPr>
        <w:shd w:val="clear" w:color="auto" w:fill="auto"/>
        <w:autoSpaceDE w:val="0"/>
        <w:autoSpaceDN w:val="0"/>
        <w:adjustRightInd w:val="0"/>
        <w:spacing w:after="0" w:line="240" w:lineRule="auto"/>
        <w:rPr>
          <w:rFonts w:eastAsia="Calibri"/>
          <w:szCs w:val="24"/>
          <w:lang w:bidi="ar-SA"/>
        </w:rPr>
      </w:pPr>
      <w:r w:rsidRPr="00D75A0F">
        <w:rPr>
          <w:rFonts w:eastAsia="Calibri"/>
          <w:szCs w:val="24"/>
          <w:lang w:bidi="ar-SA"/>
        </w:rPr>
        <w:t>Problematikou postavenia žien sa Štatistický úrad Slovenskej republiky zaoberá vo viacerých oblastiach. Vykonáva štatistické zisťovania, šíri relevantné štatistické informácie všetkými dostupnými formami a vykonáva v danej oblasti publikačnú činnosť. Aktívne spolupracuje a zúčastňuje sa činnosti Rady Vlády SR pre rodovú rovnosť za oblasť štatistiky. V súvislosti s Národným akčným plánom pre rodovú rovnosť plní úlohy v oblasti posilňovania rodového aspektu v prierezových štatistikách.</w:t>
      </w:r>
    </w:p>
    <w:p w:rsidR="00D75A0F" w:rsidRPr="00D75A0F" w:rsidRDefault="00D75A0F" w:rsidP="00D75A0F">
      <w:pPr>
        <w:shd w:val="clear" w:color="auto" w:fill="auto"/>
        <w:autoSpaceDE w:val="0"/>
        <w:autoSpaceDN w:val="0"/>
        <w:adjustRightInd w:val="0"/>
        <w:spacing w:after="0" w:line="240" w:lineRule="auto"/>
        <w:rPr>
          <w:rFonts w:eastAsia="Calibri"/>
          <w:szCs w:val="24"/>
          <w:lang w:bidi="ar-SA"/>
        </w:rPr>
      </w:pPr>
      <w:r w:rsidRPr="00D75A0F">
        <w:rPr>
          <w:rFonts w:eastAsia="Calibri"/>
          <w:szCs w:val="24"/>
          <w:lang w:bidi="ar-SA"/>
        </w:rPr>
        <w:t xml:space="preserve">Publikáciu je možné stiahnuť na webovom sídle Štatistického úradu SR </w:t>
      </w:r>
      <w:proofErr w:type="spellStart"/>
      <w:r w:rsidRPr="00D75A0F">
        <w:rPr>
          <w:rFonts w:eastAsia="Calibri"/>
          <w:szCs w:val="24"/>
          <w:lang w:bidi="ar-SA"/>
        </w:rPr>
        <w:t>www.statistics.sk</w:t>
      </w:r>
      <w:proofErr w:type="spellEnd"/>
      <w:r w:rsidRPr="00D75A0F">
        <w:rPr>
          <w:rFonts w:eastAsia="Calibri"/>
          <w:szCs w:val="24"/>
          <w:lang w:bidi="ar-SA"/>
        </w:rPr>
        <w:t xml:space="preserve"> alebo </w:t>
      </w:r>
      <w:proofErr w:type="spellStart"/>
      <w:r w:rsidRPr="00D75A0F">
        <w:rPr>
          <w:rFonts w:eastAsia="Calibri"/>
          <w:szCs w:val="24"/>
          <w:lang w:bidi="ar-SA"/>
        </w:rPr>
        <w:t>www.susr.sk</w:t>
      </w:r>
      <w:proofErr w:type="spellEnd"/>
      <w:r w:rsidRPr="00D75A0F">
        <w:rPr>
          <w:rFonts w:eastAsia="Calibri"/>
          <w:szCs w:val="24"/>
          <w:lang w:bidi="ar-SA"/>
        </w:rPr>
        <w:t>. Jej súčasťou je metodika, definície k novým ukazovateľom a tiež grafická príloha.</w:t>
      </w:r>
    </w:p>
    <w:p w:rsidR="00D75A0F" w:rsidRPr="00D75A0F" w:rsidRDefault="00D75A0F" w:rsidP="00D75A0F">
      <w:pPr>
        <w:shd w:val="clear" w:color="auto" w:fill="auto"/>
        <w:spacing w:after="0" w:line="240" w:lineRule="auto"/>
        <w:rPr>
          <w:rFonts w:eastAsia="Calibri"/>
          <w:szCs w:val="24"/>
          <w:lang w:bidi="ar-SA"/>
        </w:rPr>
      </w:pPr>
    </w:p>
    <w:p w:rsidR="00D75A0F" w:rsidRPr="00D75A0F" w:rsidRDefault="00D75A0F" w:rsidP="00D75A0F">
      <w:pPr>
        <w:shd w:val="clear" w:color="auto" w:fill="auto"/>
        <w:spacing w:after="0" w:line="240" w:lineRule="auto"/>
        <w:rPr>
          <w:rFonts w:eastAsia="Calibri"/>
          <w:szCs w:val="24"/>
          <w:lang w:bidi="ar-SA"/>
        </w:rPr>
      </w:pPr>
      <w:r w:rsidRPr="00D75A0F">
        <w:rPr>
          <w:rFonts w:eastAsia="Calibri"/>
          <w:szCs w:val="24"/>
          <w:lang w:bidi="ar-SA"/>
        </w:rPr>
        <w:t xml:space="preserve">Všetky informácie ohľadom rodovej rovnosti sú uvádzané na webovom sídle MPSVR SR </w:t>
      </w:r>
      <w:hyperlink r:id="rId14" w:history="1">
        <w:r w:rsidRPr="00D75A0F">
          <w:rPr>
            <w:rFonts w:eastAsia="Calibri"/>
            <w:color w:val="0000FF"/>
            <w:szCs w:val="24"/>
            <w:u w:val="single"/>
            <w:lang w:bidi="ar-SA"/>
          </w:rPr>
          <w:t>www.gender.gov.sk</w:t>
        </w:r>
      </w:hyperlink>
      <w:r w:rsidRPr="00D75A0F">
        <w:rPr>
          <w:rFonts w:eastAsia="Calibri"/>
          <w:szCs w:val="24"/>
          <w:lang w:bidi="ar-SA"/>
        </w:rPr>
        <w:t xml:space="preserve">,  ktoré zabezpečuje odbor rodovej rovnosti a rovnosti príležitostí MPSVR SR. </w:t>
      </w:r>
    </w:p>
    <w:p w:rsidR="00D75A0F" w:rsidRPr="00D75A0F" w:rsidRDefault="00D75A0F" w:rsidP="00D75A0F">
      <w:pPr>
        <w:shd w:val="clear" w:color="auto" w:fill="auto"/>
        <w:spacing w:after="0" w:line="240" w:lineRule="auto"/>
        <w:rPr>
          <w:rFonts w:eastAsia="Calibri"/>
          <w:szCs w:val="24"/>
          <w:lang w:bidi="ar-SA"/>
        </w:rPr>
      </w:pPr>
    </w:p>
    <w:p w:rsidR="00D75A0F" w:rsidRPr="00D75A0F" w:rsidRDefault="00D75A0F" w:rsidP="00D75A0F">
      <w:pPr>
        <w:shd w:val="clear" w:color="auto" w:fill="auto"/>
        <w:spacing w:after="0" w:line="240" w:lineRule="auto"/>
        <w:rPr>
          <w:rFonts w:eastAsia="Calibri"/>
          <w:szCs w:val="24"/>
          <w:lang w:bidi="ar-SA"/>
        </w:rPr>
      </w:pPr>
    </w:p>
    <w:p w:rsidR="00896DC3" w:rsidRDefault="00896DC3">
      <w:pPr>
        <w:shd w:val="clear" w:color="auto" w:fill="auto"/>
        <w:spacing w:after="0" w:line="240" w:lineRule="auto"/>
        <w:jc w:val="left"/>
        <w:rPr>
          <w:caps/>
          <w:color w:val="000000"/>
          <w:sz w:val="28"/>
          <w:szCs w:val="24"/>
          <w:lang w:eastAsia="sk-SK" w:bidi="ar-SA"/>
        </w:rPr>
      </w:pPr>
      <w:r>
        <w:rPr>
          <w:lang w:eastAsia="sk-SK" w:bidi="ar-SA"/>
        </w:rPr>
        <w:br w:type="page"/>
      </w:r>
    </w:p>
    <w:p w:rsidR="00D75A0F" w:rsidRPr="00D75A0F" w:rsidRDefault="00D75A0F" w:rsidP="00261666">
      <w:pPr>
        <w:pStyle w:val="Nadpis3"/>
        <w:rPr>
          <w:lang w:eastAsia="sk-SK" w:bidi="ar-SA"/>
        </w:rPr>
      </w:pPr>
      <w:bookmarkStart w:id="6" w:name="_Toc451508606"/>
      <w:r w:rsidRPr="00D75A0F">
        <w:rPr>
          <w:lang w:eastAsia="sk-SK" w:bidi="ar-SA"/>
        </w:rPr>
        <w:lastRenderedPageBreak/>
        <w:t>Participatívne mechanizmy a otvorené vládnutie</w:t>
      </w:r>
      <w:bookmarkEnd w:id="6"/>
    </w:p>
    <w:p w:rsidR="00D75A0F" w:rsidRPr="00261666" w:rsidRDefault="00D75A0F" w:rsidP="00D75A0F">
      <w:pPr>
        <w:numPr>
          <w:ilvl w:val="12"/>
          <w:numId w:val="0"/>
        </w:numPr>
        <w:shd w:val="clear" w:color="auto" w:fill="auto"/>
        <w:spacing w:after="120" w:line="240" w:lineRule="auto"/>
        <w:rPr>
          <w:bCs/>
          <w:color w:val="000000"/>
          <w:lang w:bidi="ar-SA"/>
        </w:rPr>
      </w:pPr>
      <w:r w:rsidRPr="00D75A0F">
        <w:rPr>
          <w:b/>
          <w:color w:val="000000"/>
          <w:lang w:bidi="ar-SA"/>
        </w:rPr>
        <w:t>Výbor pre rodovú rovnosť</w:t>
      </w:r>
      <w:r w:rsidR="00261666">
        <w:rPr>
          <w:b/>
          <w:color w:val="000000"/>
          <w:lang w:bidi="ar-SA"/>
        </w:rPr>
        <w:t xml:space="preserve">, </w:t>
      </w:r>
      <w:r w:rsidR="00261666" w:rsidRPr="00261666">
        <w:rPr>
          <w:color w:val="000000"/>
          <w:lang w:bidi="ar-SA"/>
        </w:rPr>
        <w:t>ktorý je</w:t>
      </w:r>
      <w:r w:rsidRPr="00261666">
        <w:rPr>
          <w:bCs/>
          <w:color w:val="000000"/>
          <w:lang w:bidi="ar-SA"/>
        </w:rPr>
        <w:t xml:space="preserve"> odborným výborom </w:t>
      </w:r>
      <w:r w:rsidR="00261666" w:rsidRPr="00261666">
        <w:rPr>
          <w:bCs/>
          <w:i/>
          <w:color w:val="000000"/>
          <w:lang w:bidi="ar-SA"/>
        </w:rPr>
        <w:t>R</w:t>
      </w:r>
      <w:r w:rsidRPr="00261666">
        <w:rPr>
          <w:bCs/>
          <w:i/>
          <w:color w:val="000000"/>
          <w:lang w:bidi="ar-SA"/>
        </w:rPr>
        <w:t>ady vlády</w:t>
      </w:r>
      <w:r w:rsidR="00261666" w:rsidRPr="00261666">
        <w:rPr>
          <w:bCs/>
          <w:i/>
          <w:color w:val="000000"/>
          <w:lang w:bidi="ar-SA"/>
        </w:rPr>
        <w:t xml:space="preserve"> pre ľudské práva, národnostné menšiny a rodovú rovnosť</w:t>
      </w:r>
      <w:r w:rsidRPr="00261666">
        <w:rPr>
          <w:bCs/>
          <w:color w:val="000000"/>
          <w:lang w:bidi="ar-SA"/>
        </w:rPr>
        <w:t>, zasadal počas roku 2015 trikrát. Prvé zasadnutie sa konalo 24.2.2015, druhé 3.6.201</w:t>
      </w:r>
      <w:r w:rsidR="00735CD7">
        <w:rPr>
          <w:bCs/>
          <w:color w:val="000000"/>
          <w:lang w:bidi="ar-SA"/>
        </w:rPr>
        <w:t>5</w:t>
      </w:r>
      <w:r w:rsidRPr="00261666">
        <w:rPr>
          <w:bCs/>
          <w:color w:val="000000"/>
          <w:lang w:bidi="ar-SA"/>
        </w:rPr>
        <w:t xml:space="preserve"> a tretie 13.10.2015. </w:t>
      </w:r>
    </w:p>
    <w:p w:rsidR="00D75A0F" w:rsidRPr="00D75A0F" w:rsidRDefault="00D75A0F" w:rsidP="00D75A0F">
      <w:pPr>
        <w:shd w:val="clear" w:color="auto" w:fill="auto"/>
        <w:spacing w:before="100" w:beforeAutospacing="1" w:after="100" w:afterAutospacing="1" w:line="240" w:lineRule="auto"/>
        <w:rPr>
          <w:bCs/>
          <w:color w:val="000000"/>
          <w:lang w:eastAsia="sk-SK" w:bidi="ar-SA"/>
        </w:rPr>
      </w:pPr>
      <w:r w:rsidRPr="00261666">
        <w:rPr>
          <w:b/>
          <w:bCs/>
          <w:color w:val="000000"/>
          <w:lang w:eastAsia="sk-SK" w:bidi="ar-SA"/>
        </w:rPr>
        <w:t>Zasadnutie výboru 24. 2. 2015</w:t>
      </w:r>
      <w:r w:rsidR="00261666" w:rsidRPr="00261666">
        <w:rPr>
          <w:b/>
          <w:bCs/>
          <w:color w:val="000000"/>
          <w:lang w:eastAsia="sk-SK" w:bidi="ar-SA"/>
        </w:rPr>
        <w:t>:</w:t>
      </w:r>
      <w:r w:rsidRPr="00D75A0F">
        <w:rPr>
          <w:bCs/>
          <w:color w:val="000000"/>
          <w:lang w:eastAsia="sk-SK" w:bidi="ar-SA"/>
        </w:rPr>
        <w:t xml:space="preserve"> Výbor vzal na vedomie správu z rokovania Rady vlády SR pre ľudské práva, národnostné menšiny a rodovú rovnosť a schvaľovania </w:t>
      </w:r>
      <w:r w:rsidRPr="00261666">
        <w:rPr>
          <w:bCs/>
          <w:i/>
          <w:color w:val="000000"/>
          <w:lang w:eastAsia="sk-SK" w:bidi="ar-SA"/>
        </w:rPr>
        <w:t>Celoštátnej stratégie ochrany a podpory ľudských práv v Slovenskej republike</w:t>
      </w:r>
      <w:r w:rsidRPr="00D75A0F">
        <w:rPr>
          <w:bCs/>
          <w:color w:val="000000"/>
          <w:lang w:eastAsia="sk-SK" w:bidi="ar-SA"/>
        </w:rPr>
        <w:t xml:space="preserve">, informáciu o prebiehajúcich projektoch v oblasti riešenia násilia na ženách a nonstop informačnej linke pre ženy ohrozené násilím,  správu o schválení </w:t>
      </w:r>
      <w:r w:rsidRPr="00261666">
        <w:rPr>
          <w:bCs/>
          <w:i/>
          <w:color w:val="000000"/>
          <w:lang w:eastAsia="sk-SK" w:bidi="ar-SA"/>
        </w:rPr>
        <w:t>Operačného programu Ľudské zdroje</w:t>
      </w:r>
      <w:r w:rsidRPr="00D75A0F">
        <w:rPr>
          <w:bCs/>
          <w:color w:val="000000"/>
          <w:lang w:eastAsia="sk-SK" w:bidi="ar-SA"/>
        </w:rPr>
        <w:t xml:space="preserve"> a prioritách v oblasti rodovej rovnosti, informáciu o príprave predsedníctva SR v Rade EÚ a vytýčení priorít v oblasti rodovej rovnosti  a informáciu o uskutočnených aktivitách v rámci Medzinárodného roka rodiny 2014. </w:t>
      </w:r>
    </w:p>
    <w:p w:rsidR="00D75A0F" w:rsidRPr="00D75A0F" w:rsidRDefault="00D75A0F" w:rsidP="00D75A0F">
      <w:pPr>
        <w:shd w:val="clear" w:color="auto" w:fill="auto"/>
        <w:spacing w:before="100" w:beforeAutospacing="1" w:after="100" w:afterAutospacing="1" w:line="240" w:lineRule="auto"/>
        <w:rPr>
          <w:bCs/>
          <w:color w:val="000000"/>
          <w:lang w:eastAsia="sk-SK" w:bidi="ar-SA"/>
        </w:rPr>
      </w:pPr>
      <w:r w:rsidRPr="00261666">
        <w:rPr>
          <w:b/>
          <w:bCs/>
          <w:color w:val="000000"/>
          <w:lang w:eastAsia="sk-SK" w:bidi="ar-SA"/>
        </w:rPr>
        <w:t>Zasadnutie výboru 3. 6. 2015</w:t>
      </w:r>
      <w:r w:rsidR="00261666">
        <w:rPr>
          <w:bCs/>
          <w:color w:val="000000"/>
          <w:lang w:eastAsia="sk-SK" w:bidi="ar-SA"/>
        </w:rPr>
        <w:t xml:space="preserve">: </w:t>
      </w:r>
      <w:r w:rsidRPr="00D75A0F">
        <w:rPr>
          <w:bCs/>
          <w:color w:val="000000"/>
          <w:lang w:eastAsia="sk-SK" w:bidi="ar-SA"/>
        </w:rPr>
        <w:t xml:space="preserve"> Výbor vzal na vedomie informáciu zo zasadnutia </w:t>
      </w:r>
      <w:r w:rsidRPr="00261666">
        <w:rPr>
          <w:bCs/>
          <w:i/>
          <w:color w:val="000000"/>
          <w:lang w:eastAsia="sk-SK" w:bidi="ar-SA"/>
        </w:rPr>
        <w:t>Rady vlády SR pre ľudské práva, národnostné menšiny a rodovú rovnosť</w:t>
      </w:r>
      <w:r w:rsidRPr="00D75A0F">
        <w:rPr>
          <w:bCs/>
          <w:color w:val="000000"/>
          <w:lang w:eastAsia="sk-SK" w:bidi="ar-SA"/>
        </w:rPr>
        <w:t xml:space="preserve"> a  schválil </w:t>
      </w:r>
      <w:r w:rsidRPr="00261666">
        <w:rPr>
          <w:bCs/>
          <w:i/>
          <w:color w:val="000000"/>
          <w:lang w:eastAsia="sk-SK" w:bidi="ar-SA"/>
        </w:rPr>
        <w:t>Súhrnnú správu o stave rodovej rovnosti na Slovensku za rok 2014</w:t>
      </w:r>
      <w:r w:rsidRPr="00D75A0F">
        <w:rPr>
          <w:bCs/>
          <w:color w:val="000000"/>
          <w:lang w:eastAsia="sk-SK" w:bidi="ar-SA"/>
        </w:rPr>
        <w:t>. Výbor vzal na vedomie informáciu k priprav</w:t>
      </w:r>
      <w:r w:rsidR="00261666">
        <w:rPr>
          <w:bCs/>
          <w:color w:val="000000"/>
          <w:lang w:eastAsia="sk-SK" w:bidi="ar-SA"/>
        </w:rPr>
        <w:t>ovanému návrhu z</w:t>
      </w:r>
      <w:r w:rsidRPr="00D75A0F">
        <w:rPr>
          <w:bCs/>
          <w:color w:val="000000"/>
          <w:lang w:eastAsia="sk-SK" w:bidi="ar-SA"/>
        </w:rPr>
        <w:t xml:space="preserve">ákona o eliminácii a prevencii násilia na ženách a domáceho násilia, informáciu o príprave predsedníctva SR v Rade EÚ, informáciu o národných projektoch v oblasti rodovej rovnosti. Výbor diskutoval o podpore </w:t>
      </w:r>
      <w:r w:rsidRPr="00261666">
        <w:rPr>
          <w:bCs/>
          <w:i/>
          <w:color w:val="000000"/>
          <w:lang w:eastAsia="sk-SK" w:bidi="ar-SA"/>
        </w:rPr>
        <w:t>Otvorenej výzvy na urýchlenie ratifikácie a implementácie Dohovoru Rady Európy o predchádzaní násiliu na ženách a domácemu násiliu a o boji proti nemu</w:t>
      </w:r>
      <w:r w:rsidRPr="00D75A0F">
        <w:rPr>
          <w:bCs/>
          <w:color w:val="000000"/>
          <w:lang w:eastAsia="sk-SK" w:bidi="ar-SA"/>
        </w:rPr>
        <w:t xml:space="preserve"> (tzv. Istanbulského dohovoru) a o podpore s ňou súvisiacej kampane o. z. Možnosť voľby „</w:t>
      </w:r>
      <w:r w:rsidRPr="00261666">
        <w:rPr>
          <w:bCs/>
          <w:i/>
          <w:color w:val="000000"/>
          <w:lang w:eastAsia="sk-SK" w:bidi="ar-SA"/>
        </w:rPr>
        <w:t>Odzvoňme násiliu na ženách – Podporme Istanbulský dohovor</w:t>
      </w:r>
      <w:r w:rsidRPr="00D75A0F">
        <w:rPr>
          <w:bCs/>
          <w:color w:val="000000"/>
          <w:lang w:eastAsia="sk-SK" w:bidi="ar-SA"/>
        </w:rPr>
        <w:t>“. Výbor vzal na vedomie informáciu člena výboru Stanislava Trnovca ku kampani Európske</w:t>
      </w:r>
      <w:r w:rsidR="00D554C0">
        <w:rPr>
          <w:bCs/>
          <w:color w:val="000000"/>
          <w:lang w:eastAsia="sk-SK" w:bidi="ar-SA"/>
        </w:rPr>
        <w:t>j ženskej lob</w:t>
      </w:r>
      <w:r w:rsidRPr="00D75A0F">
        <w:rPr>
          <w:bCs/>
          <w:color w:val="000000"/>
          <w:lang w:eastAsia="sk-SK" w:bidi="ar-SA"/>
        </w:rPr>
        <w:t xml:space="preserve">y k náhradnému materstvu. </w:t>
      </w:r>
    </w:p>
    <w:p w:rsidR="00D75A0F" w:rsidRPr="00261666" w:rsidRDefault="00D75A0F" w:rsidP="00D75A0F">
      <w:pPr>
        <w:shd w:val="clear" w:color="auto" w:fill="auto"/>
        <w:spacing w:before="100" w:beforeAutospacing="1" w:after="100" w:afterAutospacing="1" w:line="240" w:lineRule="auto"/>
        <w:rPr>
          <w:bCs/>
          <w:i/>
          <w:color w:val="000000"/>
          <w:lang w:eastAsia="sk-SK" w:bidi="ar-SA"/>
        </w:rPr>
      </w:pPr>
      <w:r w:rsidRPr="00261666">
        <w:rPr>
          <w:b/>
          <w:bCs/>
          <w:color w:val="000000"/>
          <w:lang w:eastAsia="sk-SK" w:bidi="ar-SA"/>
        </w:rPr>
        <w:t>Zasadnutie výboru 13. 10. 2015</w:t>
      </w:r>
      <w:r w:rsidR="00261666">
        <w:rPr>
          <w:bCs/>
          <w:color w:val="000000"/>
          <w:lang w:eastAsia="sk-SK" w:bidi="ar-SA"/>
        </w:rPr>
        <w:t>:</w:t>
      </w:r>
      <w:r w:rsidRPr="00D75A0F">
        <w:rPr>
          <w:bCs/>
          <w:color w:val="000000"/>
          <w:lang w:eastAsia="sk-SK" w:bidi="ar-SA"/>
        </w:rPr>
        <w:t xml:space="preserve"> Výbor vzal na vedomie informáciu zo zasadnutia </w:t>
      </w:r>
      <w:r w:rsidRPr="00261666">
        <w:rPr>
          <w:bCs/>
          <w:i/>
          <w:color w:val="000000"/>
          <w:lang w:eastAsia="sk-SK" w:bidi="ar-SA"/>
        </w:rPr>
        <w:t>Rady vlády SR pre ľudské práva, národnostné menšiny a rodovú rovnosť</w:t>
      </w:r>
      <w:r w:rsidRPr="00D75A0F">
        <w:rPr>
          <w:bCs/>
          <w:color w:val="000000"/>
          <w:lang w:eastAsia="sk-SK" w:bidi="ar-SA"/>
        </w:rPr>
        <w:t xml:space="preserve"> a o prechode kompetencií v oblasti ľudských práv na Ministerstvo spravodlivosti SR, informáciu o </w:t>
      </w:r>
      <w:r w:rsidRPr="00261666">
        <w:rPr>
          <w:bCs/>
          <w:i/>
          <w:color w:val="000000"/>
          <w:lang w:eastAsia="sk-SK" w:bidi="ar-SA"/>
        </w:rPr>
        <w:t>Akčnom pláne predchádzania všetkým formám diskriminácie</w:t>
      </w:r>
      <w:r w:rsidRPr="00D75A0F">
        <w:rPr>
          <w:bCs/>
          <w:color w:val="000000"/>
          <w:lang w:eastAsia="sk-SK" w:bidi="ar-SA"/>
        </w:rPr>
        <w:t xml:space="preserve">, informáciu o </w:t>
      </w:r>
      <w:r w:rsidR="00261666">
        <w:rPr>
          <w:bCs/>
          <w:color w:val="000000"/>
          <w:lang w:eastAsia="sk-SK" w:bidi="ar-SA"/>
        </w:rPr>
        <w:t>n</w:t>
      </w:r>
      <w:r w:rsidRPr="00D75A0F">
        <w:rPr>
          <w:bCs/>
          <w:color w:val="000000"/>
          <w:lang w:eastAsia="sk-SK" w:bidi="ar-SA"/>
        </w:rPr>
        <w:t xml:space="preserve">árodnom projekte </w:t>
      </w:r>
      <w:r w:rsidRPr="00261666">
        <w:rPr>
          <w:bCs/>
          <w:i/>
          <w:color w:val="000000"/>
          <w:lang w:eastAsia="sk-SK" w:bidi="ar-SA"/>
        </w:rPr>
        <w:t>Prevencia a eliminácia násilia na ženách</w:t>
      </w:r>
      <w:r w:rsidRPr="00D75A0F">
        <w:rPr>
          <w:bCs/>
          <w:color w:val="000000"/>
          <w:lang w:eastAsia="sk-SK" w:bidi="ar-SA"/>
        </w:rPr>
        <w:t xml:space="preserve">, informáciu o obhajobe </w:t>
      </w:r>
      <w:r w:rsidRPr="00261666">
        <w:rPr>
          <w:bCs/>
          <w:i/>
          <w:color w:val="000000"/>
          <w:lang w:eastAsia="sk-SK" w:bidi="ar-SA"/>
        </w:rPr>
        <w:t>5. a 6. periodickej správy Slovenskej republiky k Dohovoru o odstránení všetkých foriem diskriminácie žien</w:t>
      </w:r>
      <w:r w:rsidRPr="00D75A0F">
        <w:rPr>
          <w:bCs/>
          <w:color w:val="000000"/>
          <w:lang w:eastAsia="sk-SK" w:bidi="ar-SA"/>
        </w:rPr>
        <w:t xml:space="preserve">. Výbor v bode Rôzne prediskutoval na návrh členky výboru Šarloty </w:t>
      </w:r>
      <w:proofErr w:type="spellStart"/>
      <w:r w:rsidRPr="00D75A0F">
        <w:rPr>
          <w:bCs/>
          <w:color w:val="000000"/>
          <w:lang w:eastAsia="sk-SK" w:bidi="ar-SA"/>
        </w:rPr>
        <w:t>Pufflerovej</w:t>
      </w:r>
      <w:proofErr w:type="spellEnd"/>
      <w:r w:rsidRPr="00D75A0F">
        <w:rPr>
          <w:bCs/>
          <w:color w:val="000000"/>
          <w:lang w:eastAsia="sk-SK" w:bidi="ar-SA"/>
        </w:rPr>
        <w:t xml:space="preserve"> body týkajúce sa pripravovanej novelizácie zákona o SNSĽP a ustanovenia Celoštátnej komisie pre výchovu a vzdelávanie k ľudským právam a demokratickému občianstvu. Výbor vzal na vedomie informáciu o vyjadrení </w:t>
      </w:r>
      <w:r w:rsidRPr="00261666">
        <w:rPr>
          <w:bCs/>
          <w:i/>
          <w:color w:val="000000"/>
          <w:lang w:eastAsia="sk-SK" w:bidi="ar-SA"/>
        </w:rPr>
        <w:t>Vysokého komisára pre ľudské práva Rady Európy k odstráneniu prekážok v práci ochrankýň a ochrancov ľudských práv žien.</w:t>
      </w:r>
    </w:p>
    <w:p w:rsidR="00B67898" w:rsidRDefault="00B67898">
      <w:pPr>
        <w:shd w:val="clear" w:color="auto" w:fill="auto"/>
        <w:spacing w:after="0" w:line="240" w:lineRule="auto"/>
        <w:jc w:val="left"/>
        <w:rPr>
          <w:b/>
          <w:bCs/>
          <w:color w:val="000000"/>
          <w:lang w:eastAsia="sk-SK" w:bidi="ar-SA"/>
        </w:rPr>
      </w:pPr>
      <w:r>
        <w:rPr>
          <w:b/>
          <w:bCs/>
          <w:color w:val="000000"/>
          <w:lang w:eastAsia="sk-SK" w:bidi="ar-SA"/>
        </w:rPr>
        <w:br w:type="page"/>
      </w:r>
    </w:p>
    <w:p w:rsidR="00D75A0F" w:rsidRPr="00D75A0F" w:rsidRDefault="00D75A0F" w:rsidP="00D75A0F">
      <w:pPr>
        <w:shd w:val="clear" w:color="auto" w:fill="auto"/>
        <w:spacing w:before="100" w:beforeAutospacing="1" w:after="100" w:afterAutospacing="1" w:line="240" w:lineRule="auto"/>
        <w:rPr>
          <w:b/>
          <w:bCs/>
          <w:color w:val="000000"/>
          <w:lang w:eastAsia="sk-SK" w:bidi="ar-SA"/>
        </w:rPr>
      </w:pPr>
      <w:r w:rsidRPr="00D75A0F">
        <w:rPr>
          <w:b/>
          <w:bCs/>
          <w:color w:val="000000"/>
          <w:lang w:eastAsia="sk-SK" w:bidi="ar-SA"/>
        </w:rPr>
        <w:lastRenderedPageBreak/>
        <w:t xml:space="preserve">Rada vlády pre ľudské práva, národnostné menšiny a rodovú rovnosť </w:t>
      </w:r>
    </w:p>
    <w:p w:rsidR="00D75A0F" w:rsidRPr="00D75A0F" w:rsidRDefault="00D75A0F" w:rsidP="00D75A0F">
      <w:pPr>
        <w:shd w:val="clear" w:color="auto" w:fill="auto"/>
        <w:spacing w:before="100" w:beforeAutospacing="1" w:after="100" w:afterAutospacing="1" w:line="240" w:lineRule="auto"/>
        <w:rPr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t>zasadala v roku 2015 štyrikrát, a to v termínoch 11.3.2015, 26.6.2015,15.10.2015 a 14.12.2015.</w:t>
      </w:r>
    </w:p>
    <w:p w:rsidR="00D75A0F" w:rsidRPr="00D75A0F" w:rsidRDefault="00D75A0F" w:rsidP="00D75A0F">
      <w:pPr>
        <w:shd w:val="clear" w:color="auto" w:fill="auto"/>
        <w:spacing w:before="100" w:beforeAutospacing="1" w:after="100" w:afterAutospacing="1" w:line="240" w:lineRule="auto"/>
        <w:rPr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t xml:space="preserve">Hlavným zámerom rady vlády v sledovanom období bolo posilňovanie komunikácie medzi kľúčovými aktérmi ľudsko-právneho dialógu, zabezpečenie koordinácie a rešpektovanie kontinuity v činnosti rady. Rada sa stala hlavným fórom a autoritou v agende ľudských práv na Slovensku a potvrdila svoju pozíciu kľúčového inštitútu v tejto oblasti. </w:t>
      </w:r>
    </w:p>
    <w:p w:rsidR="00D75A0F" w:rsidRPr="00D75A0F" w:rsidRDefault="00D75A0F" w:rsidP="00D75A0F">
      <w:pPr>
        <w:shd w:val="clear" w:color="auto" w:fill="auto"/>
        <w:spacing w:before="100" w:beforeAutospacing="1" w:after="100" w:afterAutospacing="1" w:line="240" w:lineRule="auto"/>
        <w:rPr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t>Intenzívna celospoločenská diskusia o ľudských právach viedla k posilneniu a kultivovaniu dialógu medzi vládnymi inštitúciami, mimovládnym sektorom a akademickou obcou, čo prispelo k zvýšeniu kultúry ľudských práv v každodennom živote našej spoločnosti.</w:t>
      </w:r>
    </w:p>
    <w:p w:rsidR="00D75A0F" w:rsidRPr="00D75A0F" w:rsidRDefault="00D75A0F" w:rsidP="00D75A0F">
      <w:pPr>
        <w:shd w:val="clear" w:color="auto" w:fill="auto"/>
        <w:spacing w:before="100" w:beforeAutospacing="1" w:after="100" w:afterAutospacing="1" w:line="240" w:lineRule="auto"/>
        <w:rPr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t xml:space="preserve">Dvadsiate zasadnutie rady vlády pod vedením podpredsedu vlády a ministra zahraničných vecí a európskych záležitostí SR Miroslava </w:t>
      </w:r>
      <w:proofErr w:type="spellStart"/>
      <w:r w:rsidRPr="00D75A0F">
        <w:rPr>
          <w:color w:val="000000"/>
          <w:lang w:eastAsia="sk-SK" w:bidi="ar-SA"/>
        </w:rPr>
        <w:t>Lajčáka</w:t>
      </w:r>
      <w:proofErr w:type="spellEnd"/>
      <w:r w:rsidRPr="00D75A0F">
        <w:rPr>
          <w:color w:val="000000"/>
          <w:lang w:eastAsia="sk-SK" w:bidi="ar-SA"/>
        </w:rPr>
        <w:t xml:space="preserve"> sa uskutočnilo 11. marca 2015 v Presscentre Úradu vlády SR.  V rámci programu boli prerokované informácie o záveroch zasadnutí výborov rady (prezentovali podpredsedovia a podpredsedníčky výborov); návrh </w:t>
      </w:r>
      <w:r w:rsidRPr="00261666">
        <w:rPr>
          <w:i/>
          <w:color w:val="000000"/>
          <w:lang w:eastAsia="sk-SK" w:bidi="ar-SA"/>
        </w:rPr>
        <w:t>Plánu činnosti rady vlády na rok 2015</w:t>
      </w:r>
      <w:r w:rsidRPr="00D75A0F">
        <w:rPr>
          <w:color w:val="000000"/>
          <w:lang w:eastAsia="sk-SK" w:bidi="ar-SA"/>
        </w:rPr>
        <w:t xml:space="preserve"> (predložil podpredseda vlády a minister zahraničných vecí a európskych záležitostí Slovenskej republiky); štvrtá správa o implementácii </w:t>
      </w:r>
      <w:r w:rsidRPr="00261666">
        <w:rPr>
          <w:i/>
          <w:color w:val="000000"/>
          <w:lang w:eastAsia="sk-SK" w:bidi="ar-SA"/>
        </w:rPr>
        <w:t>Európskej charty regionálnych alebo menšinových jazykov v Slovenskej republike</w:t>
      </w:r>
      <w:r w:rsidRPr="00D75A0F">
        <w:rPr>
          <w:color w:val="000000"/>
          <w:lang w:eastAsia="sk-SK" w:bidi="ar-SA"/>
        </w:rPr>
        <w:t xml:space="preserve"> (predložil podpredseda vlády a minister zahraničných vecí a európskych záležitostí Slovenskej republiky a predseda rady); štvrtá správa o implementácii </w:t>
      </w:r>
      <w:r w:rsidRPr="00261666">
        <w:rPr>
          <w:i/>
          <w:color w:val="000000"/>
          <w:lang w:eastAsia="sk-SK" w:bidi="ar-SA"/>
        </w:rPr>
        <w:t xml:space="preserve">Medzinárodného paktu o občianskych a politických právach v Slovenskej republike </w:t>
      </w:r>
      <w:r w:rsidRPr="00D75A0F">
        <w:rPr>
          <w:color w:val="000000"/>
          <w:lang w:eastAsia="sk-SK" w:bidi="ar-SA"/>
        </w:rPr>
        <w:t xml:space="preserve">(predložil podpredseda vlády a minister zahraničných vecí a európskych záležitostí Slovenskej republiky a predseda rady); odpočet za rok 2014 a návrh na aktualizáciu </w:t>
      </w:r>
      <w:r w:rsidRPr="001D7DF3">
        <w:rPr>
          <w:i/>
          <w:color w:val="000000"/>
          <w:lang w:eastAsia="sk-SK" w:bidi="ar-SA"/>
        </w:rPr>
        <w:t>Národného akčného plánu pre deti na roky 2013 - 2017</w:t>
      </w:r>
      <w:r w:rsidRPr="00D75A0F">
        <w:rPr>
          <w:color w:val="000000"/>
          <w:lang w:eastAsia="sk-SK" w:bidi="ar-SA"/>
        </w:rPr>
        <w:t xml:space="preserve"> (predložil minister práce, sociálnych vecí a rodiny Slovenskej republiky); návrh zákona o komisárovi pre deti a komisárovi pre osoby so zdravotným postihnutím a o zmene a doplnení niektorých zákonov (predložil minister práce, sociálnych vecí a rodiny Slovenskej republiky); návrh </w:t>
      </w:r>
      <w:r w:rsidRPr="001D7DF3">
        <w:rPr>
          <w:i/>
          <w:color w:val="000000"/>
          <w:lang w:eastAsia="sk-SK" w:bidi="ar-SA"/>
        </w:rPr>
        <w:t>Koncepcie boja proti extrémizmu na roky 2015 – 2019</w:t>
      </w:r>
      <w:r w:rsidRPr="00D75A0F">
        <w:rPr>
          <w:color w:val="000000"/>
          <w:lang w:eastAsia="sk-SK" w:bidi="ar-SA"/>
        </w:rPr>
        <w:t xml:space="preserve"> (predložil štátny tajomník Ministerstva vnútra Slovenskej republiky); podnety členov rady za občiansku spoločnosť a rôzne.</w:t>
      </w:r>
    </w:p>
    <w:p w:rsidR="00D75A0F" w:rsidRPr="00D75A0F" w:rsidRDefault="00D75A0F" w:rsidP="00D75A0F">
      <w:pPr>
        <w:shd w:val="clear" w:color="auto" w:fill="auto"/>
        <w:spacing w:before="100" w:beforeAutospacing="1" w:after="100" w:afterAutospacing="1" w:line="240" w:lineRule="auto"/>
        <w:rPr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t xml:space="preserve">Dvadsiate prvé zasadnutie rady vlády sa uskutočnilo dňa 26. júna 2015 v Presscentre Úradu vlády SR. Na zasadnutí bola prerokovaná </w:t>
      </w:r>
      <w:r w:rsidRPr="001D7DF3">
        <w:rPr>
          <w:i/>
          <w:color w:val="000000"/>
          <w:lang w:eastAsia="sk-SK" w:bidi="ar-SA"/>
        </w:rPr>
        <w:t>Informáci</w:t>
      </w:r>
      <w:r w:rsidR="00560412">
        <w:rPr>
          <w:i/>
          <w:color w:val="000000"/>
          <w:lang w:eastAsia="sk-SK" w:bidi="ar-SA"/>
        </w:rPr>
        <w:t>a</w:t>
      </w:r>
      <w:r w:rsidRPr="001D7DF3">
        <w:rPr>
          <w:i/>
          <w:color w:val="000000"/>
          <w:lang w:eastAsia="sk-SK" w:bidi="ar-SA"/>
        </w:rPr>
        <w:t xml:space="preserve"> o záveroch zasadnutí výborov rady</w:t>
      </w:r>
      <w:r w:rsidRPr="00D75A0F">
        <w:rPr>
          <w:color w:val="000000"/>
          <w:lang w:eastAsia="sk-SK" w:bidi="ar-SA"/>
        </w:rPr>
        <w:t xml:space="preserve"> (prezentovali podpredsedovia a podpredsedníčky výborov); informácia o napĺňaní strategických cieľov </w:t>
      </w:r>
      <w:r w:rsidRPr="001D7DF3">
        <w:rPr>
          <w:i/>
          <w:color w:val="000000"/>
          <w:lang w:eastAsia="sk-SK" w:bidi="ar-SA"/>
        </w:rPr>
        <w:t>Národnej stratégie na ochranu detí pred násilím a o činnosti Národného koordinačného strediska pre riešenie problematiky násilia na deťoch</w:t>
      </w:r>
      <w:r w:rsidRPr="00D75A0F">
        <w:rPr>
          <w:color w:val="000000"/>
          <w:lang w:eastAsia="sk-SK" w:bidi="ar-SA"/>
        </w:rPr>
        <w:t xml:space="preserve"> (predložil minister práce, sociálnych vecí a rodiny Slovenskej republiky); </w:t>
      </w:r>
      <w:r w:rsidRPr="001D7DF3">
        <w:rPr>
          <w:i/>
          <w:color w:val="000000"/>
          <w:lang w:eastAsia="sk-SK" w:bidi="ar-SA"/>
        </w:rPr>
        <w:t>Súhrnná správa o stave rodovej rovnosti na Slovensku za rok 2014</w:t>
      </w:r>
      <w:r w:rsidRPr="00D75A0F">
        <w:rPr>
          <w:color w:val="000000"/>
          <w:lang w:eastAsia="sk-SK" w:bidi="ar-SA"/>
        </w:rPr>
        <w:t xml:space="preserve"> a iniciatívy </w:t>
      </w:r>
      <w:r w:rsidR="001D7DF3">
        <w:rPr>
          <w:color w:val="000000"/>
          <w:lang w:eastAsia="sk-SK" w:bidi="ar-SA"/>
        </w:rPr>
        <w:t>MPSVR SR</w:t>
      </w:r>
      <w:r w:rsidRPr="00D75A0F">
        <w:rPr>
          <w:color w:val="000000"/>
          <w:lang w:eastAsia="sk-SK" w:bidi="ar-SA"/>
        </w:rPr>
        <w:t xml:space="preserve"> v oblasti odstraňovania násilia na ženách (predložil minister práce, sociálnych vecí a rodiny Slovenskej republiky); návrh na uznanie ruského jazyka a srbského jazyka za menšinové jazyky v Slovenskej republike v zmysle </w:t>
      </w:r>
      <w:r w:rsidRPr="001D7DF3">
        <w:rPr>
          <w:i/>
          <w:color w:val="000000"/>
          <w:lang w:eastAsia="sk-SK" w:bidi="ar-SA"/>
        </w:rPr>
        <w:t xml:space="preserve">Európskej charty regionálnych alebo menšinových </w:t>
      </w:r>
      <w:r w:rsidRPr="001D7DF3">
        <w:rPr>
          <w:i/>
          <w:color w:val="000000"/>
          <w:lang w:eastAsia="sk-SK" w:bidi="ar-SA"/>
        </w:rPr>
        <w:lastRenderedPageBreak/>
        <w:t>jazykov</w:t>
      </w:r>
      <w:r w:rsidRPr="00D75A0F">
        <w:rPr>
          <w:color w:val="000000"/>
          <w:lang w:eastAsia="sk-SK" w:bidi="ar-SA"/>
        </w:rPr>
        <w:t xml:space="preserve"> (predložil podpredseda Výboru pre národnostné menšiny a etnické skupiny); vysvetlenie Ministerstva vnútra Slovenskej republiky, či je </w:t>
      </w:r>
      <w:r w:rsidRPr="001D7DF3">
        <w:rPr>
          <w:i/>
          <w:color w:val="000000"/>
          <w:lang w:eastAsia="sk-SK" w:bidi="ar-SA"/>
        </w:rPr>
        <w:t>Nariadenie Ministerstva vnútra Slovenskej republiky o udeľovaní štátneho občianstva Slovenskej republiky z osobitných dôvodov z 9. januára 2015 v súlade s princípom právnej istoty a s princípom nediskriminácie</w:t>
      </w:r>
      <w:r w:rsidRPr="00D75A0F">
        <w:rPr>
          <w:color w:val="000000"/>
          <w:lang w:eastAsia="sk-SK" w:bidi="ar-SA"/>
        </w:rPr>
        <w:t xml:space="preserve"> (predložil podpredseda vlády a minister vnútra Slovenskej republiky); informácia o zohľadnení priorít </w:t>
      </w:r>
      <w:r w:rsidRPr="001D7DF3">
        <w:rPr>
          <w:i/>
          <w:color w:val="000000"/>
          <w:lang w:eastAsia="sk-SK" w:bidi="ar-SA"/>
        </w:rPr>
        <w:t>Celoštátnej stratégie ochrany a podpory ľudských práv v Slovenskej republike</w:t>
      </w:r>
      <w:r w:rsidRPr="00D75A0F">
        <w:rPr>
          <w:color w:val="000000"/>
          <w:lang w:eastAsia="sk-SK" w:bidi="ar-SA"/>
        </w:rPr>
        <w:t xml:space="preserve"> v operačných programoch Ľudské zdroje a Efektívna verejná správa (predložil podpredseda vlády a minister vnútra Slovenskej republiky a minister práce, sociálnych vecí a rodiny Slovenskej republiky); informácia o plnení úloh vyplývajúcich z uznesenia vlády Slovenskej republiky č. 71/2015 k </w:t>
      </w:r>
      <w:r w:rsidRPr="001D7DF3">
        <w:rPr>
          <w:i/>
          <w:color w:val="000000"/>
          <w:lang w:eastAsia="sk-SK" w:bidi="ar-SA"/>
        </w:rPr>
        <w:t>Celoštátnej stratégii ochrany a podpory ľudských práv v Slovenskej republike</w:t>
      </w:r>
      <w:r w:rsidRPr="00D75A0F">
        <w:rPr>
          <w:color w:val="000000"/>
          <w:lang w:eastAsia="sk-SK" w:bidi="ar-SA"/>
        </w:rPr>
        <w:t xml:space="preserve"> (na základe podnetu členov rady za občiansku spoločnosť zastúpených podpredsedom rady </w:t>
      </w:r>
      <w:proofErr w:type="spellStart"/>
      <w:r w:rsidRPr="00D75A0F">
        <w:rPr>
          <w:color w:val="000000"/>
          <w:lang w:eastAsia="sk-SK" w:bidi="ar-SA"/>
        </w:rPr>
        <w:t>Kálmánom</w:t>
      </w:r>
      <w:proofErr w:type="spellEnd"/>
      <w:r w:rsidRPr="00D75A0F">
        <w:rPr>
          <w:color w:val="000000"/>
          <w:lang w:eastAsia="sk-SK" w:bidi="ar-SA"/>
        </w:rPr>
        <w:t xml:space="preserve"> </w:t>
      </w:r>
      <w:proofErr w:type="spellStart"/>
      <w:r w:rsidRPr="00D75A0F">
        <w:rPr>
          <w:color w:val="000000"/>
          <w:lang w:eastAsia="sk-SK" w:bidi="ar-SA"/>
        </w:rPr>
        <w:t>Petőczom</w:t>
      </w:r>
      <w:proofErr w:type="spellEnd"/>
      <w:r w:rsidRPr="00D75A0F">
        <w:rPr>
          <w:color w:val="000000"/>
          <w:lang w:eastAsia="sk-SK" w:bidi="ar-SA"/>
        </w:rPr>
        <w:t xml:space="preserve"> informovali gestori úloh vyplývajúcich z predmetného uznesenia); informácia o </w:t>
      </w:r>
      <w:r w:rsidRPr="001D7DF3">
        <w:rPr>
          <w:i/>
          <w:color w:val="000000"/>
          <w:lang w:eastAsia="sk-SK" w:bidi="ar-SA"/>
        </w:rPr>
        <w:t xml:space="preserve">Návrhu zákona o tvorbe právnych </w:t>
      </w:r>
      <w:r w:rsidRPr="001D7DF3">
        <w:rPr>
          <w:color w:val="000000"/>
          <w:lang w:eastAsia="sk-SK" w:bidi="ar-SA"/>
        </w:rPr>
        <w:t>predpisov a o Zbierke zákonov Slovenskej republiky a o zmene a doplnení niektorých zákonov</w:t>
      </w:r>
      <w:r w:rsidRPr="00D75A0F">
        <w:rPr>
          <w:color w:val="000000"/>
          <w:lang w:eastAsia="sk-SK" w:bidi="ar-SA"/>
        </w:rPr>
        <w:t xml:space="preserve"> (na základe podnetu členov rady za občiansku spoločnosť zastúpených podpredsedom rady </w:t>
      </w:r>
      <w:proofErr w:type="spellStart"/>
      <w:r w:rsidRPr="00D75A0F">
        <w:rPr>
          <w:color w:val="000000"/>
          <w:lang w:eastAsia="sk-SK" w:bidi="ar-SA"/>
        </w:rPr>
        <w:t>Kálmánom</w:t>
      </w:r>
      <w:proofErr w:type="spellEnd"/>
      <w:r w:rsidRPr="00D75A0F">
        <w:rPr>
          <w:color w:val="000000"/>
          <w:lang w:eastAsia="sk-SK" w:bidi="ar-SA"/>
        </w:rPr>
        <w:t xml:space="preserve"> </w:t>
      </w:r>
      <w:proofErr w:type="spellStart"/>
      <w:r w:rsidRPr="00D75A0F">
        <w:rPr>
          <w:color w:val="000000"/>
          <w:lang w:eastAsia="sk-SK" w:bidi="ar-SA"/>
        </w:rPr>
        <w:t>Petőczom</w:t>
      </w:r>
      <w:proofErr w:type="spellEnd"/>
      <w:r w:rsidRPr="00D75A0F">
        <w:rPr>
          <w:color w:val="000000"/>
          <w:lang w:eastAsia="sk-SK" w:bidi="ar-SA"/>
        </w:rPr>
        <w:t xml:space="preserve"> informoval minister spravodlivosti Slovenskej republiky);</w:t>
      </w:r>
    </w:p>
    <w:p w:rsidR="00D75A0F" w:rsidRPr="00D75A0F" w:rsidRDefault="00D75A0F" w:rsidP="00D75A0F">
      <w:pPr>
        <w:shd w:val="clear" w:color="auto" w:fill="auto"/>
        <w:spacing w:before="100" w:beforeAutospacing="1" w:after="100" w:afterAutospacing="1" w:line="240" w:lineRule="auto"/>
        <w:rPr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t xml:space="preserve">Dvadsiate druhé zasadnutie rady vlády a prvé mimoriadne zasadnutie  na tému utečeneckej krízy v Európe sa konalo 15.10.2015 pod vedením ministra spravodlivosti Tomáša </w:t>
      </w:r>
      <w:proofErr w:type="spellStart"/>
      <w:r w:rsidRPr="00D75A0F">
        <w:rPr>
          <w:color w:val="000000"/>
          <w:lang w:eastAsia="sk-SK" w:bidi="ar-SA"/>
        </w:rPr>
        <w:t>Boreca</w:t>
      </w:r>
      <w:proofErr w:type="spellEnd"/>
      <w:r w:rsidRPr="00D75A0F">
        <w:rPr>
          <w:color w:val="000000"/>
          <w:lang w:eastAsia="sk-SK" w:bidi="ar-SA"/>
        </w:rPr>
        <w:t xml:space="preserve">. Rada na svojom zasadnutí schválila materiál Ministerstva zahraničných vecí a európskych záležitostí SR. </w:t>
      </w:r>
      <w:r w:rsidRPr="001D7DF3">
        <w:rPr>
          <w:i/>
          <w:color w:val="000000"/>
          <w:lang w:eastAsia="sk-SK" w:bidi="ar-SA"/>
        </w:rPr>
        <w:t>Návrh na uznanie ruského jazyka a srbského jazyka za menšinové jazyky v Slovenskej republike v zmysle časti II Európskej charty regionálnych alebo menšinových jazykov</w:t>
      </w:r>
      <w:r w:rsidRPr="00D75A0F">
        <w:rPr>
          <w:color w:val="000000"/>
          <w:lang w:eastAsia="sk-SK" w:bidi="ar-SA"/>
        </w:rPr>
        <w:t xml:space="preserve">. Rada ďalej schválila </w:t>
      </w:r>
      <w:r w:rsidRPr="001D7DF3">
        <w:rPr>
          <w:i/>
          <w:color w:val="000000"/>
          <w:lang w:eastAsia="sk-SK" w:bidi="ar-SA"/>
        </w:rPr>
        <w:t>Hodnotiacu správu o podpore kultúr národnostných menšín za rok 2014, Správu o stave národnostného školstva za rok 2014 a Správu o používaní jazykov národnostných menšín za rok 2014</w:t>
      </w:r>
      <w:r w:rsidRPr="00D75A0F">
        <w:rPr>
          <w:color w:val="000000"/>
          <w:lang w:eastAsia="sk-SK" w:bidi="ar-SA"/>
        </w:rPr>
        <w:t xml:space="preserve">, ktoré vypracoval </w:t>
      </w:r>
      <w:r w:rsidRPr="001D7DF3">
        <w:rPr>
          <w:i/>
          <w:color w:val="000000"/>
          <w:lang w:eastAsia="sk-SK" w:bidi="ar-SA"/>
        </w:rPr>
        <w:t>Výbor pre národnostné menšiny a etnické skupiny</w:t>
      </w:r>
      <w:r w:rsidRPr="00D75A0F">
        <w:rPr>
          <w:color w:val="000000"/>
          <w:lang w:eastAsia="sk-SK" w:bidi="ar-SA"/>
        </w:rPr>
        <w:t xml:space="preserve">. Rada prijala uznesenie, ktorým odporučila predsedovi rady pripraviť do ďalšieho zasadnutia v spolupráci s Ministerstvom školstva, vedy, výskumu a športu SR návrh zriadenia </w:t>
      </w:r>
      <w:r w:rsidRPr="001D7DF3">
        <w:rPr>
          <w:i/>
          <w:color w:val="000000"/>
          <w:lang w:eastAsia="sk-SK" w:bidi="ar-SA"/>
        </w:rPr>
        <w:t>Celoštátnej komisie pre výchovu a vzdelávanie k ľudským právam a demokratickému občianstvu</w:t>
      </w:r>
      <w:r w:rsidRPr="00D75A0F">
        <w:rPr>
          <w:color w:val="000000"/>
          <w:lang w:eastAsia="sk-SK" w:bidi="ar-SA"/>
        </w:rPr>
        <w:t xml:space="preserve"> a vzala na vedomie informácie ministerstva školstva k</w:t>
      </w:r>
      <w:r w:rsidR="00560412">
        <w:rPr>
          <w:color w:val="000000"/>
          <w:lang w:eastAsia="sk-SK" w:bidi="ar-SA"/>
        </w:rPr>
        <w:t> </w:t>
      </w:r>
      <w:r w:rsidRPr="00D75A0F">
        <w:rPr>
          <w:color w:val="000000"/>
          <w:lang w:eastAsia="sk-SK" w:bidi="ar-SA"/>
        </w:rPr>
        <w:t>ľudsko</w:t>
      </w:r>
      <w:r w:rsidR="00560412">
        <w:rPr>
          <w:color w:val="000000"/>
          <w:lang w:eastAsia="sk-SK" w:bidi="ar-SA"/>
        </w:rPr>
        <w:t>-</w:t>
      </w:r>
      <w:r w:rsidRPr="00D75A0F">
        <w:rPr>
          <w:color w:val="000000"/>
          <w:lang w:eastAsia="sk-SK" w:bidi="ar-SA"/>
        </w:rPr>
        <w:t xml:space="preserve">právnym dosahom novely školského zákona a informáciu o vyjadrení </w:t>
      </w:r>
      <w:r w:rsidRPr="001D7DF3">
        <w:rPr>
          <w:i/>
          <w:color w:val="000000"/>
          <w:lang w:eastAsia="sk-SK" w:bidi="ar-SA"/>
        </w:rPr>
        <w:t>Vysokého komisára pre ľudské práva Rady Európy k odstráneniu prekážok v práci ochrankýň a ochrancov ľudských práv žien</w:t>
      </w:r>
      <w:r w:rsidRPr="00D75A0F">
        <w:rPr>
          <w:color w:val="000000"/>
          <w:lang w:eastAsia="sk-SK" w:bidi="ar-SA"/>
        </w:rPr>
        <w:t xml:space="preserve">. Na svojom mimoriadnom zasadnutí informoval predseda rady o rozhodnutí Rady EÚ z 22. septembra 2015o zavedení dočasných opatrení v oblasti medzinárodnej ochrany v prospech Talianska a Grécka, ako aj o materiáli prerokovanom na ostatnom rokovaní  vlády SR v súvislosti s vyčlenením prostriedkov na podporu organizácií poskytujúcich humanitárnu pomoc. </w:t>
      </w:r>
    </w:p>
    <w:p w:rsidR="00D75A0F" w:rsidRPr="00D75A0F" w:rsidRDefault="00D75A0F" w:rsidP="00D75A0F">
      <w:pPr>
        <w:shd w:val="clear" w:color="auto" w:fill="auto"/>
        <w:spacing w:before="100" w:beforeAutospacing="1" w:after="100" w:afterAutospacing="1" w:line="240" w:lineRule="auto"/>
        <w:rPr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t xml:space="preserve">Rada na mimoriadnom zasadnutí schválila zriadenie pracovnej skupiny pre utečencov a migrantov, ktorá bude v gescii Ministerstva vnútra SR a jednomyseľne prijala, v ktorom vyzvala všetkých aktérov verejnej diskusie o utečencoch, migrantoch a o aktuálnej utečeneckej kríze, menovite vládu, Národnú radu Slovenskej republiky, politické strany a hnutia, mimovládne organizácie a občianske spoločnosti, cirkvi a náboženské spoločnosti a verejnoprávne ako aj súkromné médiá, aby svojimi verejnými vystúpeniami aktívne prispievali k väčšej tolerancii v spoločnosti a to kultúrnej aj náboženskej, rešpektovaniu ľudskej dôstojnosti všetkých osôb, vrátane utečencov a </w:t>
      </w:r>
      <w:r w:rsidRPr="00D75A0F">
        <w:rPr>
          <w:color w:val="000000"/>
          <w:lang w:eastAsia="sk-SK" w:bidi="ar-SA"/>
        </w:rPr>
        <w:lastRenderedPageBreak/>
        <w:t xml:space="preserve">migrantov. Dialóg je potrebné viesť aj s príslušníkmi tzv. nových menšín žijúcich na Slovensku spomedzi utečencov a migrantov, aby sa zabezpečila vyrovnaná a participatívna diskusia. Osobitne sa rada obrátila na politické strany a ich predstaviteľov a požiadala ich, aby utrpenie utečencov a migrantov nezneužívali na politické ciele a predvolebnú kampaň, pričom za týmto účelom odporúča politickým stranám, aby sa k tomuto pred voľbami verejne zaviazali. </w:t>
      </w:r>
    </w:p>
    <w:p w:rsidR="00D75A0F" w:rsidRPr="00D75A0F" w:rsidRDefault="00D75A0F" w:rsidP="00D75A0F">
      <w:pPr>
        <w:shd w:val="clear" w:color="auto" w:fill="auto"/>
        <w:spacing w:before="100" w:beforeAutospacing="1" w:after="100" w:afterAutospacing="1" w:line="240" w:lineRule="auto"/>
        <w:rPr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t>Dvadsiate tretie zasadnutie rady vlády s</w:t>
      </w:r>
      <w:r w:rsidR="00560412">
        <w:rPr>
          <w:color w:val="000000"/>
          <w:lang w:eastAsia="sk-SK" w:bidi="ar-SA"/>
        </w:rPr>
        <w:t>a</w:t>
      </w:r>
      <w:r w:rsidRPr="00D75A0F">
        <w:rPr>
          <w:color w:val="000000"/>
          <w:lang w:eastAsia="sk-SK" w:bidi="ar-SA"/>
        </w:rPr>
        <w:t xml:space="preserve"> konalo dňa 14. 12. 2015 pod vedením štátnej tajomníčky Ministerstva spravodlivosti Slovenskej republiky Moniky </w:t>
      </w:r>
      <w:proofErr w:type="spellStart"/>
      <w:r w:rsidRPr="00D75A0F">
        <w:rPr>
          <w:color w:val="000000"/>
          <w:lang w:eastAsia="sk-SK" w:bidi="ar-SA"/>
        </w:rPr>
        <w:t>Jankovskej</w:t>
      </w:r>
      <w:proofErr w:type="spellEnd"/>
      <w:r w:rsidRPr="00D75A0F">
        <w:rPr>
          <w:color w:val="000000"/>
          <w:lang w:eastAsia="sk-SK" w:bidi="ar-SA"/>
        </w:rPr>
        <w:t xml:space="preserve">. Rada vlády na svojom zasadnutí zobrala na vedomie závery zasadnutí výborov rady vlády,  prerokovala a vzala na vedomie </w:t>
      </w:r>
      <w:r w:rsidRPr="001D7DF3">
        <w:rPr>
          <w:i/>
          <w:color w:val="000000"/>
          <w:lang w:eastAsia="sk-SK" w:bidi="ar-SA"/>
        </w:rPr>
        <w:t>Správu komisára Rady Európy pre ľudské práva</w:t>
      </w:r>
      <w:r w:rsidRPr="00D75A0F">
        <w:rPr>
          <w:color w:val="000000"/>
          <w:lang w:eastAsia="sk-SK" w:bidi="ar-SA"/>
        </w:rPr>
        <w:t xml:space="preserve"> a odporučila vecne príslušným rezortom Slovenskej republiky oboznámiť sa s odporúčaniami komisára Rady Európy pre ľudské práva adresovanými Slovenskej republike v nadväznosti na jeho návštevu Slovenskej republiky v dňoch 15. – 19. júna 2015 a využiť a zohľadniť ich vo svojej ďalšej činnosti. Rada vlády ďalej schválila </w:t>
      </w:r>
      <w:r w:rsidRPr="001D7DF3">
        <w:rPr>
          <w:i/>
          <w:color w:val="000000"/>
          <w:lang w:eastAsia="sk-SK" w:bidi="ar-SA"/>
        </w:rPr>
        <w:t>Akčný plán predchádzania všetkým formám diskriminácie na roky 2016-2019</w:t>
      </w:r>
      <w:r w:rsidRPr="00D75A0F">
        <w:rPr>
          <w:color w:val="000000"/>
          <w:lang w:eastAsia="sk-SK" w:bidi="ar-SA"/>
        </w:rPr>
        <w:t xml:space="preserve"> a odporučila vláde Slovenskej republiky jeho schválenie a </w:t>
      </w:r>
      <w:r w:rsidRPr="001D7DF3">
        <w:rPr>
          <w:i/>
          <w:color w:val="000000"/>
          <w:lang w:eastAsia="sk-SK" w:bidi="ar-SA"/>
        </w:rPr>
        <w:t>Akčný plán predchádzania a eliminácie rasizmu, xenofóbie, antisemitizmu a ostatných foriem intolerancie na roky 2016 -2018</w:t>
      </w:r>
      <w:r w:rsidRPr="00D75A0F">
        <w:rPr>
          <w:color w:val="000000"/>
          <w:lang w:eastAsia="sk-SK" w:bidi="ar-SA"/>
        </w:rPr>
        <w:t xml:space="preserve"> a odporučila vláde Slovenskej republiky jeho schválenie. Rada vlády prijala uznesenie, ktorým zobrala na vedomie uznesenie Výboru pre výskum, vzdelávanie a výchovu v oblasti ľudských práv a rozvojového vzdelávania a zriadila pracovnú skupinu ako expertný orgán rady vlády, ktorej úlohou bude pripraviť ustanovenie </w:t>
      </w:r>
      <w:r w:rsidRPr="001D7DF3">
        <w:rPr>
          <w:i/>
          <w:color w:val="000000"/>
          <w:lang w:eastAsia="sk-SK" w:bidi="ar-SA"/>
        </w:rPr>
        <w:t>Celoštátnej komisie pre výchovu a vzdelávanie k ľudským právam a demokratickému občianstvu</w:t>
      </w:r>
      <w:r w:rsidRPr="00D75A0F">
        <w:rPr>
          <w:color w:val="000000"/>
          <w:lang w:eastAsia="sk-SK" w:bidi="ar-SA"/>
        </w:rPr>
        <w:t xml:space="preserve">. Na zasadnutí rady vlády bola predložená Informácia Ministerstva práce, sociálnych vecí a rodiny o obhajobe </w:t>
      </w:r>
      <w:r w:rsidRPr="001D7DF3">
        <w:rPr>
          <w:i/>
          <w:color w:val="000000"/>
          <w:lang w:eastAsia="sk-SK" w:bidi="ar-SA"/>
        </w:rPr>
        <w:t xml:space="preserve">5. a 6. periodickej správy Slovenskej republiky k Dohovoru o odstránení všetkých foriem diskriminácie žien, Informáciu o poskytovaní </w:t>
      </w:r>
      <w:proofErr w:type="spellStart"/>
      <w:r w:rsidRPr="001D7DF3">
        <w:rPr>
          <w:i/>
          <w:color w:val="000000"/>
          <w:lang w:eastAsia="sk-SK" w:bidi="ar-SA"/>
        </w:rPr>
        <w:t>ľudskoprávnych</w:t>
      </w:r>
      <w:proofErr w:type="spellEnd"/>
      <w:r w:rsidRPr="001D7DF3">
        <w:rPr>
          <w:i/>
          <w:color w:val="000000"/>
          <w:lang w:eastAsia="sk-SK" w:bidi="ar-SA"/>
        </w:rPr>
        <w:t xml:space="preserve"> dotácii</w:t>
      </w:r>
      <w:r w:rsidRPr="00D75A0F">
        <w:rPr>
          <w:color w:val="000000"/>
          <w:lang w:eastAsia="sk-SK" w:bidi="ar-SA"/>
        </w:rPr>
        <w:t xml:space="preserve"> a podpredsedníčka rady informovala o tzv. protiteroristickom balíku.</w:t>
      </w:r>
    </w:p>
    <w:p w:rsidR="001D7DF3" w:rsidRDefault="001D7DF3" w:rsidP="001D7DF3">
      <w:pPr>
        <w:pStyle w:val="Podtitul"/>
        <w:rPr>
          <w:lang w:eastAsia="sk-SK"/>
        </w:rPr>
      </w:pPr>
      <w:r>
        <w:rPr>
          <w:lang w:eastAsia="sk-SK"/>
        </w:rPr>
        <w:t>Podpora občianskych aktivít</w:t>
      </w:r>
    </w:p>
    <w:p w:rsidR="001D7DF3" w:rsidRDefault="00D75A0F" w:rsidP="00D75A0F">
      <w:pPr>
        <w:shd w:val="clear" w:color="auto" w:fill="auto"/>
        <w:spacing w:line="240" w:lineRule="auto"/>
        <w:rPr>
          <w:color w:val="000000"/>
          <w:lang w:eastAsia="sk-SK" w:bidi="ar-SA"/>
        </w:rPr>
      </w:pPr>
      <w:r w:rsidRPr="00D75A0F">
        <w:rPr>
          <w:color w:val="000000"/>
          <w:lang w:eastAsia="sk-SK" w:bidi="ar-SA"/>
        </w:rPr>
        <w:t xml:space="preserve">Na podporu aktivít občianskych združení a neziskových organizácií bola vytvorená </w:t>
      </w:r>
      <w:r w:rsidRPr="00D75A0F">
        <w:rPr>
          <w:b/>
          <w:bCs/>
          <w:color w:val="000000"/>
          <w:lang w:eastAsia="sk-SK" w:bidi="ar-SA"/>
        </w:rPr>
        <w:t xml:space="preserve">dotačná schéma MPSVR SR na podporu rodovej rovnosti. </w:t>
      </w:r>
      <w:r w:rsidRPr="00D75A0F">
        <w:rPr>
          <w:color w:val="000000"/>
          <w:lang w:eastAsia="sk-SK" w:bidi="ar-SA"/>
        </w:rPr>
        <w:t xml:space="preserve">Dotácie sa poskytujú podľa </w:t>
      </w:r>
      <w:r w:rsidRPr="001D7DF3">
        <w:rPr>
          <w:i/>
          <w:color w:val="000000"/>
          <w:lang w:eastAsia="sk-SK" w:bidi="ar-SA"/>
        </w:rPr>
        <w:t>z</w:t>
      </w:r>
      <w:r w:rsidRPr="001D7DF3">
        <w:rPr>
          <w:bCs/>
          <w:i/>
          <w:color w:val="000000"/>
          <w:lang w:eastAsia="sk-SK" w:bidi="ar-SA"/>
        </w:rPr>
        <w:t>ákona</w:t>
      </w:r>
      <w:r w:rsidRPr="001D7DF3">
        <w:rPr>
          <w:b/>
          <w:bCs/>
          <w:i/>
          <w:color w:val="000000"/>
          <w:lang w:eastAsia="sk-SK" w:bidi="ar-SA"/>
        </w:rPr>
        <w:t xml:space="preserve"> </w:t>
      </w:r>
      <w:r w:rsidRPr="001D7DF3">
        <w:rPr>
          <w:i/>
          <w:color w:val="000000"/>
          <w:lang w:eastAsia="sk-SK" w:bidi="ar-SA"/>
        </w:rPr>
        <w:t>č. 544/2010 Z. z. o dotáciách v pôsobnosti MPSVR SR</w:t>
      </w:r>
      <w:r w:rsidRPr="00D75A0F">
        <w:rPr>
          <w:b/>
          <w:bCs/>
          <w:color w:val="000000"/>
          <w:lang w:eastAsia="sk-SK" w:bidi="ar-SA"/>
        </w:rPr>
        <w:t xml:space="preserve">, </w:t>
      </w:r>
      <w:r w:rsidRPr="00D75A0F">
        <w:rPr>
          <w:color w:val="000000"/>
          <w:lang w:eastAsia="sk-SK" w:bidi="ar-SA"/>
        </w:rPr>
        <w:t xml:space="preserve">ktorý bol novelizovaný v novembri 2012. V zmysle novely zákona (§ 9a), dotáciu na podporu rodovej rovnosti možno poskytnúť na aktivity alebo činnosti zamerané na dosiahnutie rodovej rovnosti a podporu uplatňovania zásady rovnakého zaobchádzania na základe pohlavia alebo rodu, a to na vzdelávacie aktivity, poradenskú činnosť, osvetovú činnosť, edičnú činnosť a analytickú činnosť. </w:t>
      </w:r>
    </w:p>
    <w:p w:rsidR="00D75A0F" w:rsidRPr="00D75A0F" w:rsidRDefault="00D75A0F" w:rsidP="00D75A0F">
      <w:pPr>
        <w:shd w:val="clear" w:color="auto" w:fill="auto"/>
        <w:spacing w:line="240" w:lineRule="auto"/>
        <w:rPr>
          <w:color w:val="000000"/>
          <w:sz w:val="22"/>
          <w:lang w:eastAsia="sk-SK" w:bidi="ar-SA"/>
        </w:rPr>
      </w:pPr>
      <w:r w:rsidRPr="00D75A0F">
        <w:rPr>
          <w:color w:val="000000"/>
          <w:lang w:eastAsia="sk-SK" w:bidi="ar-SA"/>
        </w:rPr>
        <w:t>Dotácie na podporu rodovej rovnosti boli v roku 2014 schválené vo výške 93</w:t>
      </w:r>
      <w:r w:rsidR="001D7DF3">
        <w:rPr>
          <w:color w:val="000000"/>
          <w:lang w:eastAsia="sk-SK" w:bidi="ar-SA"/>
        </w:rPr>
        <w:t xml:space="preserve"> </w:t>
      </w:r>
      <w:r w:rsidRPr="00D75A0F">
        <w:rPr>
          <w:color w:val="000000"/>
          <w:lang w:eastAsia="sk-SK" w:bidi="ar-SA"/>
        </w:rPr>
        <w:t xml:space="preserve">300 Eur. Podporené boli projekty občianskych združení a neziskových organizácií: </w:t>
      </w:r>
      <w:r w:rsidRPr="001D7DF3">
        <w:rPr>
          <w:i/>
          <w:color w:val="000000"/>
          <w:lang w:eastAsia="sk-SK" w:bidi="ar-SA"/>
        </w:rPr>
        <w:t xml:space="preserve">Fenestra, In Minorita, Národné centrum pre rovnosť príležitostí, NOMANTINELS, Občan, demokracia a zodpovednosť, Občianske združenie NOVÁ CESTA,  Občianske združenie </w:t>
      </w:r>
      <w:proofErr w:type="spellStart"/>
      <w:r w:rsidRPr="001D7DF3">
        <w:rPr>
          <w:i/>
          <w:color w:val="000000"/>
          <w:lang w:eastAsia="sk-SK" w:bidi="ar-SA"/>
        </w:rPr>
        <w:t>Savore</w:t>
      </w:r>
      <w:proofErr w:type="spellEnd"/>
      <w:r w:rsidRPr="001D7DF3">
        <w:rPr>
          <w:i/>
          <w:color w:val="000000"/>
          <w:lang w:eastAsia="sk-SK" w:bidi="ar-SA"/>
        </w:rPr>
        <w:t>, Občianske združenie Vidiecky parlament na Slovensku, OZ HANA, PROGRESFEM, Únia materských centier, Záujmové združenie žien ASPEKT, Záujmové združenie</w:t>
      </w:r>
      <w:r w:rsidR="00D554C0">
        <w:rPr>
          <w:i/>
          <w:color w:val="000000"/>
          <w:lang w:eastAsia="sk-SK" w:bidi="ar-SA"/>
        </w:rPr>
        <w:t xml:space="preserve"> žien MYMAMY, Združenie </w:t>
      </w:r>
      <w:proofErr w:type="spellStart"/>
      <w:r w:rsidR="00D554C0">
        <w:rPr>
          <w:i/>
          <w:color w:val="000000"/>
          <w:lang w:eastAsia="sk-SK" w:bidi="ar-SA"/>
        </w:rPr>
        <w:t>lesníčo</w:t>
      </w:r>
      <w:r w:rsidRPr="001D7DF3">
        <w:rPr>
          <w:i/>
          <w:color w:val="000000"/>
          <w:lang w:eastAsia="sk-SK" w:bidi="ar-SA"/>
        </w:rPr>
        <w:t>k</w:t>
      </w:r>
      <w:proofErr w:type="spellEnd"/>
      <w:r w:rsidRPr="001D7DF3">
        <w:rPr>
          <w:i/>
          <w:color w:val="000000"/>
          <w:lang w:eastAsia="sk-SK" w:bidi="ar-SA"/>
        </w:rPr>
        <w:t>, Striedav</w:t>
      </w:r>
      <w:r w:rsidR="00560412">
        <w:rPr>
          <w:i/>
          <w:color w:val="000000"/>
          <w:lang w:eastAsia="sk-SK" w:bidi="ar-SA"/>
        </w:rPr>
        <w:t>á</w:t>
      </w:r>
      <w:r w:rsidRPr="001D7DF3">
        <w:rPr>
          <w:i/>
          <w:color w:val="000000"/>
          <w:lang w:eastAsia="sk-SK" w:bidi="ar-SA"/>
        </w:rPr>
        <w:t xml:space="preserve"> starostlivosť o deti, slovensko-česká spoločnosť, Klub mnohodetných  rodín, </w:t>
      </w:r>
      <w:proofErr w:type="spellStart"/>
      <w:r w:rsidRPr="001D7DF3">
        <w:rPr>
          <w:i/>
          <w:color w:val="000000"/>
          <w:lang w:eastAsia="sk-SK" w:bidi="ar-SA"/>
        </w:rPr>
        <w:t>Komunitné</w:t>
      </w:r>
      <w:proofErr w:type="spellEnd"/>
      <w:r w:rsidRPr="001D7DF3">
        <w:rPr>
          <w:i/>
          <w:color w:val="000000"/>
          <w:lang w:eastAsia="sk-SK" w:bidi="ar-SA"/>
        </w:rPr>
        <w:t xml:space="preserve"> centrum menšín</w:t>
      </w:r>
      <w:r w:rsidRPr="00D75A0F">
        <w:rPr>
          <w:color w:val="000000"/>
          <w:lang w:eastAsia="sk-SK" w:bidi="ar-SA"/>
        </w:rPr>
        <w:t xml:space="preserve">. </w:t>
      </w:r>
      <w:r w:rsidRPr="00D75A0F">
        <w:rPr>
          <w:color w:val="000000"/>
          <w:lang w:eastAsia="sk-SK" w:bidi="ar-SA"/>
        </w:rPr>
        <w:br w:type="page"/>
      </w:r>
    </w:p>
    <w:p w:rsidR="00FC4304" w:rsidRDefault="00FC4304" w:rsidP="00FC4304">
      <w:pPr>
        <w:pStyle w:val="Nadpis3"/>
        <w:rPr>
          <w:lang w:bidi="ar-SA"/>
        </w:rPr>
      </w:pPr>
      <w:r>
        <w:rPr>
          <w:lang w:bidi="ar-SA"/>
        </w:rPr>
        <w:lastRenderedPageBreak/>
        <w:t>Indikátory rodovej rovnosti</w:t>
      </w:r>
    </w:p>
    <w:p w:rsidR="00D75A0F" w:rsidRPr="00D75A0F" w:rsidRDefault="00D75A0F" w:rsidP="00D75A0F">
      <w:pPr>
        <w:shd w:val="clear" w:color="auto" w:fill="auto"/>
        <w:spacing w:after="120" w:line="240" w:lineRule="auto"/>
        <w:rPr>
          <w:b/>
          <w:bCs/>
          <w:smallCaps/>
          <w:color w:val="595959"/>
          <w:spacing w:val="10"/>
          <w:sz w:val="18"/>
          <w:szCs w:val="18"/>
          <w:lang w:bidi="ar-SA"/>
        </w:rPr>
      </w:pPr>
      <w:r w:rsidRPr="00D75A0F">
        <w:rPr>
          <w:b/>
          <w:bCs/>
          <w:smallCaps/>
          <w:color w:val="595959"/>
          <w:spacing w:val="10"/>
          <w:sz w:val="18"/>
          <w:szCs w:val="18"/>
          <w:lang w:bidi="ar-SA"/>
        </w:rPr>
        <w:t xml:space="preserve">Tabuľka </w:t>
      </w:r>
      <w:r w:rsidRPr="00D75A0F">
        <w:rPr>
          <w:b/>
          <w:bCs/>
          <w:smallCaps/>
          <w:color w:val="595959"/>
          <w:spacing w:val="10"/>
          <w:sz w:val="18"/>
          <w:szCs w:val="18"/>
          <w:lang w:bidi="ar-SA"/>
        </w:rPr>
        <w:fldChar w:fldCharType="begin"/>
      </w:r>
      <w:r w:rsidRPr="00D75A0F">
        <w:rPr>
          <w:b/>
          <w:bCs/>
          <w:smallCaps/>
          <w:color w:val="595959"/>
          <w:spacing w:val="10"/>
          <w:sz w:val="18"/>
          <w:szCs w:val="18"/>
          <w:lang w:bidi="ar-SA"/>
        </w:rPr>
        <w:instrText xml:space="preserve"> SEQ Tabuľka \* ARABIC </w:instrText>
      </w:r>
      <w:r w:rsidRPr="00D75A0F">
        <w:rPr>
          <w:b/>
          <w:bCs/>
          <w:smallCaps/>
          <w:color w:val="595959"/>
          <w:spacing w:val="10"/>
          <w:sz w:val="18"/>
          <w:szCs w:val="18"/>
          <w:lang w:bidi="ar-SA"/>
        </w:rPr>
        <w:fldChar w:fldCharType="separate"/>
      </w:r>
      <w:r w:rsidR="004E53CF">
        <w:rPr>
          <w:b/>
          <w:bCs/>
          <w:smallCaps/>
          <w:noProof/>
          <w:color w:val="595959"/>
          <w:spacing w:val="10"/>
          <w:sz w:val="18"/>
          <w:szCs w:val="18"/>
          <w:lang w:bidi="ar-SA"/>
        </w:rPr>
        <w:t>1</w:t>
      </w:r>
      <w:r w:rsidRPr="00D75A0F">
        <w:rPr>
          <w:b/>
          <w:bCs/>
          <w:smallCaps/>
          <w:noProof/>
          <w:color w:val="595959"/>
          <w:spacing w:val="10"/>
          <w:sz w:val="18"/>
          <w:szCs w:val="18"/>
          <w:lang w:bidi="ar-SA"/>
        </w:rPr>
        <w:fldChar w:fldCharType="end"/>
      </w:r>
      <w:r w:rsidRPr="00D75A0F">
        <w:rPr>
          <w:b/>
          <w:bCs/>
          <w:smallCaps/>
          <w:color w:val="595959"/>
          <w:spacing w:val="10"/>
          <w:sz w:val="18"/>
          <w:szCs w:val="18"/>
          <w:lang w:bidi="ar-SA"/>
        </w:rPr>
        <w:t xml:space="preserve"> Súhrn indikátorov rodovej rovnosti  za rok 2015 (alebo najbližší dostupný rok)</w:t>
      </w:r>
    </w:p>
    <w:tbl>
      <w:tblPr>
        <w:tblW w:w="946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142"/>
        <w:gridCol w:w="567"/>
        <w:gridCol w:w="24"/>
        <w:gridCol w:w="543"/>
        <w:gridCol w:w="57"/>
        <w:gridCol w:w="26"/>
        <w:gridCol w:w="608"/>
        <w:gridCol w:w="17"/>
        <w:gridCol w:w="9"/>
        <w:gridCol w:w="540"/>
        <w:gridCol w:w="18"/>
        <w:gridCol w:w="702"/>
        <w:gridCol w:w="720"/>
      </w:tblGrid>
      <w:tr w:rsidR="00D75A0F" w:rsidRPr="00D75A0F" w:rsidTr="00D75A0F">
        <w:trPr>
          <w:trHeight w:val="300"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ind w:firstLine="360"/>
              <w:jc w:val="center"/>
              <w:rPr>
                <w:b/>
                <w:bCs/>
                <w:color w:val="FFFFFF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FFFFFF"/>
                <w:sz w:val="18"/>
                <w:szCs w:val="18"/>
                <w:lang w:eastAsia="sk-SK" w:bidi="ar-SA"/>
              </w:rPr>
              <w:t>Indikátor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FFFFFF"/>
                <w:sz w:val="18"/>
                <w:szCs w:val="18"/>
                <w:lang w:eastAsia="sk-SK" w:bidi="ar-SA"/>
              </w:rPr>
              <w:t>Ženy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ind w:firstLine="360"/>
              <w:jc w:val="center"/>
              <w:rPr>
                <w:b/>
                <w:bCs/>
                <w:color w:val="FFFFFF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FFFFFF"/>
                <w:sz w:val="18"/>
                <w:szCs w:val="18"/>
                <w:lang w:eastAsia="sk-SK" w:bidi="ar-SA"/>
              </w:rPr>
              <w:t>Muži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FFFFFF"/>
                <w:sz w:val="18"/>
                <w:szCs w:val="18"/>
                <w:lang w:eastAsia="sk-SK" w:bidi="ar-SA"/>
              </w:rPr>
              <w:t>Rodový rozdiel</w:t>
            </w:r>
          </w:p>
        </w:tc>
      </w:tr>
      <w:tr w:rsidR="00D75A0F" w:rsidRPr="00D75A0F" w:rsidTr="00D75A0F">
        <w:trPr>
          <w:trHeight w:val="300"/>
        </w:trPr>
        <w:tc>
          <w:tcPr>
            <w:tcW w:w="5495" w:type="dxa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ind w:firstLine="360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SK</w:t>
            </w:r>
          </w:p>
        </w:tc>
        <w:tc>
          <w:tcPr>
            <w:tcW w:w="65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EÚ-28</w:t>
            </w:r>
          </w:p>
        </w:tc>
        <w:tc>
          <w:tcPr>
            <w:tcW w:w="6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SK</w:t>
            </w:r>
          </w:p>
        </w:tc>
        <w:tc>
          <w:tcPr>
            <w:tcW w:w="584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EÚ-28</w:t>
            </w:r>
          </w:p>
        </w:tc>
        <w:tc>
          <w:tcPr>
            <w:tcW w:w="70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SK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EÚ-28</w:t>
            </w:r>
          </w:p>
        </w:tc>
      </w:tr>
      <w:tr w:rsidR="00D75A0F" w:rsidRPr="00D75A0F" w:rsidTr="00D75A0F">
        <w:trPr>
          <w:trHeight w:val="283"/>
        </w:trPr>
        <w:tc>
          <w:tcPr>
            <w:tcW w:w="54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Miera zamestnanosti (v </w:t>
            </w:r>
            <w:r w:rsidR="005C794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%</w:t>
            </w: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;  20-64 rokov;  SK/2015, ŠÚ SR a EÚ/2014, </w:t>
            </w:r>
            <w:proofErr w:type="spellStart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Eurostat</w:t>
            </w:r>
            <w:proofErr w:type="spellEnd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60,3</w:t>
            </w:r>
          </w:p>
        </w:tc>
        <w:tc>
          <w:tcPr>
            <w:tcW w:w="65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63,5</w:t>
            </w:r>
          </w:p>
        </w:tc>
        <w:tc>
          <w:tcPr>
            <w:tcW w:w="6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75,0</w:t>
            </w:r>
          </w:p>
        </w:tc>
        <w:tc>
          <w:tcPr>
            <w:tcW w:w="584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75,0</w:t>
            </w:r>
          </w:p>
        </w:tc>
        <w:tc>
          <w:tcPr>
            <w:tcW w:w="70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14,7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11,5</w:t>
            </w:r>
          </w:p>
        </w:tc>
      </w:tr>
      <w:tr w:rsidR="00D75A0F" w:rsidRPr="00D75A0F" w:rsidTr="00D75A0F">
        <w:trPr>
          <w:trHeight w:val="283"/>
        </w:trPr>
        <w:tc>
          <w:tcPr>
            <w:tcW w:w="54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Miera zamestnanosti (v </w:t>
            </w:r>
            <w:r w:rsidR="005C794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%</w:t>
            </w: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;  15-64 rokov; SK/2015, ŠÚ SR a EÚ/2014, </w:t>
            </w:r>
            <w:proofErr w:type="spellStart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Eurostat</w:t>
            </w:r>
            <w:proofErr w:type="spellEnd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55,9</w:t>
            </w:r>
          </w:p>
        </w:tc>
        <w:tc>
          <w:tcPr>
            <w:tcW w:w="65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59,6</w:t>
            </w:r>
          </w:p>
        </w:tc>
        <w:tc>
          <w:tcPr>
            <w:tcW w:w="6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69,5</w:t>
            </w:r>
          </w:p>
        </w:tc>
        <w:tc>
          <w:tcPr>
            <w:tcW w:w="584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70,1</w:t>
            </w:r>
          </w:p>
        </w:tc>
        <w:tc>
          <w:tcPr>
            <w:tcW w:w="70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13,5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10,5</w:t>
            </w:r>
          </w:p>
        </w:tc>
      </w:tr>
      <w:tr w:rsidR="00D75A0F" w:rsidRPr="00D75A0F" w:rsidTr="00D75A0F">
        <w:trPr>
          <w:trHeight w:val="283"/>
        </w:trPr>
        <w:tc>
          <w:tcPr>
            <w:tcW w:w="54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Miera zamestnanosti mladých (v </w:t>
            </w:r>
            <w:r w:rsidR="005C794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%</w:t>
            </w: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;15-24 rokov; SK/2015, ŠÚ SR a EÚ/2014, </w:t>
            </w:r>
            <w:proofErr w:type="spellStart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Eurostat</w:t>
            </w:r>
            <w:proofErr w:type="spellEnd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18,0</w:t>
            </w:r>
          </w:p>
        </w:tc>
        <w:tc>
          <w:tcPr>
            <w:tcW w:w="65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30,6</w:t>
            </w:r>
          </w:p>
        </w:tc>
        <w:tc>
          <w:tcPr>
            <w:tcW w:w="6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28,4</w:t>
            </w:r>
          </w:p>
        </w:tc>
        <w:tc>
          <w:tcPr>
            <w:tcW w:w="584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34,4</w:t>
            </w:r>
          </w:p>
        </w:tc>
        <w:tc>
          <w:tcPr>
            <w:tcW w:w="70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10,4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3,8</w:t>
            </w:r>
          </w:p>
        </w:tc>
      </w:tr>
      <w:tr w:rsidR="00D75A0F" w:rsidRPr="00D75A0F" w:rsidTr="00D75A0F">
        <w:trPr>
          <w:trHeight w:val="283"/>
        </w:trPr>
        <w:tc>
          <w:tcPr>
            <w:tcW w:w="54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Miera zamestnanosti starších (v </w:t>
            </w:r>
            <w:r w:rsidR="005C794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%</w:t>
            </w: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; 55-64 rokov; 2013, EK)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37,2</w:t>
            </w:r>
          </w:p>
        </w:tc>
        <w:tc>
          <w:tcPr>
            <w:tcW w:w="65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45,2</w:t>
            </w:r>
          </w:p>
        </w:tc>
        <w:tc>
          <w:tcPr>
            <w:tcW w:w="6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53,1</w:t>
            </w:r>
          </w:p>
        </w:tc>
        <w:tc>
          <w:tcPr>
            <w:tcW w:w="584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58,8</w:t>
            </w:r>
          </w:p>
        </w:tc>
        <w:tc>
          <w:tcPr>
            <w:tcW w:w="70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15,9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13,6</w:t>
            </w:r>
          </w:p>
        </w:tc>
      </w:tr>
      <w:tr w:rsidR="00D75A0F" w:rsidRPr="00D75A0F" w:rsidTr="00D75A0F">
        <w:trPr>
          <w:trHeight w:val="283"/>
        </w:trPr>
        <w:tc>
          <w:tcPr>
            <w:tcW w:w="54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Miera nezamestnanosti  (v </w:t>
            </w:r>
            <w:r w:rsidR="005C794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%</w:t>
            </w: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, všetky vekové skupiny; 2015, ŠÚ SR a </w:t>
            </w:r>
            <w:proofErr w:type="spellStart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Eurostat</w:t>
            </w:r>
            <w:proofErr w:type="spellEnd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12,9</w:t>
            </w:r>
          </w:p>
        </w:tc>
        <w:tc>
          <w:tcPr>
            <w:tcW w:w="65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9,5</w:t>
            </w:r>
          </w:p>
        </w:tc>
        <w:tc>
          <w:tcPr>
            <w:tcW w:w="6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10,3</w:t>
            </w:r>
          </w:p>
        </w:tc>
        <w:tc>
          <w:tcPr>
            <w:tcW w:w="584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9,3</w:t>
            </w:r>
          </w:p>
        </w:tc>
        <w:tc>
          <w:tcPr>
            <w:tcW w:w="70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-2,6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-0,2</w:t>
            </w:r>
          </w:p>
        </w:tc>
      </w:tr>
      <w:tr w:rsidR="00D75A0F" w:rsidRPr="00D75A0F" w:rsidTr="00D75A0F">
        <w:trPr>
          <w:trHeight w:val="283"/>
        </w:trPr>
        <w:tc>
          <w:tcPr>
            <w:tcW w:w="54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Miera nezamestnanosti mladých (v </w:t>
            </w:r>
            <w:r w:rsidR="005C794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%</w:t>
            </w: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; 15–24 rokov, SK/2015, ŠÚ SR a EÚ/2014, </w:t>
            </w:r>
            <w:proofErr w:type="spellStart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Eurostat</w:t>
            </w:r>
            <w:proofErr w:type="spellEnd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27,5</w:t>
            </w:r>
          </w:p>
        </w:tc>
        <w:tc>
          <w:tcPr>
            <w:tcW w:w="65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21,2</w:t>
            </w:r>
          </w:p>
        </w:tc>
        <w:tc>
          <w:tcPr>
            <w:tcW w:w="6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25,8</w:t>
            </w:r>
          </w:p>
        </w:tc>
        <w:tc>
          <w:tcPr>
            <w:tcW w:w="584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22,6</w:t>
            </w:r>
          </w:p>
        </w:tc>
        <w:tc>
          <w:tcPr>
            <w:tcW w:w="70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-1,7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1,4</w:t>
            </w:r>
          </w:p>
        </w:tc>
      </w:tr>
      <w:tr w:rsidR="00D75A0F" w:rsidRPr="00D75A0F" w:rsidTr="00D75A0F">
        <w:trPr>
          <w:trHeight w:val="283"/>
        </w:trPr>
        <w:tc>
          <w:tcPr>
            <w:tcW w:w="54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0C0C0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Index rodovej segregácie v zamestnaniach (index z intervalu 0-50 v </w:t>
            </w:r>
            <w:r w:rsidR="005C794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%</w:t>
            </w: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; 2014, GR)</w:t>
            </w:r>
          </w:p>
        </w:tc>
        <w:tc>
          <w:tcPr>
            <w:tcW w:w="3253" w:type="dxa"/>
            <w:gridSpan w:val="1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0C0C0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30,8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0C0C0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color w:val="000000"/>
                <w:sz w:val="18"/>
                <w:szCs w:val="18"/>
                <w:lang w:eastAsia="sk-SK" w:bidi="ar-SA"/>
              </w:rPr>
              <w:t>24,4</w:t>
            </w:r>
          </w:p>
        </w:tc>
      </w:tr>
      <w:tr w:rsidR="00D75A0F" w:rsidRPr="00D75A0F" w:rsidTr="00D75A0F">
        <w:trPr>
          <w:trHeight w:val="283"/>
        </w:trPr>
        <w:tc>
          <w:tcPr>
            <w:tcW w:w="54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Index rodovej segregácie v sektoroch (index z intervalu 0-50 v </w:t>
            </w:r>
            <w:r w:rsidR="005C794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%</w:t>
            </w: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; 2014, GR)</w:t>
            </w:r>
          </w:p>
        </w:tc>
        <w:tc>
          <w:tcPr>
            <w:tcW w:w="3253" w:type="dxa"/>
            <w:gridSpan w:val="1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23,9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color w:val="000000"/>
                <w:sz w:val="18"/>
                <w:szCs w:val="18"/>
                <w:lang w:eastAsia="sk-SK" w:bidi="ar-SA"/>
              </w:rPr>
              <w:t>18,9</w:t>
            </w:r>
          </w:p>
        </w:tc>
      </w:tr>
      <w:tr w:rsidR="00D75A0F" w:rsidRPr="00D75A0F" w:rsidTr="00D75A0F">
        <w:trPr>
          <w:trHeight w:val="283"/>
        </w:trPr>
        <w:tc>
          <w:tcPr>
            <w:tcW w:w="54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Rodový mzdový rozdiel v neupravenej forme  (priemerná hodinová mzda v </w:t>
            </w:r>
            <w:r w:rsidR="005C794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%</w:t>
            </w: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, 2014, GR)</w:t>
            </w:r>
          </w:p>
        </w:tc>
        <w:tc>
          <w:tcPr>
            <w:tcW w:w="3253" w:type="dxa"/>
            <w:gridSpan w:val="1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21,1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color w:val="000000"/>
                <w:sz w:val="18"/>
                <w:szCs w:val="18"/>
                <w:lang w:eastAsia="sk-SK" w:bidi="ar-SA"/>
              </w:rPr>
              <w:t>16,2</w:t>
            </w:r>
          </w:p>
        </w:tc>
      </w:tr>
      <w:tr w:rsidR="00D75A0F" w:rsidRPr="00D75A0F" w:rsidTr="00D75A0F">
        <w:trPr>
          <w:trHeight w:val="283"/>
        </w:trPr>
        <w:tc>
          <w:tcPr>
            <w:tcW w:w="54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Priemerná hrubá mesačná mzda v neupravenej forme (v EUR, RMR v </w:t>
            </w:r>
            <w:r w:rsidR="005C794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%</w:t>
            </w: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;  4.Q/2015, </w:t>
            </w:r>
            <w:proofErr w:type="spellStart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Trexima</w:t>
            </w:r>
            <w:proofErr w:type="spellEnd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861</w:t>
            </w:r>
          </w:p>
        </w:tc>
        <w:tc>
          <w:tcPr>
            <w:tcW w:w="624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proofErr w:type="spellStart"/>
            <w:r w:rsidRPr="00D75A0F">
              <w:rPr>
                <w:color w:val="000000"/>
                <w:sz w:val="16"/>
                <w:szCs w:val="16"/>
                <w:lang w:eastAsia="sk-SK" w:bidi="ar-SA"/>
              </w:rPr>
              <w:t>n.a</w:t>
            </w:r>
            <w:proofErr w:type="spellEnd"/>
            <w:r w:rsidRPr="00D75A0F">
              <w:rPr>
                <w:color w:val="000000"/>
                <w:sz w:val="16"/>
                <w:szCs w:val="16"/>
                <w:lang w:eastAsia="sk-SK" w:bidi="ar-SA"/>
              </w:rPr>
              <w:t>.</w:t>
            </w:r>
          </w:p>
        </w:tc>
        <w:tc>
          <w:tcPr>
            <w:tcW w:w="651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1 108</w:t>
            </w:r>
          </w:p>
        </w:tc>
        <w:tc>
          <w:tcPr>
            <w:tcW w:w="567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proofErr w:type="spellStart"/>
            <w:r w:rsidRPr="00D75A0F">
              <w:rPr>
                <w:color w:val="000000"/>
                <w:sz w:val="16"/>
                <w:szCs w:val="16"/>
                <w:lang w:eastAsia="sk-SK" w:bidi="ar-SA"/>
              </w:rPr>
              <w:t>n.a</w:t>
            </w:r>
            <w:proofErr w:type="spellEnd"/>
            <w:r w:rsidRPr="00D75A0F">
              <w:rPr>
                <w:color w:val="000000"/>
                <w:sz w:val="16"/>
                <w:szCs w:val="16"/>
                <w:lang w:eastAsia="sk-SK" w:bidi="ar-SA"/>
              </w:rPr>
              <w:t>.</w:t>
            </w:r>
          </w:p>
        </w:tc>
        <w:tc>
          <w:tcPr>
            <w:tcW w:w="70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22,3</w:t>
            </w:r>
            <w:r w:rsidR="005C794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 xml:space="preserve"> %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proofErr w:type="spellStart"/>
            <w:r w:rsidRPr="00D75A0F">
              <w:rPr>
                <w:color w:val="000000"/>
                <w:sz w:val="16"/>
                <w:szCs w:val="16"/>
                <w:lang w:eastAsia="sk-SK" w:bidi="ar-SA"/>
              </w:rPr>
              <w:t>n.a</w:t>
            </w:r>
            <w:proofErr w:type="spellEnd"/>
            <w:r w:rsidRPr="00D75A0F">
              <w:rPr>
                <w:color w:val="000000"/>
                <w:sz w:val="16"/>
                <w:szCs w:val="16"/>
                <w:lang w:eastAsia="sk-SK" w:bidi="ar-SA"/>
              </w:rPr>
              <w:t>.</w:t>
            </w:r>
          </w:p>
        </w:tc>
      </w:tr>
      <w:tr w:rsidR="00D75A0F" w:rsidRPr="00D75A0F" w:rsidTr="00D75A0F">
        <w:trPr>
          <w:trHeight w:val="283"/>
        </w:trPr>
        <w:tc>
          <w:tcPr>
            <w:tcW w:w="54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Priemerná hodinová mzda v nepodnikateľskej sfére  (v EUR, 2014, </w:t>
            </w:r>
            <w:proofErr w:type="spellStart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Trexima</w:t>
            </w:r>
            <w:proofErr w:type="spellEnd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560412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>
              <w:rPr>
                <w:color w:val="000000"/>
                <w:sz w:val="16"/>
                <w:szCs w:val="16"/>
                <w:lang w:eastAsia="sk-SK" w:bidi="ar-SA"/>
              </w:rPr>
              <w:t>5,34</w:t>
            </w:r>
          </w:p>
        </w:tc>
        <w:tc>
          <w:tcPr>
            <w:tcW w:w="624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proofErr w:type="spellStart"/>
            <w:r w:rsidRPr="00D75A0F">
              <w:rPr>
                <w:color w:val="000000"/>
                <w:sz w:val="16"/>
                <w:szCs w:val="16"/>
                <w:lang w:eastAsia="sk-SK" w:bidi="ar-SA"/>
              </w:rPr>
              <w:t>n.a</w:t>
            </w:r>
            <w:proofErr w:type="spellEnd"/>
            <w:r w:rsidRPr="00D75A0F">
              <w:rPr>
                <w:color w:val="000000"/>
                <w:sz w:val="16"/>
                <w:szCs w:val="16"/>
                <w:lang w:eastAsia="sk-SK" w:bidi="ar-SA"/>
              </w:rPr>
              <w:t>.</w:t>
            </w:r>
          </w:p>
        </w:tc>
        <w:tc>
          <w:tcPr>
            <w:tcW w:w="651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560412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>
              <w:rPr>
                <w:color w:val="000000"/>
                <w:sz w:val="16"/>
                <w:szCs w:val="16"/>
                <w:lang w:eastAsia="sk-SK" w:bidi="ar-SA"/>
              </w:rPr>
              <w:t>5,85</w:t>
            </w:r>
          </w:p>
        </w:tc>
        <w:tc>
          <w:tcPr>
            <w:tcW w:w="567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proofErr w:type="spellStart"/>
            <w:r w:rsidRPr="00D75A0F">
              <w:rPr>
                <w:color w:val="000000"/>
                <w:sz w:val="16"/>
                <w:szCs w:val="16"/>
                <w:lang w:eastAsia="sk-SK" w:bidi="ar-SA"/>
              </w:rPr>
              <w:t>n.a</w:t>
            </w:r>
            <w:proofErr w:type="spellEnd"/>
            <w:r w:rsidRPr="00D75A0F">
              <w:rPr>
                <w:color w:val="000000"/>
                <w:sz w:val="16"/>
                <w:szCs w:val="16"/>
                <w:lang w:eastAsia="sk-SK" w:bidi="ar-SA"/>
              </w:rPr>
              <w:t>.</w:t>
            </w:r>
          </w:p>
        </w:tc>
        <w:tc>
          <w:tcPr>
            <w:tcW w:w="70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proofErr w:type="spellStart"/>
            <w:r w:rsidRPr="00D75A0F">
              <w:rPr>
                <w:color w:val="000000"/>
                <w:sz w:val="16"/>
                <w:szCs w:val="16"/>
                <w:lang w:eastAsia="sk-SK" w:bidi="ar-SA"/>
              </w:rPr>
              <w:t>n.a</w:t>
            </w:r>
            <w:proofErr w:type="spellEnd"/>
            <w:r w:rsidRPr="00D75A0F">
              <w:rPr>
                <w:color w:val="000000"/>
                <w:sz w:val="16"/>
                <w:szCs w:val="16"/>
                <w:lang w:eastAsia="sk-SK" w:bidi="ar-SA"/>
              </w:rPr>
              <w:t>.</w:t>
            </w:r>
          </w:p>
        </w:tc>
      </w:tr>
      <w:tr w:rsidR="00D75A0F" w:rsidRPr="00D75A0F" w:rsidTr="00D75A0F">
        <w:trPr>
          <w:trHeight w:val="283"/>
        </w:trPr>
        <w:tc>
          <w:tcPr>
            <w:tcW w:w="54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Priemerná hodinová mzda v podnikateľskej sfére (v EUR,  RMR v </w:t>
            </w:r>
            <w:r w:rsidR="005C794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%</w:t>
            </w: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; 4.Q/2015, </w:t>
            </w:r>
            <w:proofErr w:type="spellStart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Trexima</w:t>
            </w:r>
            <w:proofErr w:type="spellEnd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5,24</w:t>
            </w:r>
          </w:p>
        </w:tc>
        <w:tc>
          <w:tcPr>
            <w:tcW w:w="624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proofErr w:type="spellStart"/>
            <w:r w:rsidRPr="00D75A0F">
              <w:rPr>
                <w:color w:val="000000"/>
                <w:sz w:val="16"/>
                <w:szCs w:val="16"/>
                <w:lang w:eastAsia="sk-SK" w:bidi="ar-SA"/>
              </w:rPr>
              <w:t>n.a</w:t>
            </w:r>
            <w:proofErr w:type="spellEnd"/>
            <w:r w:rsidRPr="00D75A0F">
              <w:rPr>
                <w:color w:val="000000"/>
                <w:sz w:val="16"/>
                <w:szCs w:val="16"/>
                <w:lang w:eastAsia="sk-SK" w:bidi="ar-SA"/>
              </w:rPr>
              <w:t>.</w:t>
            </w:r>
          </w:p>
        </w:tc>
        <w:tc>
          <w:tcPr>
            <w:tcW w:w="651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6,50</w:t>
            </w:r>
          </w:p>
        </w:tc>
        <w:tc>
          <w:tcPr>
            <w:tcW w:w="567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proofErr w:type="spellStart"/>
            <w:r w:rsidRPr="00D75A0F">
              <w:rPr>
                <w:color w:val="000000"/>
                <w:sz w:val="16"/>
                <w:szCs w:val="16"/>
                <w:lang w:eastAsia="sk-SK" w:bidi="ar-SA"/>
              </w:rPr>
              <w:t>n.a</w:t>
            </w:r>
            <w:proofErr w:type="spellEnd"/>
            <w:r w:rsidRPr="00D75A0F">
              <w:rPr>
                <w:color w:val="000000"/>
                <w:sz w:val="16"/>
                <w:szCs w:val="16"/>
                <w:lang w:eastAsia="sk-SK" w:bidi="ar-SA"/>
              </w:rPr>
              <w:t>.</w:t>
            </w:r>
          </w:p>
        </w:tc>
        <w:tc>
          <w:tcPr>
            <w:tcW w:w="70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19,4</w:t>
            </w:r>
            <w:r w:rsidR="005C794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 xml:space="preserve"> %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proofErr w:type="spellStart"/>
            <w:r w:rsidRPr="00D75A0F">
              <w:rPr>
                <w:color w:val="000000"/>
                <w:sz w:val="16"/>
                <w:szCs w:val="16"/>
                <w:lang w:eastAsia="sk-SK" w:bidi="ar-SA"/>
              </w:rPr>
              <w:t>n.a</w:t>
            </w:r>
            <w:proofErr w:type="spellEnd"/>
            <w:r w:rsidRPr="00D75A0F">
              <w:rPr>
                <w:color w:val="000000"/>
                <w:sz w:val="16"/>
                <w:szCs w:val="16"/>
                <w:lang w:eastAsia="sk-SK" w:bidi="ar-SA"/>
              </w:rPr>
              <w:t>.</w:t>
            </w:r>
          </w:p>
        </w:tc>
      </w:tr>
      <w:tr w:rsidR="00D75A0F" w:rsidRPr="00D75A0F" w:rsidTr="00D75A0F">
        <w:trPr>
          <w:trHeight w:val="283"/>
        </w:trPr>
        <w:tc>
          <w:tcPr>
            <w:tcW w:w="54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Rodová distribúcia neplatenej práce  rodičov detí do 6 rokov (v hod./týždeň,  ISSP 2012)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59,8</w:t>
            </w:r>
          </w:p>
        </w:tc>
        <w:tc>
          <w:tcPr>
            <w:tcW w:w="624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proofErr w:type="spellStart"/>
            <w:r w:rsidRPr="00D75A0F">
              <w:rPr>
                <w:color w:val="000000"/>
                <w:sz w:val="16"/>
                <w:szCs w:val="16"/>
                <w:lang w:eastAsia="sk-SK" w:bidi="ar-SA"/>
              </w:rPr>
              <w:t>n.a</w:t>
            </w:r>
            <w:proofErr w:type="spellEnd"/>
            <w:r w:rsidRPr="00D75A0F">
              <w:rPr>
                <w:color w:val="000000"/>
                <w:sz w:val="16"/>
                <w:szCs w:val="16"/>
                <w:lang w:eastAsia="sk-SK" w:bidi="ar-SA"/>
              </w:rPr>
              <w:t>.</w:t>
            </w:r>
          </w:p>
        </w:tc>
        <w:tc>
          <w:tcPr>
            <w:tcW w:w="651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27,9</w:t>
            </w:r>
          </w:p>
        </w:tc>
        <w:tc>
          <w:tcPr>
            <w:tcW w:w="567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proofErr w:type="spellStart"/>
            <w:r w:rsidRPr="00D75A0F">
              <w:rPr>
                <w:color w:val="000000"/>
                <w:sz w:val="16"/>
                <w:szCs w:val="16"/>
                <w:lang w:eastAsia="sk-SK" w:bidi="ar-SA"/>
              </w:rPr>
              <w:t>n.a</w:t>
            </w:r>
            <w:proofErr w:type="spellEnd"/>
            <w:r w:rsidRPr="00D75A0F">
              <w:rPr>
                <w:color w:val="000000"/>
                <w:sz w:val="16"/>
                <w:szCs w:val="16"/>
                <w:lang w:eastAsia="sk-SK" w:bidi="ar-SA"/>
              </w:rPr>
              <w:t>.</w:t>
            </w:r>
          </w:p>
        </w:tc>
        <w:tc>
          <w:tcPr>
            <w:tcW w:w="70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-31,9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proofErr w:type="spellStart"/>
            <w:r w:rsidRPr="00D75A0F">
              <w:rPr>
                <w:color w:val="000000"/>
                <w:sz w:val="16"/>
                <w:szCs w:val="16"/>
                <w:lang w:eastAsia="sk-SK" w:bidi="ar-SA"/>
              </w:rPr>
              <w:t>n.a</w:t>
            </w:r>
            <w:proofErr w:type="spellEnd"/>
            <w:r w:rsidRPr="00D75A0F">
              <w:rPr>
                <w:color w:val="000000"/>
                <w:sz w:val="16"/>
                <w:szCs w:val="16"/>
                <w:lang w:eastAsia="sk-SK" w:bidi="ar-SA"/>
              </w:rPr>
              <w:t>.</w:t>
            </w:r>
          </w:p>
        </w:tc>
      </w:tr>
      <w:tr w:rsidR="00D75A0F" w:rsidRPr="00D75A0F" w:rsidTr="00D75A0F">
        <w:trPr>
          <w:trHeight w:val="283"/>
        </w:trPr>
        <w:tc>
          <w:tcPr>
            <w:tcW w:w="54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Celková dotácia platenej a neplatenej práce rodičov detí do 6 rokov  (v hod./týždeň,  ISSP 2012)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99,3</w:t>
            </w:r>
          </w:p>
        </w:tc>
        <w:tc>
          <w:tcPr>
            <w:tcW w:w="624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proofErr w:type="spellStart"/>
            <w:r w:rsidRPr="00D75A0F">
              <w:rPr>
                <w:color w:val="000000"/>
                <w:sz w:val="16"/>
                <w:szCs w:val="16"/>
                <w:lang w:eastAsia="sk-SK" w:bidi="ar-SA"/>
              </w:rPr>
              <w:t>n.a</w:t>
            </w:r>
            <w:proofErr w:type="spellEnd"/>
            <w:r w:rsidRPr="00D75A0F">
              <w:rPr>
                <w:color w:val="000000"/>
                <w:sz w:val="16"/>
                <w:szCs w:val="16"/>
                <w:lang w:eastAsia="sk-SK" w:bidi="ar-SA"/>
              </w:rPr>
              <w:t>.</w:t>
            </w:r>
          </w:p>
        </w:tc>
        <w:tc>
          <w:tcPr>
            <w:tcW w:w="651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74,6</w:t>
            </w:r>
          </w:p>
        </w:tc>
        <w:tc>
          <w:tcPr>
            <w:tcW w:w="567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proofErr w:type="spellStart"/>
            <w:r w:rsidRPr="00D75A0F">
              <w:rPr>
                <w:color w:val="000000"/>
                <w:sz w:val="16"/>
                <w:szCs w:val="16"/>
                <w:lang w:eastAsia="sk-SK" w:bidi="ar-SA"/>
              </w:rPr>
              <w:t>n.a</w:t>
            </w:r>
            <w:proofErr w:type="spellEnd"/>
            <w:r w:rsidRPr="00D75A0F">
              <w:rPr>
                <w:color w:val="000000"/>
                <w:sz w:val="16"/>
                <w:szCs w:val="16"/>
                <w:lang w:eastAsia="sk-SK" w:bidi="ar-SA"/>
              </w:rPr>
              <w:t>.</w:t>
            </w:r>
          </w:p>
        </w:tc>
        <w:tc>
          <w:tcPr>
            <w:tcW w:w="70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-24,7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proofErr w:type="spellStart"/>
            <w:r w:rsidRPr="00D75A0F">
              <w:rPr>
                <w:color w:val="000000"/>
                <w:sz w:val="16"/>
                <w:szCs w:val="16"/>
                <w:lang w:eastAsia="sk-SK" w:bidi="ar-SA"/>
              </w:rPr>
              <w:t>n.a</w:t>
            </w:r>
            <w:proofErr w:type="spellEnd"/>
            <w:r w:rsidRPr="00D75A0F">
              <w:rPr>
                <w:color w:val="000000"/>
                <w:sz w:val="16"/>
                <w:szCs w:val="16"/>
                <w:lang w:eastAsia="sk-SK" w:bidi="ar-SA"/>
              </w:rPr>
              <w:t>.</w:t>
            </w:r>
          </w:p>
        </w:tc>
      </w:tr>
      <w:tr w:rsidR="00D75A0F" w:rsidRPr="00D75A0F" w:rsidTr="00D75A0F">
        <w:trPr>
          <w:trHeight w:val="283"/>
        </w:trPr>
        <w:tc>
          <w:tcPr>
            <w:tcW w:w="54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Rozdiel v mierach zamestnanosti 20-49-ročných žien s deťmi vo veku 0-6 rokov veku  a bez deti ( v p. b., 2012, EC)</w:t>
            </w:r>
          </w:p>
        </w:tc>
        <w:tc>
          <w:tcPr>
            <w:tcW w:w="3253" w:type="dxa"/>
            <w:gridSpan w:val="1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-31,8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-9,7</w:t>
            </w:r>
          </w:p>
        </w:tc>
      </w:tr>
      <w:tr w:rsidR="00D75A0F" w:rsidRPr="00D75A0F" w:rsidTr="00D75A0F">
        <w:trPr>
          <w:trHeight w:val="283"/>
        </w:trPr>
        <w:tc>
          <w:tcPr>
            <w:tcW w:w="54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Rozdiel v mierach zamestnanosti  20-49-ročných mužov s deťmi vo veku 0-6 rokov a bez detí (v p. b.,  2012, EC)</w:t>
            </w:r>
          </w:p>
        </w:tc>
        <w:tc>
          <w:tcPr>
            <w:tcW w:w="3253" w:type="dxa"/>
            <w:gridSpan w:val="1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12,2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11,4</w:t>
            </w:r>
          </w:p>
        </w:tc>
      </w:tr>
      <w:tr w:rsidR="00D75A0F" w:rsidRPr="00D75A0F" w:rsidTr="00D75A0F">
        <w:trPr>
          <w:trHeight w:val="283"/>
        </w:trPr>
        <w:tc>
          <w:tcPr>
            <w:tcW w:w="54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Podiel populácie vo veku 30-34 rokov s vysokoškolským vzdelaním (v </w:t>
            </w:r>
            <w:r w:rsidR="005C794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%</w:t>
            </w: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; ISCED 5-8; 2015, </w:t>
            </w:r>
            <w:proofErr w:type="spellStart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Eurostat</w:t>
            </w:r>
            <w:proofErr w:type="spellEnd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33,7</w:t>
            </w:r>
          </w:p>
        </w:tc>
        <w:tc>
          <w:tcPr>
            <w:tcW w:w="624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43,1</w:t>
            </w:r>
          </w:p>
        </w:tc>
        <w:tc>
          <w:tcPr>
            <w:tcW w:w="651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22,3</w:t>
            </w:r>
          </w:p>
        </w:tc>
        <w:tc>
          <w:tcPr>
            <w:tcW w:w="54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33,8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-11,4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-9,3</w:t>
            </w:r>
          </w:p>
        </w:tc>
      </w:tr>
      <w:tr w:rsidR="00D75A0F" w:rsidRPr="00D75A0F" w:rsidTr="00D75A0F">
        <w:trPr>
          <w:trHeight w:val="283"/>
        </w:trPr>
        <w:tc>
          <w:tcPr>
            <w:tcW w:w="54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Skorý odchod zo vzdelávania (</w:t>
            </w:r>
            <w:r w:rsidR="005C794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%</w:t>
            </w: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populácie vo veku 18-24 rokov s nižším ako SŠ vzdelaním; 2015, </w:t>
            </w:r>
            <w:proofErr w:type="spellStart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Eurostat</w:t>
            </w:r>
            <w:proofErr w:type="spellEnd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) 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7,0</w:t>
            </w:r>
          </w:p>
        </w:tc>
        <w:tc>
          <w:tcPr>
            <w:tcW w:w="624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9,5</w:t>
            </w:r>
          </w:p>
        </w:tc>
        <w:tc>
          <w:tcPr>
            <w:tcW w:w="651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7,2</w:t>
            </w:r>
          </w:p>
        </w:tc>
        <w:tc>
          <w:tcPr>
            <w:tcW w:w="54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12,3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0,2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2,8</w:t>
            </w:r>
          </w:p>
        </w:tc>
      </w:tr>
      <w:tr w:rsidR="00D75A0F" w:rsidRPr="00D75A0F" w:rsidTr="00D75A0F">
        <w:trPr>
          <w:trHeight w:val="283"/>
        </w:trPr>
        <w:tc>
          <w:tcPr>
            <w:tcW w:w="54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Mladí ľudia vo veku 15-24 rokov mimo zamestnania i vzdelávania – NEET (v </w:t>
            </w:r>
            <w:r w:rsidR="005C794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%</w:t>
            </w: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; 2014, EIGE)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12,8</w:t>
            </w:r>
          </w:p>
        </w:tc>
        <w:tc>
          <w:tcPr>
            <w:tcW w:w="624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12,7</w:t>
            </w:r>
          </w:p>
        </w:tc>
        <w:tc>
          <w:tcPr>
            <w:tcW w:w="651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12,8</w:t>
            </w:r>
          </w:p>
        </w:tc>
        <w:tc>
          <w:tcPr>
            <w:tcW w:w="54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12,3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-0,4</w:t>
            </w:r>
          </w:p>
        </w:tc>
      </w:tr>
      <w:tr w:rsidR="00D75A0F" w:rsidRPr="00D75A0F" w:rsidTr="00D75A0F">
        <w:trPr>
          <w:trHeight w:val="283"/>
        </w:trPr>
        <w:tc>
          <w:tcPr>
            <w:tcW w:w="54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Miera rizika príjmovej chudoby (v </w:t>
            </w:r>
            <w:r w:rsidR="005C794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%</w:t>
            </w: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; 2014, EU SILC, </w:t>
            </w:r>
            <w:proofErr w:type="spellStart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Eurostat</w:t>
            </w:r>
            <w:proofErr w:type="spellEnd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12,6</w:t>
            </w:r>
          </w:p>
        </w:tc>
        <w:tc>
          <w:tcPr>
            <w:tcW w:w="624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17,7</w:t>
            </w:r>
          </w:p>
        </w:tc>
        <w:tc>
          <w:tcPr>
            <w:tcW w:w="651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12,7</w:t>
            </w:r>
          </w:p>
        </w:tc>
        <w:tc>
          <w:tcPr>
            <w:tcW w:w="54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16,7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0,1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-1,0</w:t>
            </w:r>
          </w:p>
        </w:tc>
      </w:tr>
      <w:tr w:rsidR="00D75A0F" w:rsidRPr="00D75A0F" w:rsidTr="00D75A0F">
        <w:trPr>
          <w:trHeight w:val="283"/>
        </w:trPr>
        <w:tc>
          <w:tcPr>
            <w:tcW w:w="54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Miera rizika príjmovej chudoby starších (v </w:t>
            </w:r>
            <w:r w:rsidR="005C794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%</w:t>
            </w: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; 65 a viac rokov; 2014, EU SILC, </w:t>
            </w:r>
            <w:proofErr w:type="spellStart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Eurostat</w:t>
            </w:r>
            <w:proofErr w:type="spellEnd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7,5</w:t>
            </w:r>
          </w:p>
        </w:tc>
        <w:tc>
          <w:tcPr>
            <w:tcW w:w="624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15,8</w:t>
            </w:r>
          </w:p>
        </w:tc>
        <w:tc>
          <w:tcPr>
            <w:tcW w:w="651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FC4304" w:rsidP="00FC4304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>
              <w:rPr>
                <w:color w:val="000000"/>
                <w:sz w:val="16"/>
                <w:szCs w:val="16"/>
                <w:lang w:eastAsia="sk-SK" w:bidi="ar-SA"/>
              </w:rPr>
              <w:t>4,1</w:t>
            </w:r>
          </w:p>
        </w:tc>
        <w:tc>
          <w:tcPr>
            <w:tcW w:w="54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FC4304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>
              <w:rPr>
                <w:color w:val="000000"/>
                <w:sz w:val="16"/>
                <w:szCs w:val="16"/>
                <w:lang w:eastAsia="sk-SK" w:bidi="ar-SA"/>
              </w:rPr>
              <w:t>11,2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FC430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-</w:t>
            </w:r>
            <w:r w:rsidR="00FC4304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3</w:t>
            </w: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,</w:t>
            </w:r>
            <w:r w:rsidR="00FC4304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FC4304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-</w:t>
            </w:r>
            <w:r w:rsidR="00FC4304">
              <w:rPr>
                <w:color w:val="000000"/>
                <w:sz w:val="16"/>
                <w:szCs w:val="16"/>
                <w:lang w:eastAsia="sk-SK" w:bidi="ar-SA"/>
              </w:rPr>
              <w:t>4</w:t>
            </w: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,</w:t>
            </w:r>
            <w:r w:rsidR="00FC4304">
              <w:rPr>
                <w:color w:val="000000"/>
                <w:sz w:val="16"/>
                <w:szCs w:val="16"/>
                <w:lang w:eastAsia="sk-SK" w:bidi="ar-SA"/>
              </w:rPr>
              <w:t>6</w:t>
            </w:r>
          </w:p>
        </w:tc>
      </w:tr>
      <w:tr w:rsidR="00D75A0F" w:rsidRPr="00D75A0F" w:rsidTr="00D75A0F">
        <w:trPr>
          <w:trHeight w:val="283"/>
        </w:trPr>
        <w:tc>
          <w:tcPr>
            <w:tcW w:w="8028" w:type="dxa"/>
            <w:gridSpan w:val="11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Miera rizika  chudoby alebo sociálneho vylúčenia 1-rodičovských </w:t>
            </w:r>
          </w:p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rodín (v </w:t>
            </w:r>
            <w:r w:rsidR="005C794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%</w:t>
            </w: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; najmenej 1 dieťa; 2014, EU SILC, </w:t>
            </w:r>
            <w:proofErr w:type="spellStart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Eurostat</w:t>
            </w:r>
            <w:proofErr w:type="spellEnd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39,0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color w:val="000000"/>
                <w:sz w:val="18"/>
                <w:szCs w:val="18"/>
                <w:lang w:eastAsia="sk-SK" w:bidi="ar-SA"/>
              </w:rPr>
              <w:t>48,2</w:t>
            </w:r>
          </w:p>
        </w:tc>
      </w:tr>
      <w:tr w:rsidR="00D75A0F" w:rsidRPr="00D75A0F" w:rsidTr="00D75A0F">
        <w:trPr>
          <w:trHeight w:val="283"/>
        </w:trPr>
        <w:tc>
          <w:tcPr>
            <w:tcW w:w="563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Miera rizika príjmovej chudoby jednočlennej domácnosti vo veku do 65 rokov (v </w:t>
            </w:r>
            <w:r w:rsidR="005C794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%</w:t>
            </w: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; 2014;, EU SILC, </w:t>
            </w:r>
            <w:proofErr w:type="spellStart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Eurostat</w:t>
            </w:r>
            <w:proofErr w:type="spellEnd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)</w:t>
            </w:r>
          </w:p>
        </w:tc>
        <w:tc>
          <w:tcPr>
            <w:tcW w:w="59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16,5</w:t>
            </w:r>
          </w:p>
        </w:tc>
        <w:tc>
          <w:tcPr>
            <w:tcW w:w="5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27,1</w:t>
            </w:r>
          </w:p>
        </w:tc>
        <w:tc>
          <w:tcPr>
            <w:tcW w:w="71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25,2</w:t>
            </w:r>
          </w:p>
        </w:tc>
        <w:tc>
          <w:tcPr>
            <w:tcW w:w="5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27,6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8,7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0,5</w:t>
            </w:r>
          </w:p>
        </w:tc>
      </w:tr>
      <w:tr w:rsidR="00D75A0F" w:rsidRPr="00D75A0F" w:rsidTr="00D75A0F">
        <w:trPr>
          <w:trHeight w:val="283"/>
        </w:trPr>
        <w:tc>
          <w:tcPr>
            <w:tcW w:w="563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Miera rizika príjmovej chudoby jednočlennej domácnosti vo veku  65+ rokov (v </w:t>
            </w:r>
            <w:r w:rsidR="005C794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%</w:t>
            </w: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; 2014;, EU SILC, </w:t>
            </w:r>
            <w:proofErr w:type="spellStart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Eurostat</w:t>
            </w:r>
            <w:proofErr w:type="spellEnd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)</w:t>
            </w:r>
          </w:p>
        </w:tc>
        <w:tc>
          <w:tcPr>
            <w:tcW w:w="59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11,0</w:t>
            </w:r>
          </w:p>
        </w:tc>
        <w:tc>
          <w:tcPr>
            <w:tcW w:w="5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22,7</w:t>
            </w:r>
          </w:p>
        </w:tc>
        <w:tc>
          <w:tcPr>
            <w:tcW w:w="71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11,4</w:t>
            </w:r>
          </w:p>
        </w:tc>
        <w:tc>
          <w:tcPr>
            <w:tcW w:w="5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15,5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0,4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-7,2</w:t>
            </w:r>
          </w:p>
        </w:tc>
      </w:tr>
      <w:tr w:rsidR="00D75A0F" w:rsidRPr="00D75A0F" w:rsidTr="00D75A0F">
        <w:trPr>
          <w:trHeight w:val="283"/>
        </w:trPr>
        <w:tc>
          <w:tcPr>
            <w:tcW w:w="563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Podiel ľudí žijúcich v domácnostiach s nízkou intenzitou práce (v </w:t>
            </w:r>
            <w:r w:rsidR="005C794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%</w:t>
            </w: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; populácia 0-59 rokov, 2014, EU SILC, </w:t>
            </w:r>
            <w:proofErr w:type="spellStart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Eurostat</w:t>
            </w:r>
            <w:proofErr w:type="spellEnd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)</w:t>
            </w:r>
          </w:p>
        </w:tc>
        <w:tc>
          <w:tcPr>
            <w:tcW w:w="59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7,0</w:t>
            </w:r>
          </w:p>
        </w:tc>
        <w:tc>
          <w:tcPr>
            <w:tcW w:w="5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FC4304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>
              <w:rPr>
                <w:color w:val="000000"/>
                <w:sz w:val="16"/>
                <w:szCs w:val="16"/>
                <w:lang w:eastAsia="sk-SK" w:bidi="ar-SA"/>
              </w:rPr>
              <w:t>11,6</w:t>
            </w:r>
          </w:p>
        </w:tc>
        <w:tc>
          <w:tcPr>
            <w:tcW w:w="71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7,2</w:t>
            </w:r>
          </w:p>
        </w:tc>
        <w:tc>
          <w:tcPr>
            <w:tcW w:w="5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FC4304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>
              <w:rPr>
                <w:color w:val="000000"/>
                <w:sz w:val="16"/>
                <w:szCs w:val="16"/>
                <w:lang w:eastAsia="sk-SK" w:bidi="ar-SA"/>
              </w:rPr>
              <w:t>10,7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0,2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-0,9</w:t>
            </w:r>
          </w:p>
        </w:tc>
      </w:tr>
      <w:tr w:rsidR="00D75A0F" w:rsidRPr="00D75A0F" w:rsidTr="00D75A0F">
        <w:trPr>
          <w:trHeight w:val="283"/>
        </w:trPr>
        <w:tc>
          <w:tcPr>
            <w:tcW w:w="563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Miera pretrvávajúcej príjmovej chudoby (v </w:t>
            </w:r>
            <w:r w:rsidR="005C794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%</w:t>
            </w: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; 2014; EU SILC, </w:t>
            </w:r>
            <w:proofErr w:type="spellStart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Eurostat</w:t>
            </w:r>
            <w:proofErr w:type="spellEnd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)</w:t>
            </w:r>
          </w:p>
        </w:tc>
        <w:tc>
          <w:tcPr>
            <w:tcW w:w="59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7,4</w:t>
            </w:r>
          </w:p>
        </w:tc>
        <w:tc>
          <w:tcPr>
            <w:tcW w:w="5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10,8</w:t>
            </w:r>
          </w:p>
        </w:tc>
        <w:tc>
          <w:tcPr>
            <w:tcW w:w="71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6,7</w:t>
            </w:r>
          </w:p>
        </w:tc>
        <w:tc>
          <w:tcPr>
            <w:tcW w:w="5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10,0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-0,7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-0,8</w:t>
            </w:r>
          </w:p>
        </w:tc>
      </w:tr>
      <w:tr w:rsidR="00D75A0F" w:rsidRPr="00D75A0F" w:rsidTr="00D75A0F">
        <w:trPr>
          <w:trHeight w:val="283"/>
        </w:trPr>
        <w:tc>
          <w:tcPr>
            <w:tcW w:w="563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Miera vyhranenej materiálnej deprivácie (v </w:t>
            </w:r>
            <w:r w:rsidR="005C794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%</w:t>
            </w: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; 4 a viac položiek; </w:t>
            </w: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lastRenderedPageBreak/>
              <w:t xml:space="preserve">2014, EU SILC, </w:t>
            </w:r>
            <w:proofErr w:type="spellStart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Eurostat</w:t>
            </w:r>
            <w:proofErr w:type="spellEnd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)</w:t>
            </w:r>
          </w:p>
        </w:tc>
        <w:tc>
          <w:tcPr>
            <w:tcW w:w="59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lastRenderedPageBreak/>
              <w:t>10,0</w:t>
            </w:r>
          </w:p>
        </w:tc>
        <w:tc>
          <w:tcPr>
            <w:tcW w:w="5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FC4304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9,</w:t>
            </w:r>
            <w:r w:rsidR="00FC4304">
              <w:rPr>
                <w:color w:val="000000"/>
                <w:sz w:val="16"/>
                <w:szCs w:val="16"/>
                <w:lang w:eastAsia="sk-SK" w:bidi="ar-SA"/>
              </w:rPr>
              <w:t>0</w:t>
            </w:r>
          </w:p>
        </w:tc>
        <w:tc>
          <w:tcPr>
            <w:tcW w:w="71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9,7</w:t>
            </w:r>
          </w:p>
        </w:tc>
        <w:tc>
          <w:tcPr>
            <w:tcW w:w="5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8,8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-0,3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FC4304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>
              <w:rPr>
                <w:color w:val="000000"/>
                <w:sz w:val="16"/>
                <w:szCs w:val="16"/>
                <w:lang w:eastAsia="sk-SK" w:bidi="ar-SA"/>
              </w:rPr>
              <w:t>-0,2</w:t>
            </w:r>
          </w:p>
        </w:tc>
      </w:tr>
      <w:tr w:rsidR="00D75A0F" w:rsidRPr="00D75A0F" w:rsidTr="00D75A0F">
        <w:trPr>
          <w:trHeight w:val="283"/>
        </w:trPr>
        <w:tc>
          <w:tcPr>
            <w:tcW w:w="563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lastRenderedPageBreak/>
              <w:t xml:space="preserve">Miera rizika chudoby alebo sociálneho vylúčenia (v </w:t>
            </w:r>
            <w:r w:rsidR="005C794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%</w:t>
            </w: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; 2014, EU SILC, </w:t>
            </w:r>
            <w:proofErr w:type="spellStart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Eurostat</w:t>
            </w:r>
            <w:proofErr w:type="spellEnd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)</w:t>
            </w:r>
          </w:p>
        </w:tc>
        <w:tc>
          <w:tcPr>
            <w:tcW w:w="59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18,7</w:t>
            </w:r>
          </w:p>
        </w:tc>
        <w:tc>
          <w:tcPr>
            <w:tcW w:w="5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25,2</w:t>
            </w:r>
          </w:p>
        </w:tc>
        <w:tc>
          <w:tcPr>
            <w:tcW w:w="71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18,1</w:t>
            </w:r>
          </w:p>
        </w:tc>
        <w:tc>
          <w:tcPr>
            <w:tcW w:w="5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FC4304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>
              <w:rPr>
                <w:color w:val="000000"/>
                <w:sz w:val="16"/>
                <w:szCs w:val="16"/>
                <w:lang w:eastAsia="sk-SK" w:bidi="ar-SA"/>
              </w:rPr>
              <w:t>23,6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-0,6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FC4304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-1,</w:t>
            </w:r>
            <w:r w:rsidR="00FC4304">
              <w:rPr>
                <w:color w:val="000000"/>
                <w:sz w:val="16"/>
                <w:szCs w:val="16"/>
                <w:lang w:eastAsia="sk-SK" w:bidi="ar-SA"/>
              </w:rPr>
              <w:t>6</w:t>
            </w:r>
          </w:p>
        </w:tc>
      </w:tr>
      <w:tr w:rsidR="00D75A0F" w:rsidRPr="00D75A0F" w:rsidTr="00D75A0F">
        <w:trPr>
          <w:trHeight w:val="283"/>
        </w:trPr>
        <w:tc>
          <w:tcPr>
            <w:tcW w:w="563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Miera rizika chudoby a/alebo sociálneho vylúčenia starších (v </w:t>
            </w:r>
            <w:r w:rsidR="005C794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%</w:t>
            </w: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; 55+ rokov; 2014; EU SILC, </w:t>
            </w:r>
            <w:proofErr w:type="spellStart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Eurostat</w:t>
            </w:r>
            <w:proofErr w:type="spellEnd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)</w:t>
            </w:r>
          </w:p>
        </w:tc>
        <w:tc>
          <w:tcPr>
            <w:tcW w:w="59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16,7</w:t>
            </w:r>
          </w:p>
        </w:tc>
        <w:tc>
          <w:tcPr>
            <w:tcW w:w="5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23,0</w:t>
            </w:r>
          </w:p>
        </w:tc>
        <w:tc>
          <w:tcPr>
            <w:tcW w:w="71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14,7</w:t>
            </w:r>
          </w:p>
        </w:tc>
        <w:tc>
          <w:tcPr>
            <w:tcW w:w="5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18,5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-2,0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-4,5</w:t>
            </w:r>
          </w:p>
        </w:tc>
      </w:tr>
      <w:tr w:rsidR="00D75A0F" w:rsidRPr="00D75A0F" w:rsidTr="00D75A0F">
        <w:trPr>
          <w:trHeight w:val="283"/>
        </w:trPr>
        <w:tc>
          <w:tcPr>
            <w:tcW w:w="563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Priemerná mesačná výška sólo starobných dôchodkov (v EUR a rozdiel v </w:t>
            </w:r>
            <w:r w:rsidR="005C794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%</w:t>
            </w: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,  2013, Sociálna poisťovňa)</w:t>
            </w:r>
          </w:p>
        </w:tc>
        <w:tc>
          <w:tcPr>
            <w:tcW w:w="59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</w:p>
        </w:tc>
        <w:tc>
          <w:tcPr>
            <w:tcW w:w="5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proofErr w:type="spellStart"/>
            <w:r w:rsidRPr="00D75A0F">
              <w:rPr>
                <w:color w:val="000000"/>
                <w:sz w:val="16"/>
                <w:szCs w:val="16"/>
                <w:lang w:eastAsia="sk-SK" w:bidi="ar-SA"/>
              </w:rPr>
              <w:t>n.a</w:t>
            </w:r>
            <w:proofErr w:type="spellEnd"/>
            <w:r w:rsidRPr="00D75A0F">
              <w:rPr>
                <w:color w:val="000000"/>
                <w:sz w:val="16"/>
                <w:szCs w:val="16"/>
                <w:lang w:eastAsia="sk-SK" w:bidi="ar-SA"/>
              </w:rPr>
              <w:t>.</w:t>
            </w:r>
          </w:p>
        </w:tc>
        <w:tc>
          <w:tcPr>
            <w:tcW w:w="71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rPr>
                <w:color w:val="000000"/>
                <w:sz w:val="16"/>
                <w:szCs w:val="16"/>
                <w:lang w:eastAsia="sk-SK" w:bidi="ar-SA"/>
              </w:rPr>
            </w:pPr>
          </w:p>
        </w:tc>
        <w:tc>
          <w:tcPr>
            <w:tcW w:w="5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proofErr w:type="spellStart"/>
            <w:r w:rsidRPr="00D75A0F">
              <w:rPr>
                <w:color w:val="000000"/>
                <w:sz w:val="16"/>
                <w:szCs w:val="16"/>
                <w:lang w:eastAsia="sk-SK" w:bidi="ar-SA"/>
              </w:rPr>
              <w:t>n.a</w:t>
            </w:r>
            <w:proofErr w:type="spellEnd"/>
            <w:r w:rsidRPr="00D75A0F">
              <w:rPr>
                <w:color w:val="000000"/>
                <w:sz w:val="16"/>
                <w:szCs w:val="16"/>
                <w:lang w:eastAsia="sk-SK" w:bidi="ar-SA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proofErr w:type="spellStart"/>
            <w:r w:rsidRPr="00D75A0F">
              <w:rPr>
                <w:color w:val="000000"/>
                <w:sz w:val="16"/>
                <w:szCs w:val="16"/>
                <w:lang w:eastAsia="sk-SK" w:bidi="ar-SA"/>
              </w:rPr>
              <w:t>n.a</w:t>
            </w:r>
            <w:proofErr w:type="spellEnd"/>
            <w:r w:rsidRPr="00D75A0F">
              <w:rPr>
                <w:color w:val="000000"/>
                <w:sz w:val="16"/>
                <w:szCs w:val="16"/>
                <w:lang w:eastAsia="sk-SK" w:bidi="ar-SA"/>
              </w:rPr>
              <w:t>.</w:t>
            </w:r>
          </w:p>
        </w:tc>
      </w:tr>
      <w:tr w:rsidR="00D75A0F" w:rsidRPr="00D75A0F" w:rsidTr="00D75A0F">
        <w:trPr>
          <w:trHeight w:val="283"/>
        </w:trPr>
        <w:tc>
          <w:tcPr>
            <w:tcW w:w="563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Priemerný rodový rozdiel v dôchodkoch (v </w:t>
            </w:r>
            <w:r w:rsidR="005C794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%</w:t>
            </w: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; veková skupina 65-74 rokov; 2014, EU-SILC, GR)</w:t>
            </w:r>
          </w:p>
        </w:tc>
        <w:tc>
          <w:tcPr>
            <w:tcW w:w="3111" w:type="dxa"/>
            <w:gridSpan w:val="11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8,3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40,2</w:t>
            </w:r>
          </w:p>
        </w:tc>
      </w:tr>
      <w:tr w:rsidR="00D75A0F" w:rsidRPr="00D75A0F" w:rsidTr="00D75A0F">
        <w:trPr>
          <w:trHeight w:val="283"/>
        </w:trPr>
        <w:tc>
          <w:tcPr>
            <w:tcW w:w="563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Stredná dĺžka života pri narodení (v rokoch; 2014, ŠÚ SR a </w:t>
            </w:r>
            <w:proofErr w:type="spellStart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Eurostat</w:t>
            </w:r>
            <w:proofErr w:type="spellEnd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)</w:t>
            </w:r>
          </w:p>
        </w:tc>
        <w:tc>
          <w:tcPr>
            <w:tcW w:w="59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27301A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80,</w:t>
            </w:r>
            <w:r w:rsidR="0027301A">
              <w:rPr>
                <w:color w:val="000000"/>
                <w:sz w:val="16"/>
                <w:szCs w:val="16"/>
                <w:lang w:eastAsia="sk-SK" w:bidi="ar-SA"/>
              </w:rPr>
              <w:t>0</w:t>
            </w:r>
          </w:p>
        </w:tc>
        <w:tc>
          <w:tcPr>
            <w:tcW w:w="5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83,6</w:t>
            </w:r>
          </w:p>
        </w:tc>
        <w:tc>
          <w:tcPr>
            <w:tcW w:w="71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27301A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73,</w:t>
            </w:r>
            <w:r w:rsidR="0027301A">
              <w:rPr>
                <w:color w:val="000000"/>
                <w:sz w:val="16"/>
                <w:szCs w:val="16"/>
                <w:lang w:eastAsia="sk-SK" w:bidi="ar-SA"/>
              </w:rPr>
              <w:t>2</w:t>
            </w:r>
          </w:p>
        </w:tc>
        <w:tc>
          <w:tcPr>
            <w:tcW w:w="5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78,1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27301A" w:rsidP="0027301A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-6</w:t>
            </w:r>
            <w:r w:rsidR="00D75A0F"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8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-5,5</w:t>
            </w:r>
          </w:p>
        </w:tc>
      </w:tr>
      <w:tr w:rsidR="00D75A0F" w:rsidRPr="00D75A0F" w:rsidTr="00D75A0F">
        <w:trPr>
          <w:trHeight w:val="283"/>
        </w:trPr>
        <w:tc>
          <w:tcPr>
            <w:tcW w:w="563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Stredná dĺžka života pri narodení – v zdraví (v rokoch; 2014, EK)</w:t>
            </w:r>
          </w:p>
        </w:tc>
        <w:tc>
          <w:tcPr>
            <w:tcW w:w="59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54,3</w:t>
            </w:r>
          </w:p>
        </w:tc>
        <w:tc>
          <w:tcPr>
            <w:tcW w:w="5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61,5</w:t>
            </w:r>
          </w:p>
        </w:tc>
        <w:tc>
          <w:tcPr>
            <w:tcW w:w="71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54,5</w:t>
            </w:r>
          </w:p>
        </w:tc>
        <w:tc>
          <w:tcPr>
            <w:tcW w:w="5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61,4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0,2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-0,1</w:t>
            </w:r>
          </w:p>
        </w:tc>
      </w:tr>
      <w:tr w:rsidR="00D75A0F" w:rsidRPr="00D75A0F" w:rsidTr="00D75A0F">
        <w:trPr>
          <w:trHeight w:val="283"/>
        </w:trPr>
        <w:tc>
          <w:tcPr>
            <w:tcW w:w="563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Samovraždy na 100 000 obyvateľov  (2012, EIGE)</w:t>
            </w:r>
          </w:p>
        </w:tc>
        <w:tc>
          <w:tcPr>
            <w:tcW w:w="59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2,7</w:t>
            </w:r>
          </w:p>
        </w:tc>
        <w:tc>
          <w:tcPr>
            <w:tcW w:w="5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4,9</w:t>
            </w:r>
          </w:p>
        </w:tc>
        <w:tc>
          <w:tcPr>
            <w:tcW w:w="71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21,1</w:t>
            </w:r>
          </w:p>
        </w:tc>
        <w:tc>
          <w:tcPr>
            <w:tcW w:w="5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19,4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18,4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14,5</w:t>
            </w:r>
          </w:p>
        </w:tc>
      </w:tr>
      <w:tr w:rsidR="00D75A0F" w:rsidRPr="00D75A0F" w:rsidTr="00D75A0F">
        <w:trPr>
          <w:trHeight w:val="283"/>
        </w:trPr>
        <w:tc>
          <w:tcPr>
            <w:tcW w:w="563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Politická participácia na  európskej úrovni (v </w:t>
            </w:r>
            <w:r w:rsidR="005C794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%</w:t>
            </w: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; Európsky parlament; 12/2015, GR)</w:t>
            </w:r>
          </w:p>
        </w:tc>
        <w:tc>
          <w:tcPr>
            <w:tcW w:w="59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30,8</w:t>
            </w:r>
          </w:p>
        </w:tc>
        <w:tc>
          <w:tcPr>
            <w:tcW w:w="5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37,0</w:t>
            </w:r>
          </w:p>
        </w:tc>
        <w:tc>
          <w:tcPr>
            <w:tcW w:w="71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69,2</w:t>
            </w:r>
          </w:p>
        </w:tc>
        <w:tc>
          <w:tcPr>
            <w:tcW w:w="5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63,0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38,4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26,0</w:t>
            </w:r>
          </w:p>
        </w:tc>
      </w:tr>
      <w:tr w:rsidR="00D75A0F" w:rsidRPr="00D75A0F" w:rsidTr="00D75A0F">
        <w:trPr>
          <w:trHeight w:val="283"/>
        </w:trPr>
        <w:tc>
          <w:tcPr>
            <w:tcW w:w="563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Politická participácia na národnej úrovni (v </w:t>
            </w:r>
            <w:r w:rsidR="005C794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%</w:t>
            </w: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;  národné parlamenty; 12/2015, GR)</w:t>
            </w:r>
          </w:p>
        </w:tc>
        <w:tc>
          <w:tcPr>
            <w:tcW w:w="59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20,0</w:t>
            </w:r>
          </w:p>
        </w:tc>
        <w:tc>
          <w:tcPr>
            <w:tcW w:w="5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29,0</w:t>
            </w:r>
          </w:p>
        </w:tc>
        <w:tc>
          <w:tcPr>
            <w:tcW w:w="71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80,0</w:t>
            </w:r>
          </w:p>
        </w:tc>
        <w:tc>
          <w:tcPr>
            <w:tcW w:w="5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71,0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60,0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42,0</w:t>
            </w:r>
          </w:p>
        </w:tc>
      </w:tr>
      <w:tr w:rsidR="00D75A0F" w:rsidRPr="00D75A0F" w:rsidTr="00D75A0F">
        <w:trPr>
          <w:trHeight w:val="283"/>
        </w:trPr>
        <w:tc>
          <w:tcPr>
            <w:tcW w:w="563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Politická participácia v národných vládach (v </w:t>
            </w:r>
            <w:r w:rsidR="005C794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%</w:t>
            </w: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; 12/2015, GR)</w:t>
            </w:r>
          </w:p>
        </w:tc>
        <w:tc>
          <w:tcPr>
            <w:tcW w:w="59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0</w:t>
            </w:r>
          </w:p>
        </w:tc>
        <w:tc>
          <w:tcPr>
            <w:tcW w:w="5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28,0</w:t>
            </w:r>
          </w:p>
        </w:tc>
        <w:tc>
          <w:tcPr>
            <w:tcW w:w="71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100,0</w:t>
            </w:r>
          </w:p>
        </w:tc>
        <w:tc>
          <w:tcPr>
            <w:tcW w:w="5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72,0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44,0</w:t>
            </w:r>
          </w:p>
        </w:tc>
      </w:tr>
      <w:tr w:rsidR="00D75A0F" w:rsidRPr="00D75A0F" w:rsidTr="00D75A0F">
        <w:trPr>
          <w:trHeight w:val="283"/>
        </w:trPr>
        <w:tc>
          <w:tcPr>
            <w:tcW w:w="563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Politická participácia vo vedení regionálnych zastupiteľstiev (v </w:t>
            </w:r>
            <w:r w:rsidR="005C794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%</w:t>
            </w: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; 12/2015, GR)</w:t>
            </w:r>
          </w:p>
        </w:tc>
        <w:tc>
          <w:tcPr>
            <w:tcW w:w="59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0</w:t>
            </w:r>
          </w:p>
        </w:tc>
        <w:tc>
          <w:tcPr>
            <w:tcW w:w="5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11,0</w:t>
            </w:r>
          </w:p>
        </w:tc>
        <w:tc>
          <w:tcPr>
            <w:tcW w:w="71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100,0</w:t>
            </w:r>
          </w:p>
        </w:tc>
        <w:tc>
          <w:tcPr>
            <w:tcW w:w="5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89,0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78,0</w:t>
            </w:r>
          </w:p>
        </w:tc>
      </w:tr>
      <w:tr w:rsidR="00D75A0F" w:rsidRPr="00D75A0F" w:rsidTr="00D75A0F">
        <w:trPr>
          <w:trHeight w:val="283"/>
        </w:trPr>
        <w:tc>
          <w:tcPr>
            <w:tcW w:w="563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Politická participácia na regionálnej úrovni ( v </w:t>
            </w:r>
            <w:r w:rsidR="005C794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%</w:t>
            </w: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; regionálne zastupiteľstvá; 12/2015, EC)</w:t>
            </w:r>
          </w:p>
        </w:tc>
        <w:tc>
          <w:tcPr>
            <w:tcW w:w="59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15,0</w:t>
            </w:r>
          </w:p>
        </w:tc>
        <w:tc>
          <w:tcPr>
            <w:tcW w:w="5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33,0</w:t>
            </w:r>
          </w:p>
        </w:tc>
        <w:tc>
          <w:tcPr>
            <w:tcW w:w="71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85,0</w:t>
            </w:r>
          </w:p>
        </w:tc>
        <w:tc>
          <w:tcPr>
            <w:tcW w:w="5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67,0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70,0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34,0</w:t>
            </w:r>
          </w:p>
        </w:tc>
      </w:tr>
      <w:tr w:rsidR="00D75A0F" w:rsidRPr="00D75A0F" w:rsidTr="00D75A0F">
        <w:trPr>
          <w:trHeight w:val="283"/>
        </w:trPr>
        <w:tc>
          <w:tcPr>
            <w:tcW w:w="563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Politická participácia na úrovni miest a obcí – primátori/-</w:t>
            </w:r>
            <w:proofErr w:type="spellStart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ky</w:t>
            </w:r>
            <w:proofErr w:type="spellEnd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a starostovia/-</w:t>
            </w:r>
            <w:proofErr w:type="spellStart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tky</w:t>
            </w:r>
            <w:proofErr w:type="spellEnd"/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 (v </w:t>
            </w:r>
            <w:r w:rsidR="005C794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%</w:t>
            </w: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; 12/2015, EIGE)</w:t>
            </w:r>
          </w:p>
        </w:tc>
        <w:tc>
          <w:tcPr>
            <w:tcW w:w="59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23,0</w:t>
            </w:r>
          </w:p>
        </w:tc>
        <w:tc>
          <w:tcPr>
            <w:tcW w:w="5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15,0</w:t>
            </w:r>
          </w:p>
        </w:tc>
        <w:tc>
          <w:tcPr>
            <w:tcW w:w="71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77,0</w:t>
            </w:r>
          </w:p>
        </w:tc>
        <w:tc>
          <w:tcPr>
            <w:tcW w:w="5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85,0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54,0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70,0</w:t>
            </w:r>
          </w:p>
        </w:tc>
      </w:tr>
      <w:tr w:rsidR="00D75A0F" w:rsidRPr="00D75A0F" w:rsidTr="00D75A0F">
        <w:trPr>
          <w:trHeight w:val="283"/>
        </w:trPr>
        <w:tc>
          <w:tcPr>
            <w:tcW w:w="563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Politická participácia – vedenie politických strán s najmenej 5 </w:t>
            </w:r>
            <w:r w:rsidR="005C794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%</w:t>
            </w: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miest v národných parlamentoch (v </w:t>
            </w:r>
            <w:r w:rsidR="005C794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%</w:t>
            </w: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; 12/2015, EIGE)</w:t>
            </w:r>
          </w:p>
        </w:tc>
        <w:tc>
          <w:tcPr>
            <w:tcW w:w="59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0</w:t>
            </w:r>
          </w:p>
        </w:tc>
        <w:tc>
          <w:tcPr>
            <w:tcW w:w="5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17,0</w:t>
            </w:r>
          </w:p>
        </w:tc>
        <w:tc>
          <w:tcPr>
            <w:tcW w:w="71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100,0</w:t>
            </w:r>
          </w:p>
        </w:tc>
        <w:tc>
          <w:tcPr>
            <w:tcW w:w="5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83,0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66,0</w:t>
            </w:r>
          </w:p>
        </w:tc>
      </w:tr>
      <w:tr w:rsidR="00D75A0F" w:rsidRPr="00D75A0F" w:rsidTr="00D75A0F">
        <w:trPr>
          <w:trHeight w:val="283"/>
        </w:trPr>
        <w:tc>
          <w:tcPr>
            <w:tcW w:w="563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Miera participácie na riadení v najväčších firmách kótovaných na burze (v </w:t>
            </w:r>
            <w:r w:rsidR="005C794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%</w:t>
            </w: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; 10/2015, EC)</w:t>
            </w:r>
          </w:p>
        </w:tc>
        <w:tc>
          <w:tcPr>
            <w:tcW w:w="59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12,7</w:t>
            </w:r>
          </w:p>
        </w:tc>
        <w:tc>
          <w:tcPr>
            <w:tcW w:w="5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22,7</w:t>
            </w:r>
          </w:p>
        </w:tc>
        <w:tc>
          <w:tcPr>
            <w:tcW w:w="71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87,3</w:t>
            </w:r>
          </w:p>
        </w:tc>
        <w:tc>
          <w:tcPr>
            <w:tcW w:w="5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77,3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-65,0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-54,6</w:t>
            </w:r>
          </w:p>
        </w:tc>
      </w:tr>
      <w:tr w:rsidR="00D75A0F" w:rsidRPr="00D75A0F" w:rsidTr="00D75A0F">
        <w:trPr>
          <w:trHeight w:val="283"/>
        </w:trPr>
        <w:tc>
          <w:tcPr>
            <w:tcW w:w="563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Rodová skladba najvyššieho súdu (v </w:t>
            </w:r>
            <w:r w:rsidR="005C794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 xml:space="preserve"> %</w:t>
            </w: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; 12/2015, EIGE)</w:t>
            </w:r>
          </w:p>
        </w:tc>
        <w:tc>
          <w:tcPr>
            <w:tcW w:w="59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55,0</w:t>
            </w:r>
          </w:p>
        </w:tc>
        <w:tc>
          <w:tcPr>
            <w:tcW w:w="5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39,0</w:t>
            </w:r>
          </w:p>
        </w:tc>
        <w:tc>
          <w:tcPr>
            <w:tcW w:w="71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45,0</w:t>
            </w:r>
          </w:p>
        </w:tc>
        <w:tc>
          <w:tcPr>
            <w:tcW w:w="5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61,0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ind w:left="52"/>
              <w:jc w:val="center"/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16"/>
                <w:szCs w:val="16"/>
                <w:lang w:eastAsia="sk-SK" w:bidi="ar-SA"/>
              </w:rPr>
              <w:t>-10,0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sk-SK" w:bidi="ar-SA"/>
              </w:rPr>
            </w:pPr>
            <w:r w:rsidRPr="00D75A0F">
              <w:rPr>
                <w:color w:val="000000"/>
                <w:sz w:val="16"/>
                <w:szCs w:val="16"/>
                <w:lang w:eastAsia="sk-SK" w:bidi="ar-SA"/>
              </w:rPr>
              <w:t>22,0</w:t>
            </w:r>
          </w:p>
        </w:tc>
      </w:tr>
      <w:tr w:rsidR="00D75A0F" w:rsidRPr="00D75A0F" w:rsidTr="00D75A0F">
        <w:trPr>
          <w:trHeight w:val="283"/>
        </w:trPr>
        <w:tc>
          <w:tcPr>
            <w:tcW w:w="563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ap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aps/>
                <w:color w:val="000000"/>
                <w:sz w:val="18"/>
                <w:szCs w:val="18"/>
                <w:lang w:eastAsia="sk-SK" w:bidi="ar-SA"/>
              </w:rPr>
              <w:t xml:space="preserve">Index rodovej rovnosti </w:t>
            </w:r>
          </w:p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caps/>
                <w:color w:val="000000"/>
                <w:sz w:val="18"/>
                <w:szCs w:val="18"/>
                <w:lang w:eastAsia="sk-SK" w:bidi="ar-SA"/>
              </w:rPr>
            </w:pPr>
            <w:r w:rsidRPr="00D75A0F">
              <w:rPr>
                <w:b/>
                <w:bCs/>
                <w:caps/>
                <w:color w:val="000000"/>
                <w:sz w:val="18"/>
                <w:szCs w:val="18"/>
                <w:lang w:eastAsia="sk-SK" w:bidi="ar-SA"/>
              </w:rPr>
              <w:t>(</w:t>
            </w:r>
            <w:r w:rsidRPr="00D75A0F">
              <w:rPr>
                <w:b/>
                <w:bCs/>
                <w:color w:val="000000"/>
                <w:sz w:val="18"/>
                <w:szCs w:val="18"/>
                <w:lang w:eastAsia="sk-SK" w:bidi="ar-SA"/>
              </w:rPr>
              <w:t>v</w:t>
            </w:r>
            <w:r w:rsidRPr="00D75A0F">
              <w:rPr>
                <w:b/>
                <w:bCs/>
                <w:caps/>
                <w:color w:val="000000"/>
                <w:sz w:val="18"/>
                <w:szCs w:val="18"/>
                <w:lang w:eastAsia="sk-SK" w:bidi="ar-SA"/>
              </w:rPr>
              <w:t xml:space="preserve"> </w:t>
            </w:r>
            <w:r w:rsidR="005C794F">
              <w:rPr>
                <w:b/>
                <w:bCs/>
                <w:caps/>
                <w:color w:val="000000"/>
                <w:sz w:val="18"/>
                <w:szCs w:val="18"/>
                <w:lang w:eastAsia="sk-SK" w:bidi="ar-SA"/>
              </w:rPr>
              <w:t xml:space="preserve"> %</w:t>
            </w:r>
            <w:r w:rsidRPr="00D75A0F">
              <w:rPr>
                <w:b/>
                <w:bCs/>
                <w:caps/>
                <w:color w:val="000000"/>
                <w:sz w:val="18"/>
                <w:szCs w:val="18"/>
                <w:lang w:eastAsia="sk-SK" w:bidi="ar-SA"/>
              </w:rPr>
              <w:t>; 2012/ 2010/ 2005, EIGE)</w:t>
            </w:r>
          </w:p>
        </w:tc>
        <w:tc>
          <w:tcPr>
            <w:tcW w:w="3111" w:type="dxa"/>
            <w:gridSpan w:val="11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right"/>
              <w:rPr>
                <w:bCs/>
                <w:color w:val="000000"/>
                <w:sz w:val="22"/>
                <w:lang w:eastAsia="sk-SK" w:bidi="ar-SA"/>
              </w:rPr>
            </w:pPr>
            <w:r w:rsidRPr="00D75A0F">
              <w:rPr>
                <w:b/>
                <w:bCs/>
                <w:color w:val="000000"/>
                <w:sz w:val="22"/>
                <w:lang w:eastAsia="sk-SK" w:bidi="ar-SA"/>
              </w:rPr>
              <w:t>36,5</w:t>
            </w:r>
            <w:r w:rsidRPr="00D75A0F">
              <w:rPr>
                <w:bCs/>
                <w:color w:val="000000"/>
                <w:sz w:val="22"/>
                <w:lang w:eastAsia="sk-SK" w:bidi="ar-SA"/>
              </w:rPr>
              <w:t>/ 39,8/ 41,5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D75A0F" w:rsidRPr="00D75A0F" w:rsidRDefault="00D75A0F" w:rsidP="00D75A0F">
            <w:pPr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lang w:eastAsia="sk-SK" w:bidi="ar-SA"/>
              </w:rPr>
            </w:pPr>
            <w:r w:rsidRPr="00D75A0F">
              <w:rPr>
                <w:color w:val="000000"/>
                <w:sz w:val="22"/>
                <w:lang w:eastAsia="sk-SK" w:bidi="ar-SA"/>
              </w:rPr>
              <w:t>52,8</w:t>
            </w:r>
          </w:p>
        </w:tc>
      </w:tr>
    </w:tbl>
    <w:p w:rsidR="00D75A0F" w:rsidRPr="00D75A0F" w:rsidRDefault="00D75A0F" w:rsidP="00D75A0F">
      <w:pPr>
        <w:shd w:val="clear" w:color="auto" w:fill="auto"/>
        <w:autoSpaceDE w:val="0"/>
        <w:autoSpaceDN w:val="0"/>
        <w:adjustRightInd w:val="0"/>
        <w:spacing w:after="60" w:line="240" w:lineRule="auto"/>
        <w:rPr>
          <w:b/>
          <w:sz w:val="20"/>
          <w:szCs w:val="20"/>
          <w:lang w:eastAsia="sk-SK" w:bidi="ar-SA"/>
        </w:rPr>
      </w:pPr>
      <w:r w:rsidRPr="00D75A0F">
        <w:rPr>
          <w:b/>
          <w:sz w:val="20"/>
          <w:szCs w:val="20"/>
          <w:lang w:eastAsia="sk-SK" w:bidi="ar-SA"/>
        </w:rPr>
        <w:t xml:space="preserve">Poznámky: </w:t>
      </w:r>
    </w:p>
    <w:p w:rsidR="00D75A0F" w:rsidRPr="00D75A0F" w:rsidRDefault="00D75A0F" w:rsidP="00D75A0F">
      <w:pPr>
        <w:shd w:val="clear" w:color="auto" w:fill="auto"/>
        <w:autoSpaceDE w:val="0"/>
        <w:autoSpaceDN w:val="0"/>
        <w:adjustRightInd w:val="0"/>
        <w:spacing w:after="60" w:line="240" w:lineRule="auto"/>
        <w:rPr>
          <w:sz w:val="20"/>
          <w:szCs w:val="20"/>
          <w:lang w:eastAsia="sk-SK" w:bidi="ar-SA"/>
        </w:rPr>
      </w:pPr>
      <w:r w:rsidRPr="00D75A0F">
        <w:rPr>
          <w:sz w:val="20"/>
          <w:szCs w:val="20"/>
          <w:lang w:eastAsia="sk-SK" w:bidi="ar-SA"/>
        </w:rPr>
        <w:t>Rodový rozdiel = hodnoty mužov mínus hodnoty žien v percentuálnych bodoch.</w:t>
      </w:r>
    </w:p>
    <w:p w:rsidR="00D75A0F" w:rsidRPr="00D75A0F" w:rsidRDefault="00D75A0F" w:rsidP="00D75A0F">
      <w:pPr>
        <w:shd w:val="clear" w:color="auto" w:fill="auto"/>
        <w:autoSpaceDE w:val="0"/>
        <w:autoSpaceDN w:val="0"/>
        <w:adjustRightInd w:val="0"/>
        <w:spacing w:after="60" w:line="240" w:lineRule="auto"/>
        <w:jc w:val="left"/>
        <w:rPr>
          <w:sz w:val="20"/>
          <w:szCs w:val="20"/>
          <w:lang w:eastAsia="sk-SK" w:bidi="ar-SA"/>
        </w:rPr>
      </w:pPr>
      <w:proofErr w:type="spellStart"/>
      <w:r w:rsidRPr="00D75A0F">
        <w:rPr>
          <w:sz w:val="20"/>
          <w:szCs w:val="20"/>
          <w:lang w:eastAsia="sk-SK" w:bidi="ar-SA"/>
        </w:rPr>
        <w:t>n.a</w:t>
      </w:r>
      <w:proofErr w:type="spellEnd"/>
      <w:r w:rsidRPr="00D75A0F">
        <w:rPr>
          <w:sz w:val="20"/>
          <w:szCs w:val="20"/>
          <w:lang w:eastAsia="sk-SK" w:bidi="ar-SA"/>
        </w:rPr>
        <w:t>. = nedostupný údaj</w:t>
      </w:r>
    </w:p>
    <w:p w:rsidR="00D75A0F" w:rsidRPr="00D75A0F" w:rsidRDefault="00D75A0F" w:rsidP="00D75A0F">
      <w:pPr>
        <w:shd w:val="clear" w:color="auto" w:fill="auto"/>
        <w:autoSpaceDE w:val="0"/>
        <w:autoSpaceDN w:val="0"/>
        <w:adjustRightInd w:val="0"/>
        <w:spacing w:after="60" w:line="240" w:lineRule="auto"/>
        <w:jc w:val="left"/>
        <w:rPr>
          <w:sz w:val="20"/>
          <w:szCs w:val="20"/>
          <w:lang w:eastAsia="sk-SK" w:bidi="ar-SA"/>
        </w:rPr>
      </w:pPr>
      <w:r w:rsidRPr="00D75A0F">
        <w:rPr>
          <w:sz w:val="20"/>
          <w:szCs w:val="20"/>
          <w:lang w:eastAsia="sk-SK" w:bidi="ar-SA"/>
        </w:rPr>
        <w:t xml:space="preserve">ISSP = </w:t>
      </w:r>
      <w:proofErr w:type="spellStart"/>
      <w:r w:rsidRPr="00D75A0F">
        <w:rPr>
          <w:sz w:val="20"/>
          <w:szCs w:val="20"/>
          <w:lang w:eastAsia="sk-SK" w:bidi="ar-SA"/>
        </w:rPr>
        <w:t>International</w:t>
      </w:r>
      <w:proofErr w:type="spellEnd"/>
      <w:r w:rsidRPr="00D75A0F">
        <w:rPr>
          <w:sz w:val="20"/>
          <w:szCs w:val="20"/>
          <w:lang w:eastAsia="sk-SK" w:bidi="ar-SA"/>
        </w:rPr>
        <w:t xml:space="preserve"> </w:t>
      </w:r>
      <w:proofErr w:type="spellStart"/>
      <w:r w:rsidRPr="00D75A0F">
        <w:rPr>
          <w:sz w:val="20"/>
          <w:szCs w:val="20"/>
          <w:lang w:eastAsia="sk-SK" w:bidi="ar-SA"/>
        </w:rPr>
        <w:t>Social</w:t>
      </w:r>
      <w:proofErr w:type="spellEnd"/>
      <w:r w:rsidRPr="00D75A0F">
        <w:rPr>
          <w:sz w:val="20"/>
          <w:szCs w:val="20"/>
          <w:lang w:eastAsia="sk-SK" w:bidi="ar-SA"/>
        </w:rPr>
        <w:t xml:space="preserve"> </w:t>
      </w:r>
      <w:proofErr w:type="spellStart"/>
      <w:r w:rsidRPr="00D75A0F">
        <w:rPr>
          <w:sz w:val="20"/>
          <w:szCs w:val="20"/>
          <w:lang w:eastAsia="sk-SK" w:bidi="ar-SA"/>
        </w:rPr>
        <w:t>Survey</w:t>
      </w:r>
      <w:proofErr w:type="spellEnd"/>
      <w:r w:rsidRPr="00D75A0F">
        <w:rPr>
          <w:sz w:val="20"/>
          <w:szCs w:val="20"/>
          <w:lang w:eastAsia="sk-SK" w:bidi="ar-SA"/>
        </w:rPr>
        <w:t xml:space="preserve"> </w:t>
      </w:r>
      <w:proofErr w:type="spellStart"/>
      <w:r w:rsidRPr="00D75A0F">
        <w:rPr>
          <w:sz w:val="20"/>
          <w:szCs w:val="20"/>
          <w:lang w:eastAsia="sk-SK" w:bidi="ar-SA"/>
        </w:rPr>
        <w:t>Programme</w:t>
      </w:r>
      <w:proofErr w:type="spellEnd"/>
      <w:r w:rsidRPr="00D75A0F">
        <w:rPr>
          <w:sz w:val="20"/>
          <w:szCs w:val="20"/>
          <w:lang w:eastAsia="sk-SK" w:bidi="ar-SA"/>
        </w:rPr>
        <w:t>, Slovensko 2012.</w:t>
      </w:r>
    </w:p>
    <w:p w:rsidR="00D75A0F" w:rsidRPr="00D75A0F" w:rsidRDefault="00D75A0F" w:rsidP="00D75A0F">
      <w:pPr>
        <w:shd w:val="clear" w:color="auto" w:fill="auto"/>
        <w:autoSpaceDE w:val="0"/>
        <w:autoSpaceDN w:val="0"/>
        <w:adjustRightInd w:val="0"/>
        <w:spacing w:after="60" w:line="240" w:lineRule="auto"/>
        <w:jc w:val="left"/>
        <w:rPr>
          <w:sz w:val="20"/>
          <w:szCs w:val="20"/>
          <w:lang w:eastAsia="sk-SK" w:bidi="ar-SA"/>
        </w:rPr>
      </w:pPr>
      <w:r w:rsidRPr="00D75A0F">
        <w:rPr>
          <w:sz w:val="20"/>
          <w:szCs w:val="20"/>
          <w:lang w:eastAsia="sk-SK" w:bidi="ar-SA"/>
        </w:rPr>
        <w:t xml:space="preserve">** rozdiel v percentuálnych bodoch medzi ženami/mužmi s deťmi a ženami/mužmi bez detí. </w:t>
      </w:r>
    </w:p>
    <w:p w:rsidR="00D75A0F" w:rsidRPr="00D75A0F" w:rsidRDefault="00D75A0F" w:rsidP="00D75A0F">
      <w:pPr>
        <w:shd w:val="clear" w:color="auto" w:fill="auto"/>
        <w:autoSpaceDE w:val="0"/>
        <w:autoSpaceDN w:val="0"/>
        <w:adjustRightInd w:val="0"/>
        <w:spacing w:after="60" w:line="240" w:lineRule="auto"/>
        <w:rPr>
          <w:sz w:val="20"/>
          <w:szCs w:val="20"/>
          <w:lang w:eastAsia="sk-SK" w:bidi="ar-SA"/>
        </w:rPr>
      </w:pPr>
      <w:r w:rsidRPr="00D75A0F">
        <w:rPr>
          <w:sz w:val="20"/>
          <w:szCs w:val="20"/>
          <w:lang w:eastAsia="sk-SK" w:bidi="ar-SA"/>
        </w:rPr>
        <w:t xml:space="preserve">Riziko príjmovej chudoby = príjem pod hranicou 60 </w:t>
      </w:r>
      <w:r w:rsidR="005C794F">
        <w:rPr>
          <w:sz w:val="20"/>
          <w:szCs w:val="20"/>
          <w:lang w:eastAsia="sk-SK" w:bidi="ar-SA"/>
        </w:rPr>
        <w:t xml:space="preserve"> %</w:t>
      </w:r>
      <w:r w:rsidRPr="00D75A0F">
        <w:rPr>
          <w:sz w:val="20"/>
          <w:szCs w:val="20"/>
          <w:lang w:eastAsia="sk-SK" w:bidi="ar-SA"/>
        </w:rPr>
        <w:t xml:space="preserve"> mediánu národného disponibilného príjmu po sociálnych transferoch. </w:t>
      </w:r>
    </w:p>
    <w:p w:rsidR="00D75A0F" w:rsidRPr="00D75A0F" w:rsidRDefault="00D75A0F" w:rsidP="00D75A0F">
      <w:pPr>
        <w:shd w:val="clear" w:color="auto" w:fill="auto"/>
        <w:autoSpaceDE w:val="0"/>
        <w:autoSpaceDN w:val="0"/>
        <w:adjustRightInd w:val="0"/>
        <w:spacing w:after="60" w:line="240" w:lineRule="auto"/>
        <w:jc w:val="left"/>
        <w:rPr>
          <w:sz w:val="20"/>
          <w:szCs w:val="20"/>
          <w:lang w:eastAsia="sk-SK" w:bidi="ar-SA"/>
        </w:rPr>
      </w:pPr>
      <w:r w:rsidRPr="00D75A0F">
        <w:rPr>
          <w:sz w:val="20"/>
          <w:szCs w:val="20"/>
          <w:lang w:eastAsia="sk-SK" w:bidi="ar-SA"/>
        </w:rPr>
        <w:t xml:space="preserve">EC = Databáza Európskej komisie </w:t>
      </w:r>
      <w:r w:rsidRPr="00D75A0F">
        <w:rPr>
          <w:i/>
          <w:sz w:val="20"/>
          <w:szCs w:val="20"/>
          <w:lang w:eastAsia="sk-SK" w:bidi="ar-SA"/>
        </w:rPr>
        <w:t>Muži a ženy v riadiacich pozíciách</w:t>
      </w:r>
      <w:r w:rsidRPr="00D75A0F">
        <w:rPr>
          <w:sz w:val="20"/>
          <w:szCs w:val="20"/>
          <w:lang w:eastAsia="sk-SK" w:bidi="ar-SA"/>
        </w:rPr>
        <w:t xml:space="preserve">. Dostupné na: </w:t>
      </w:r>
      <w:hyperlink r:id="rId15" w:history="1">
        <w:r w:rsidRPr="00D75A0F">
          <w:rPr>
            <w:color w:val="0000FF"/>
            <w:sz w:val="20"/>
            <w:szCs w:val="20"/>
            <w:u w:val="single"/>
            <w:lang w:eastAsia="sk-SK" w:bidi="ar-SA"/>
          </w:rPr>
          <w:t>http://ec.europa.eu/justice/gender-equality/gender-decision-making/database/index_en.htm</w:t>
        </w:r>
      </w:hyperlink>
      <w:r w:rsidRPr="00D75A0F">
        <w:rPr>
          <w:sz w:val="20"/>
          <w:szCs w:val="20"/>
          <w:lang w:eastAsia="sk-SK" w:bidi="ar-SA"/>
        </w:rPr>
        <w:t xml:space="preserve">. </w:t>
      </w:r>
    </w:p>
    <w:p w:rsidR="00D75A0F" w:rsidRPr="00D75A0F" w:rsidRDefault="00D75A0F" w:rsidP="00D75A0F">
      <w:pPr>
        <w:shd w:val="clear" w:color="auto" w:fill="auto"/>
        <w:autoSpaceDE w:val="0"/>
        <w:autoSpaceDN w:val="0"/>
        <w:adjustRightInd w:val="0"/>
        <w:spacing w:after="60" w:line="240" w:lineRule="auto"/>
        <w:jc w:val="left"/>
        <w:rPr>
          <w:sz w:val="20"/>
          <w:szCs w:val="20"/>
          <w:lang w:eastAsia="sk-SK" w:bidi="ar-SA"/>
        </w:rPr>
      </w:pPr>
      <w:r w:rsidRPr="00D75A0F">
        <w:rPr>
          <w:sz w:val="20"/>
          <w:szCs w:val="20"/>
          <w:lang w:eastAsia="sk-SK" w:bidi="ar-SA"/>
        </w:rPr>
        <w:t xml:space="preserve">GR = Výročná správa o rodovej rovnosti: </w:t>
      </w:r>
      <w:r w:rsidRPr="00D75A0F">
        <w:rPr>
          <w:i/>
          <w:sz w:val="20"/>
          <w:szCs w:val="20"/>
          <w:lang w:eastAsia="sk-SK" w:bidi="ar-SA"/>
        </w:rPr>
        <w:t xml:space="preserve">Report on </w:t>
      </w:r>
      <w:proofErr w:type="spellStart"/>
      <w:r w:rsidRPr="00D75A0F">
        <w:rPr>
          <w:i/>
          <w:sz w:val="20"/>
          <w:szCs w:val="20"/>
          <w:lang w:eastAsia="sk-SK" w:bidi="ar-SA"/>
        </w:rPr>
        <w:t>Equality</w:t>
      </w:r>
      <w:proofErr w:type="spellEnd"/>
      <w:r w:rsidRPr="00D75A0F">
        <w:rPr>
          <w:i/>
          <w:sz w:val="20"/>
          <w:szCs w:val="20"/>
          <w:lang w:eastAsia="sk-SK" w:bidi="ar-SA"/>
        </w:rPr>
        <w:t xml:space="preserve"> </w:t>
      </w:r>
      <w:proofErr w:type="spellStart"/>
      <w:r w:rsidRPr="00D75A0F">
        <w:rPr>
          <w:i/>
          <w:sz w:val="20"/>
          <w:szCs w:val="20"/>
          <w:lang w:eastAsia="sk-SK" w:bidi="ar-SA"/>
        </w:rPr>
        <w:t>between</w:t>
      </w:r>
      <w:proofErr w:type="spellEnd"/>
      <w:r w:rsidRPr="00D75A0F">
        <w:rPr>
          <w:i/>
          <w:sz w:val="20"/>
          <w:szCs w:val="20"/>
          <w:lang w:eastAsia="sk-SK" w:bidi="ar-SA"/>
        </w:rPr>
        <w:t xml:space="preserve"> </w:t>
      </w:r>
      <w:proofErr w:type="spellStart"/>
      <w:r w:rsidRPr="00D75A0F">
        <w:rPr>
          <w:i/>
          <w:sz w:val="20"/>
          <w:szCs w:val="20"/>
          <w:lang w:eastAsia="sk-SK" w:bidi="ar-SA"/>
        </w:rPr>
        <w:t>Women</w:t>
      </w:r>
      <w:proofErr w:type="spellEnd"/>
      <w:r w:rsidRPr="00D75A0F">
        <w:rPr>
          <w:i/>
          <w:sz w:val="20"/>
          <w:szCs w:val="20"/>
          <w:lang w:eastAsia="sk-SK" w:bidi="ar-SA"/>
        </w:rPr>
        <w:t xml:space="preserve"> and </w:t>
      </w:r>
      <w:proofErr w:type="spellStart"/>
      <w:r w:rsidRPr="00D75A0F">
        <w:rPr>
          <w:i/>
          <w:sz w:val="20"/>
          <w:szCs w:val="20"/>
          <w:lang w:eastAsia="sk-SK" w:bidi="ar-SA"/>
        </w:rPr>
        <w:t>Men</w:t>
      </w:r>
      <w:proofErr w:type="spellEnd"/>
      <w:r w:rsidRPr="00D75A0F">
        <w:rPr>
          <w:i/>
          <w:sz w:val="20"/>
          <w:szCs w:val="20"/>
          <w:lang w:eastAsia="sk-SK" w:bidi="ar-SA"/>
        </w:rPr>
        <w:t xml:space="preserve"> 2015. </w:t>
      </w:r>
      <w:r w:rsidRPr="00D75A0F">
        <w:rPr>
          <w:sz w:val="20"/>
          <w:szCs w:val="20"/>
          <w:lang w:eastAsia="sk-SK" w:bidi="ar-SA"/>
        </w:rPr>
        <w:t xml:space="preserve">Dostupné na: </w:t>
      </w:r>
      <w:hyperlink r:id="rId16" w:history="1">
        <w:r w:rsidRPr="00D75A0F">
          <w:rPr>
            <w:color w:val="0000FF"/>
            <w:sz w:val="20"/>
            <w:szCs w:val="20"/>
            <w:u w:val="single"/>
            <w:lang w:eastAsia="sk-SK" w:bidi="ar-SA"/>
          </w:rPr>
          <w:t>http://www.equineteurope.org/IMG/pdf/2016_annual_report_2015_web_en.pdf</w:t>
        </w:r>
      </w:hyperlink>
      <w:r w:rsidRPr="00D75A0F">
        <w:rPr>
          <w:sz w:val="20"/>
          <w:szCs w:val="20"/>
          <w:lang w:eastAsia="sk-SK" w:bidi="ar-SA"/>
        </w:rPr>
        <w:t xml:space="preserve">.  </w:t>
      </w:r>
    </w:p>
    <w:p w:rsidR="00D75A0F" w:rsidRPr="00D75A0F" w:rsidRDefault="00D75A0F" w:rsidP="00D75A0F">
      <w:pPr>
        <w:shd w:val="clear" w:color="auto" w:fill="auto"/>
        <w:autoSpaceDE w:val="0"/>
        <w:autoSpaceDN w:val="0"/>
        <w:adjustRightInd w:val="0"/>
        <w:spacing w:after="60" w:line="240" w:lineRule="auto"/>
        <w:jc w:val="left"/>
        <w:rPr>
          <w:sz w:val="20"/>
          <w:szCs w:val="20"/>
          <w:lang w:eastAsia="sk-SK" w:bidi="ar-SA"/>
        </w:rPr>
      </w:pPr>
      <w:r w:rsidRPr="00D75A0F">
        <w:rPr>
          <w:sz w:val="20"/>
          <w:szCs w:val="20"/>
          <w:lang w:eastAsia="sk-SK" w:bidi="ar-SA"/>
        </w:rPr>
        <w:t xml:space="preserve">EK = Výročná správa Európskej komisie: </w:t>
      </w:r>
      <w:proofErr w:type="spellStart"/>
      <w:r w:rsidRPr="00D75A0F">
        <w:rPr>
          <w:i/>
          <w:sz w:val="20"/>
          <w:szCs w:val="20"/>
          <w:lang w:eastAsia="sk-SK" w:bidi="ar-SA"/>
        </w:rPr>
        <w:t>Emloyment</w:t>
      </w:r>
      <w:proofErr w:type="spellEnd"/>
      <w:r w:rsidRPr="00D75A0F">
        <w:rPr>
          <w:i/>
          <w:sz w:val="20"/>
          <w:szCs w:val="20"/>
          <w:lang w:eastAsia="sk-SK" w:bidi="ar-SA"/>
        </w:rPr>
        <w:t xml:space="preserve"> and </w:t>
      </w:r>
      <w:proofErr w:type="spellStart"/>
      <w:r w:rsidRPr="00D75A0F">
        <w:rPr>
          <w:i/>
          <w:sz w:val="20"/>
          <w:szCs w:val="20"/>
          <w:lang w:eastAsia="sk-SK" w:bidi="ar-SA"/>
        </w:rPr>
        <w:t>Social</w:t>
      </w:r>
      <w:proofErr w:type="spellEnd"/>
      <w:r w:rsidRPr="00D75A0F">
        <w:rPr>
          <w:i/>
          <w:sz w:val="20"/>
          <w:szCs w:val="20"/>
          <w:lang w:eastAsia="sk-SK" w:bidi="ar-SA"/>
        </w:rPr>
        <w:t xml:space="preserve"> </w:t>
      </w:r>
      <w:proofErr w:type="spellStart"/>
      <w:r w:rsidRPr="00D75A0F">
        <w:rPr>
          <w:i/>
          <w:sz w:val="20"/>
          <w:szCs w:val="20"/>
          <w:lang w:eastAsia="sk-SK" w:bidi="ar-SA"/>
        </w:rPr>
        <w:t>Development</w:t>
      </w:r>
      <w:proofErr w:type="spellEnd"/>
      <w:r w:rsidRPr="00D75A0F">
        <w:rPr>
          <w:i/>
          <w:sz w:val="20"/>
          <w:szCs w:val="20"/>
          <w:lang w:eastAsia="sk-SK" w:bidi="ar-SA"/>
        </w:rPr>
        <w:t xml:space="preserve"> in </w:t>
      </w:r>
      <w:proofErr w:type="spellStart"/>
      <w:r w:rsidRPr="00D75A0F">
        <w:rPr>
          <w:i/>
          <w:sz w:val="20"/>
          <w:szCs w:val="20"/>
          <w:lang w:eastAsia="sk-SK" w:bidi="ar-SA"/>
        </w:rPr>
        <w:t>Europe</w:t>
      </w:r>
      <w:proofErr w:type="spellEnd"/>
      <w:r w:rsidRPr="00D75A0F">
        <w:rPr>
          <w:i/>
          <w:sz w:val="20"/>
          <w:szCs w:val="20"/>
          <w:lang w:eastAsia="sk-SK" w:bidi="ar-SA"/>
        </w:rPr>
        <w:t xml:space="preserve"> 2015</w:t>
      </w:r>
      <w:r w:rsidRPr="00D75A0F">
        <w:rPr>
          <w:sz w:val="20"/>
          <w:szCs w:val="20"/>
          <w:lang w:eastAsia="sk-SK" w:bidi="ar-SA"/>
        </w:rPr>
        <w:t xml:space="preserve">. Dostupné na: </w:t>
      </w:r>
      <w:hyperlink r:id="rId17" w:history="1">
        <w:r w:rsidRPr="00D75A0F">
          <w:rPr>
            <w:color w:val="0000FF"/>
            <w:sz w:val="20"/>
            <w:szCs w:val="20"/>
            <w:u w:val="single"/>
            <w:lang w:eastAsia="sk-SK" w:bidi="ar-SA"/>
          </w:rPr>
          <w:t>http://ec.europa.eu/social/main.jsp?catId=738&amp;langId=en&amp;pubId=7859&amp;furtherPubs=yes</w:t>
        </w:r>
      </w:hyperlink>
      <w:r w:rsidRPr="00D75A0F">
        <w:rPr>
          <w:sz w:val="20"/>
          <w:szCs w:val="20"/>
          <w:lang w:eastAsia="sk-SK" w:bidi="ar-SA"/>
        </w:rPr>
        <w:t>.</w:t>
      </w:r>
    </w:p>
    <w:p w:rsidR="00D75A0F" w:rsidRPr="00D75A0F" w:rsidRDefault="00D75A0F" w:rsidP="00D75A0F">
      <w:pPr>
        <w:shd w:val="clear" w:color="auto" w:fill="auto"/>
        <w:autoSpaceDE w:val="0"/>
        <w:autoSpaceDN w:val="0"/>
        <w:adjustRightInd w:val="0"/>
        <w:spacing w:after="60" w:line="240" w:lineRule="auto"/>
        <w:jc w:val="left"/>
        <w:rPr>
          <w:sz w:val="20"/>
          <w:szCs w:val="20"/>
          <w:lang w:eastAsia="sk-SK" w:bidi="ar-SA"/>
        </w:rPr>
      </w:pPr>
      <w:r w:rsidRPr="00D75A0F">
        <w:rPr>
          <w:sz w:val="20"/>
          <w:szCs w:val="20"/>
          <w:lang w:eastAsia="sk-SK" w:bidi="ar-SA"/>
        </w:rPr>
        <w:t xml:space="preserve">EIGE: </w:t>
      </w:r>
      <w:hyperlink r:id="rId18" w:history="1">
        <w:r w:rsidRPr="00D75A0F">
          <w:rPr>
            <w:color w:val="0000FF"/>
            <w:sz w:val="20"/>
            <w:szCs w:val="20"/>
            <w:u w:val="single"/>
            <w:lang w:eastAsia="sk-SK" w:bidi="ar-SA"/>
          </w:rPr>
          <w:t>http://eige.europa.eu/gender-statistics/dgs/browse/ta</w:t>
        </w:r>
      </w:hyperlink>
      <w:r w:rsidRPr="00D75A0F">
        <w:rPr>
          <w:sz w:val="20"/>
          <w:szCs w:val="20"/>
          <w:lang w:eastAsia="sk-SK" w:bidi="ar-SA"/>
        </w:rPr>
        <w:t xml:space="preserve">. </w:t>
      </w:r>
    </w:p>
    <w:p w:rsidR="00D75A0F" w:rsidRPr="00D75A0F" w:rsidRDefault="00D75A0F" w:rsidP="00D75A0F">
      <w:pPr>
        <w:shd w:val="clear" w:color="auto" w:fill="auto"/>
        <w:autoSpaceDE w:val="0"/>
        <w:autoSpaceDN w:val="0"/>
        <w:adjustRightInd w:val="0"/>
        <w:spacing w:after="60" w:line="240" w:lineRule="auto"/>
        <w:jc w:val="left"/>
        <w:rPr>
          <w:sz w:val="20"/>
          <w:szCs w:val="20"/>
          <w:lang w:eastAsia="sk-SK" w:bidi="ar-SA"/>
        </w:rPr>
      </w:pPr>
      <w:proofErr w:type="spellStart"/>
      <w:r w:rsidRPr="00D75A0F">
        <w:rPr>
          <w:sz w:val="20"/>
          <w:szCs w:val="20"/>
          <w:lang w:eastAsia="sk-SK" w:bidi="ar-SA"/>
        </w:rPr>
        <w:t>Eurostat</w:t>
      </w:r>
      <w:proofErr w:type="spellEnd"/>
      <w:r w:rsidRPr="00D75A0F">
        <w:rPr>
          <w:sz w:val="20"/>
          <w:szCs w:val="20"/>
          <w:lang w:eastAsia="sk-SK" w:bidi="ar-SA"/>
        </w:rPr>
        <w:t xml:space="preserve">: </w:t>
      </w:r>
      <w:hyperlink r:id="rId19" w:history="1">
        <w:r w:rsidRPr="00D75A0F">
          <w:rPr>
            <w:color w:val="0000FF"/>
            <w:sz w:val="20"/>
            <w:szCs w:val="20"/>
            <w:u w:val="single"/>
            <w:lang w:eastAsia="sk-SK" w:bidi="ar-SA"/>
          </w:rPr>
          <w:t>http://ec.europa.eu/eurostat/web/equality/data/database</w:t>
        </w:r>
      </w:hyperlink>
      <w:r w:rsidRPr="00D75A0F">
        <w:rPr>
          <w:sz w:val="20"/>
          <w:szCs w:val="20"/>
          <w:lang w:eastAsia="sk-SK" w:bidi="ar-SA"/>
        </w:rPr>
        <w:t xml:space="preserve">. </w:t>
      </w:r>
    </w:p>
    <w:p w:rsidR="00D75A0F" w:rsidRPr="00D75A0F" w:rsidRDefault="00D75A0F" w:rsidP="00D75A0F">
      <w:pPr>
        <w:shd w:val="clear" w:color="auto" w:fill="auto"/>
        <w:autoSpaceDE w:val="0"/>
        <w:autoSpaceDN w:val="0"/>
        <w:adjustRightInd w:val="0"/>
        <w:spacing w:after="60" w:line="240" w:lineRule="auto"/>
        <w:jc w:val="left"/>
        <w:rPr>
          <w:sz w:val="20"/>
          <w:szCs w:val="20"/>
          <w:lang w:eastAsia="sk-SK" w:bidi="ar-SA"/>
        </w:rPr>
      </w:pPr>
      <w:r w:rsidRPr="00D75A0F">
        <w:rPr>
          <w:sz w:val="20"/>
          <w:szCs w:val="20"/>
          <w:lang w:eastAsia="sk-SK" w:bidi="ar-SA"/>
        </w:rPr>
        <w:t xml:space="preserve">Štatistický úrad SR - </w:t>
      </w:r>
      <w:proofErr w:type="spellStart"/>
      <w:r w:rsidRPr="00D75A0F">
        <w:rPr>
          <w:sz w:val="20"/>
          <w:szCs w:val="20"/>
          <w:lang w:eastAsia="sk-SK" w:bidi="ar-SA"/>
        </w:rPr>
        <w:t>Slovstat</w:t>
      </w:r>
      <w:proofErr w:type="spellEnd"/>
      <w:r w:rsidRPr="00D75A0F">
        <w:rPr>
          <w:sz w:val="20"/>
          <w:szCs w:val="20"/>
          <w:lang w:eastAsia="sk-SK" w:bidi="ar-SA"/>
        </w:rPr>
        <w:t xml:space="preserve">: </w:t>
      </w:r>
      <w:hyperlink r:id="rId20" w:history="1">
        <w:r w:rsidRPr="00D75A0F">
          <w:rPr>
            <w:color w:val="0000FF"/>
            <w:sz w:val="20"/>
            <w:szCs w:val="20"/>
            <w:u w:val="single"/>
            <w:lang w:eastAsia="sk-SK" w:bidi="ar-SA"/>
          </w:rPr>
          <w:t>http://www.statistics.sk/pls/elisw/MetaInfo.explorer?cmd=go&amp;s=1002&amp;sso=2&amp;so=15</w:t>
        </w:r>
      </w:hyperlink>
      <w:r w:rsidRPr="00D75A0F">
        <w:rPr>
          <w:sz w:val="20"/>
          <w:szCs w:val="20"/>
          <w:lang w:eastAsia="sk-SK" w:bidi="ar-SA"/>
        </w:rPr>
        <w:t xml:space="preserve">. </w:t>
      </w:r>
    </w:p>
    <w:p w:rsidR="00D75A0F" w:rsidRPr="00D75A0F" w:rsidRDefault="00D75A0F" w:rsidP="00D75A0F">
      <w:pPr>
        <w:shd w:val="clear" w:color="auto" w:fill="auto"/>
        <w:spacing w:line="240" w:lineRule="auto"/>
        <w:rPr>
          <w:color w:val="000000"/>
          <w:lang w:eastAsia="sk-SK" w:bidi="ar-SA"/>
        </w:rPr>
      </w:pPr>
    </w:p>
    <w:p w:rsidR="00D75A0F" w:rsidRDefault="00D75A0F">
      <w:pPr>
        <w:shd w:val="clear" w:color="auto" w:fill="auto"/>
        <w:spacing w:after="0" w:line="240" w:lineRule="auto"/>
        <w:jc w:val="left"/>
        <w:rPr>
          <w:caps/>
          <w:color w:val="000000"/>
          <w:spacing w:val="15"/>
          <w:sz w:val="32"/>
          <w:szCs w:val="24"/>
        </w:rPr>
      </w:pPr>
    </w:p>
    <w:p w:rsidR="00D75A0F" w:rsidRDefault="00D75A0F">
      <w:pPr>
        <w:shd w:val="clear" w:color="auto" w:fill="auto"/>
        <w:spacing w:after="0" w:line="240" w:lineRule="auto"/>
        <w:jc w:val="left"/>
        <w:rPr>
          <w:caps/>
          <w:color w:val="000000"/>
          <w:spacing w:val="15"/>
          <w:sz w:val="32"/>
          <w:szCs w:val="24"/>
        </w:rPr>
      </w:pPr>
      <w:r>
        <w:br w:type="page"/>
      </w:r>
    </w:p>
    <w:p w:rsidR="00A86CFA" w:rsidRPr="00D75A0F" w:rsidRDefault="00D75A0F" w:rsidP="0064300A">
      <w:pPr>
        <w:pStyle w:val="Nadpis1"/>
        <w:numPr>
          <w:ilvl w:val="0"/>
          <w:numId w:val="39"/>
        </w:numPr>
      </w:pPr>
      <w:bookmarkStart w:id="7" w:name="_Toc451508607"/>
      <w:r w:rsidRPr="00D75A0F">
        <w:lastRenderedPageBreak/>
        <w:t>RODOVÝ MZDOVÝ ROZDIEL</w:t>
      </w:r>
      <w:bookmarkEnd w:id="7"/>
      <w:r w:rsidRPr="00D75A0F">
        <w:t xml:space="preserve"> </w:t>
      </w:r>
    </w:p>
    <w:p w:rsidR="00304509" w:rsidRDefault="00304509" w:rsidP="0017792F">
      <w:pPr>
        <w:pStyle w:val="Default"/>
      </w:pPr>
    </w:p>
    <w:p w:rsidR="00304509" w:rsidRDefault="00304509" w:rsidP="00896DC3">
      <w:pPr>
        <w:spacing w:line="240" w:lineRule="auto"/>
      </w:pPr>
      <w:r w:rsidRPr="00A707FF">
        <w:t xml:space="preserve">Princíp rovnakého odmeňovania z pohľadu rodovej rovnosti patrí medzi najfrekventovanejšie zásady v medzinárodnom pracovnom práve, ako aj v pracovnom práve Európskej únie. V tejto oblasti bolo na úrovni Európskej únie prijatých niekoľko smerníc, predovšetkým pokiaľ ide o zásadu rovnakej odmeny mužov a žien za rovnakú prácu a zásadu rovnakého zaobchádzania s mužmi a ženami z roku 1975. </w:t>
      </w:r>
    </w:p>
    <w:p w:rsidR="00713644" w:rsidRDefault="00297A93" w:rsidP="00326231">
      <w:pPr>
        <w:spacing w:line="240" w:lineRule="auto"/>
        <w:rPr>
          <w:b/>
        </w:rPr>
      </w:pPr>
      <w:r w:rsidRPr="00713644">
        <w:t xml:space="preserve">Európska únia už pri svojom zrode 1957 zakotvila v Rímskej zmluve princíp rovnakého odmeňovania pre mužov a ženy. Napriek obrovskému pokroku, ktoré ženské emancipačné hnutie prekonalo od roku 1957, rapídnemu nárastu zamestnanosti žien a úrovne ich vzdelania, dobrému legislatívnemu zázemiu ako i napriek úplne rozdielnym podmienkam na pracovnom trhu v roku 1957 a dnes, záruky dané ženám pred 50 rokmi ohľadom rovnakej odmeny za rovnakú prácu ostávajú stále v rovine nesplnených </w:t>
      </w:r>
      <w:r w:rsidR="006F5C86">
        <w:t>očakávaní</w:t>
      </w:r>
      <w:r w:rsidRPr="00713644">
        <w:t>.</w:t>
      </w:r>
    </w:p>
    <w:p w:rsidR="00713644" w:rsidRPr="00713644" w:rsidRDefault="00713644" w:rsidP="00843EE2">
      <w:pPr>
        <w:pStyle w:val="Nadpis2"/>
        <w:numPr>
          <w:ilvl w:val="0"/>
          <w:numId w:val="8"/>
        </w:numPr>
        <w:jc w:val="both"/>
      </w:pPr>
      <w:bookmarkStart w:id="8" w:name="_Toc451508608"/>
      <w:r w:rsidRPr="00713644">
        <w:t>Historický pohľad</w:t>
      </w:r>
      <w:r w:rsidR="007E7B3F">
        <w:rPr>
          <w:rStyle w:val="Odkaznavysvetlivku"/>
        </w:rPr>
        <w:endnoteReference w:id="1"/>
      </w:r>
      <w:r w:rsidR="007E7B3F">
        <w:t>,</w:t>
      </w:r>
      <w:r w:rsidR="006E545A">
        <w:rPr>
          <w:rStyle w:val="Odkaznapoznmkupodiarou"/>
        </w:rPr>
        <w:footnoteReference w:id="1"/>
      </w:r>
      <w:bookmarkEnd w:id="8"/>
    </w:p>
    <w:p w:rsidR="00713644" w:rsidRDefault="00713644" w:rsidP="00896DC3">
      <w:pPr>
        <w:spacing w:line="240" w:lineRule="auto"/>
      </w:pPr>
      <w:r w:rsidRPr="00234383">
        <w:t>Od začiatku moderných dejín ľudstva sa ženská reproduktívna práca považ</w:t>
      </w:r>
      <w:r w:rsidR="00235D6C">
        <w:t>o</w:t>
      </w:r>
      <w:r w:rsidRPr="00234383">
        <w:t>vala (a stále ešte považuje) za menejcennú a vďaka obmedzeni</w:t>
      </w:r>
      <w:r w:rsidR="00560412">
        <w:t>u</w:t>
      </w:r>
      <w:r w:rsidRPr="00234383">
        <w:t xml:space="preserve"> na súkromnú sféru za neviditeľnú. Nástupom osvietenstva a ženského hnutia v 18. a 19. storočí sa ženy </w:t>
      </w:r>
      <w:r w:rsidR="005B1F5C">
        <w:t xml:space="preserve">postupne </w:t>
      </w:r>
      <w:r w:rsidRPr="00234383">
        <w:t xml:space="preserve">vymaňujú z privátnej sféry a začínajú byť ekonomicky aktívne. Prístup k vzdelaniu im začínajú otvárať aj obzory odbornej práce, hoci odborne vzdelané ženy stále ostávajú výnimkou. </w:t>
      </w:r>
    </w:p>
    <w:p w:rsidR="00713644" w:rsidRPr="00234383" w:rsidRDefault="00713644" w:rsidP="00896DC3">
      <w:pPr>
        <w:spacing w:line="240" w:lineRule="auto"/>
      </w:pPr>
      <w:r w:rsidRPr="00234383">
        <w:t xml:space="preserve">Priemyselná revolúcia už od začiatku 18. storočia vo Veľkej Británii a neskôr i v ostatných krajinách prináša so sebou masový nástup žien do výrobnej sféry. Stále sú však typy prác, ktoré ženy môžu dostať, veľmi obmedzené. Razantne sa potvrdzuje rozdelenie práce na mužskú a ženskú. Dominantná úloha žien ostáva samozrejme </w:t>
      </w:r>
      <w:r w:rsidRPr="00234383">
        <w:lastRenderedPageBreak/>
        <w:t xml:space="preserve">v domácnosti a v oblasti starostlivosti, teda v reprodukčnej privátnej sfére. Dochádza k stále intenzívnejšiemu rozdeľovaniu pracovných štruktúr a prisudzovaniu hodnôt, pričom mužská práca je </w:t>
      </w:r>
      <w:r w:rsidR="005B1F5C">
        <w:t xml:space="preserve">principiálne </w:t>
      </w:r>
      <w:r w:rsidRPr="00234383">
        <w:t>považovaná za hodnotnejšiu. Industrializácia, rozvoj priemyselného trhu práce a ideológia domáceho krbu ženám vytv</w:t>
      </w:r>
      <w:r w:rsidR="005B1F5C">
        <w:t>ára</w:t>
      </w:r>
      <w:r w:rsidRPr="00234383">
        <w:t xml:space="preserve"> nové a rozdielne podmienky zamestnania, pričom ich podria</w:t>
      </w:r>
      <w:r w:rsidR="005B1F5C">
        <w:t>ďuje</w:t>
      </w:r>
      <w:r w:rsidRPr="00234383">
        <w:t xml:space="preserve"> mužským živiteľom rodiny, znev</w:t>
      </w:r>
      <w:r w:rsidR="005B1F5C">
        <w:t>ažuje</w:t>
      </w:r>
      <w:r w:rsidRPr="00234383">
        <w:t xml:space="preserve"> ich schopn</w:t>
      </w:r>
      <w:r w:rsidR="005B1F5C">
        <w:t>osti a ženskú prácu „proletarizuje</w:t>
      </w:r>
      <w:r w:rsidRPr="00234383">
        <w:t>“ a vytl</w:t>
      </w:r>
      <w:r w:rsidR="005B1F5C">
        <w:t>áča</w:t>
      </w:r>
      <w:r w:rsidRPr="00234383">
        <w:t xml:space="preserve"> na okraj.</w:t>
      </w:r>
      <w:r w:rsidRPr="00234383">
        <w:rPr>
          <w:rStyle w:val="Odkaznavysvetlivku"/>
          <w:rFonts w:ascii="Courier New" w:hAnsi="Courier New" w:cs="Courier New"/>
        </w:rPr>
        <w:endnoteReference w:id="2"/>
      </w:r>
      <w:r w:rsidRPr="00234383">
        <w:t xml:space="preserve"> V Európe sa počas priemyselnej revolúcie vytvárajú hlavne dva druhy ženskej práce: slúžka v domácnosti a továrenská robotníčka. Práca v priemysle vyčlenená pre ženy je spravidla menej platená a sústredená v určitých odvetviach. Napr. vo Veľkej Británii pracuje v roku 1891 asi 80</w:t>
      </w:r>
      <w:r w:rsidR="005C794F">
        <w:t xml:space="preserve"> %</w:t>
      </w:r>
      <w:r w:rsidRPr="00234383">
        <w:t xml:space="preserve"> všetkých pracujúcich žien ako robotníčky v textilnom priemysle alebo slúžky v domácnosti.</w:t>
      </w:r>
      <w:r w:rsidRPr="00234383">
        <w:rPr>
          <w:rStyle w:val="Odkaznavysvetlivku"/>
          <w:rFonts w:ascii="Courier New" w:hAnsi="Courier New" w:cs="Courier New"/>
        </w:rPr>
        <w:endnoteReference w:id="3"/>
      </w:r>
    </w:p>
    <w:p w:rsidR="00713644" w:rsidRPr="00234383" w:rsidRDefault="00713644" w:rsidP="00896DC3">
      <w:pPr>
        <w:spacing w:line="240" w:lineRule="auto"/>
      </w:pPr>
      <w:r w:rsidRPr="00234383">
        <w:t xml:space="preserve">Ženský trh práce je charakteristický zamestnávaním slobodných alebo ovdovelých žien. V priemysle a službách pracujú predovšetkým mladé </w:t>
      </w:r>
      <w:r w:rsidR="005B1F5C">
        <w:t>a slobodné ženy; p</w:t>
      </w:r>
      <w:r w:rsidRPr="00234383">
        <w:t xml:space="preserve">o vydaji svoju prácu spravidla opúšťajú. Manželský stav nadobúda novej dôležitosti ako </w:t>
      </w:r>
      <w:proofErr w:type="spellStart"/>
      <w:r w:rsidRPr="00234383">
        <w:t>protektívna</w:t>
      </w:r>
      <w:proofErr w:type="spellEnd"/>
      <w:r w:rsidRPr="00234383">
        <w:t xml:space="preserve"> legislatíva, kult rodinnej mzdy a ideológie domáceho krbu sa spojili, aby podtrhli nerovnosť sociálnych pohlaví na pracovnom trhu a aby ustanovili hierarchickú štruktúru zamestnanosti.</w:t>
      </w:r>
      <w:r w:rsidRPr="00234383">
        <w:rPr>
          <w:rStyle w:val="Odkaznavysvetlivku"/>
          <w:rFonts w:ascii="Courier New" w:hAnsi="Courier New" w:cs="Courier New"/>
        </w:rPr>
        <w:endnoteReference w:id="4"/>
      </w:r>
      <w:r w:rsidRPr="00234383">
        <w:t xml:space="preserve"> </w:t>
      </w:r>
    </w:p>
    <w:p w:rsidR="00713644" w:rsidRPr="00234383" w:rsidRDefault="00713644" w:rsidP="00896DC3">
      <w:pPr>
        <w:spacing w:line="240" w:lineRule="auto"/>
      </w:pPr>
      <w:r w:rsidRPr="00234383">
        <w:t>Aj v Československu zamestnané ženy  dostáva</w:t>
      </w:r>
      <w:r w:rsidR="00DE5CEE">
        <w:t>jú</w:t>
      </w:r>
      <w:r w:rsidRPr="00234383">
        <w:t xml:space="preserve"> za rovnakú prácu nižšiu odmenu ako muži. Ich </w:t>
      </w:r>
      <w:r w:rsidR="00D85026">
        <w:t>platy</w:t>
      </w:r>
      <w:r w:rsidRPr="00234383">
        <w:t xml:space="preserve"> sa často považ</w:t>
      </w:r>
      <w:r w:rsidR="00DE5CEE">
        <w:t>ujú</w:t>
      </w:r>
      <w:r w:rsidRPr="00234383">
        <w:t xml:space="preserve"> za „hladové mzdy“. V roku 1929 predstav</w:t>
      </w:r>
      <w:r w:rsidR="00DE5CEE">
        <w:t>uje</w:t>
      </w:r>
      <w:r w:rsidRPr="00234383">
        <w:t xml:space="preserve"> priemerná pláca žien len 62 </w:t>
      </w:r>
      <w:r w:rsidR="005C794F">
        <w:t xml:space="preserve"> %</w:t>
      </w:r>
      <w:r w:rsidRPr="00234383">
        <w:t xml:space="preserve"> v porovnaní z mužmi. Hlavná  príčina  rodových mzdových rozdielov spočíva v tom, že muži spravidla zastáva</w:t>
      </w:r>
      <w:r w:rsidR="00DE5CEE">
        <w:t>jú</w:t>
      </w:r>
      <w:r w:rsidRPr="00234383">
        <w:t xml:space="preserve"> vedúce miesta a ženy miesta druhoradé. Avšak aj pri porovnateľnom veku a pri rovnakej a podobnej práci </w:t>
      </w:r>
      <w:r w:rsidR="00DE5CEE">
        <w:t>sú</w:t>
      </w:r>
      <w:r w:rsidRPr="00234383">
        <w:t xml:space="preserve"> ženy horšie platené ako muži. Najlepšie mzdové podmienky ma</w:t>
      </w:r>
      <w:r w:rsidR="00DE5CEE">
        <w:t>jú</w:t>
      </w:r>
      <w:r w:rsidRPr="00234383">
        <w:t xml:space="preserve"> ženy v peňažníctve a najhoršie v obchode. Mzdové tarify </w:t>
      </w:r>
      <w:r w:rsidR="00DE5CEE">
        <w:t>sú</w:t>
      </w:r>
      <w:r w:rsidRPr="00234383">
        <w:t xml:space="preserve"> stanovené osobitne pre mužov a osobitne pre ženy</w:t>
      </w:r>
      <w:r w:rsidR="00DE5CEE">
        <w:t>, pričom mzdové tarify žien sú</w:t>
      </w:r>
      <w:r w:rsidRPr="00234383">
        <w:t xml:space="preserve"> neporovnateľné nižšie  (aj o 40 – 50   </w:t>
      </w:r>
      <w:r w:rsidR="005C794F">
        <w:t xml:space="preserve"> %</w:t>
      </w:r>
      <w:r w:rsidRPr="00234383">
        <w:t xml:space="preserve"> a viac).</w:t>
      </w:r>
      <w:r w:rsidRPr="00234383">
        <w:rPr>
          <w:rStyle w:val="Odkaznavysvetlivku"/>
          <w:rFonts w:ascii="Courier New" w:hAnsi="Courier New" w:cs="Courier New"/>
        </w:rPr>
        <w:endnoteReference w:id="5"/>
      </w:r>
    </w:p>
    <w:p w:rsidR="00713644" w:rsidRPr="00234383" w:rsidRDefault="00713644" w:rsidP="00896DC3">
      <w:pPr>
        <w:spacing w:line="240" w:lineRule="auto"/>
      </w:pPr>
      <w:r w:rsidRPr="00234383">
        <w:t>Filozofia považujúca ženskú prácu za dočasnú (do vydaja)</w:t>
      </w:r>
      <w:r w:rsidR="00DE5CEE">
        <w:t>,</w:t>
      </w:r>
      <w:r w:rsidRPr="00234383">
        <w:t xml:space="preserve"> </w:t>
      </w:r>
      <w:r w:rsidR="00DE5CEE" w:rsidRPr="00234383">
        <w:t>respektív</w:t>
      </w:r>
      <w:r w:rsidR="00DE5CEE">
        <w:t>e</w:t>
      </w:r>
      <w:r w:rsidRPr="00234383">
        <w:t xml:space="preserve"> u vydatých žien za „prilepšenie k príjmom manžela - živiteľa“</w:t>
      </w:r>
      <w:r w:rsidR="00DE5CEE">
        <w:t>,</w:t>
      </w:r>
      <w:r w:rsidRPr="00234383">
        <w:t xml:space="preserve"> napom</w:t>
      </w:r>
      <w:r w:rsidR="00DE5CEE">
        <w:t>áha</w:t>
      </w:r>
      <w:r w:rsidRPr="00234383">
        <w:t xml:space="preserve"> k zakotveniu ženy ako lacnej pracovnej sily. </w:t>
      </w:r>
      <w:r w:rsidRPr="00D85026">
        <w:t>„</w:t>
      </w:r>
      <w:r w:rsidRPr="00326231">
        <w:rPr>
          <w:i/>
        </w:rPr>
        <w:t>Ideológia cnosti spečatila chudobu pracujúcich žien a umožnila víťazstvo priemyselnej revolúcie</w:t>
      </w:r>
      <w:r w:rsidRPr="00D85026">
        <w:t>.“</w:t>
      </w:r>
      <w:r w:rsidRPr="00D85026">
        <w:rPr>
          <w:rStyle w:val="Odkaznavysvetlivku"/>
          <w:rFonts w:ascii="Courier New" w:hAnsi="Courier New" w:cs="Courier New"/>
        </w:rPr>
        <w:endnoteReference w:id="6"/>
      </w:r>
      <w:r w:rsidRPr="00234383">
        <w:tab/>
        <w:t>Priemyselná revolúcia by totiž bez pracujúcich žien nikdy nemohla prebehnúť tak, ako ju poznáme.</w:t>
      </w:r>
      <w:r w:rsidRPr="00234383">
        <w:tab/>
      </w:r>
    </w:p>
    <w:p w:rsidR="00713644" w:rsidRPr="007F0491" w:rsidRDefault="007F0491" w:rsidP="007F0491">
      <w:pPr>
        <w:pStyle w:val="Nadpis4"/>
      </w:pPr>
      <w:r w:rsidRPr="007F0491">
        <w:t>S</w:t>
      </w:r>
      <w:r w:rsidR="00713644" w:rsidRPr="007F0491">
        <w:t>ocializmus a práca žien</w:t>
      </w:r>
      <w:r w:rsidR="00713644" w:rsidRPr="007F0491">
        <w:tab/>
      </w:r>
      <w:r w:rsidR="00713644" w:rsidRPr="007F0491">
        <w:tab/>
      </w:r>
    </w:p>
    <w:p w:rsidR="00713644" w:rsidRPr="00234383" w:rsidRDefault="00713644" w:rsidP="00896DC3">
      <w:pPr>
        <w:spacing w:line="240" w:lineRule="auto"/>
      </w:pPr>
      <w:r w:rsidRPr="00234383">
        <w:t>Rozdiely v zárobkoch mužov a žien sa vyskyt</w:t>
      </w:r>
      <w:r w:rsidR="00DE5CEE">
        <w:t>ujú</w:t>
      </w:r>
      <w:r w:rsidRPr="00234383">
        <w:t xml:space="preserve"> aj v rovnostárskej socialistickej spoločnosti. Hoci po Októbrovej revolúcii v</w:t>
      </w:r>
      <w:r w:rsidR="00DE5CEE">
        <w:t xml:space="preserve"> roku </w:t>
      </w:r>
      <w:r w:rsidRPr="00234383">
        <w:t>1917 nasled</w:t>
      </w:r>
      <w:r w:rsidR="00DE5CEE">
        <w:t>ujú</w:t>
      </w:r>
      <w:r w:rsidRPr="00234383">
        <w:t xml:space="preserve"> veľké kroky smerom k oslobodeniu žien, nástu</w:t>
      </w:r>
      <w:r w:rsidR="00DE5CEE">
        <w:t xml:space="preserve">pom </w:t>
      </w:r>
      <w:proofErr w:type="spellStart"/>
      <w:r w:rsidR="00DE5CEE">
        <w:t>stalinizmu</w:t>
      </w:r>
      <w:proofErr w:type="spellEnd"/>
      <w:r w:rsidR="00DE5CEE">
        <w:t xml:space="preserve"> sa všetko mení</w:t>
      </w:r>
      <w:r w:rsidRPr="00234383">
        <w:t>.</w:t>
      </w:r>
      <w:r w:rsidRPr="00234383">
        <w:rPr>
          <w:color w:val="000000"/>
          <w:sz w:val="18"/>
          <w:szCs w:val="18"/>
        </w:rPr>
        <w:t xml:space="preserve"> </w:t>
      </w:r>
      <w:r w:rsidRPr="00234383">
        <w:t>Aj keď režim aplaud</w:t>
      </w:r>
      <w:r w:rsidR="00DE5CEE">
        <w:t>uje</w:t>
      </w:r>
      <w:r w:rsidRPr="00234383">
        <w:t xml:space="preserve"> traktoristkám, chváli vzorné pracovníčky</w:t>
      </w:r>
      <w:r w:rsidR="00D85026">
        <w:t xml:space="preserve">, vyhlasuje matky za hrdinky </w:t>
      </w:r>
      <w:r w:rsidRPr="00234383">
        <w:t xml:space="preserve"> a ženskú otázku za vyriešenú, </w:t>
      </w:r>
      <w:r w:rsidR="00DE5CEE">
        <w:t xml:space="preserve">zároveň </w:t>
      </w:r>
      <w:r w:rsidR="00DE5CEE" w:rsidRPr="00234383">
        <w:t>neustále zdôrazň</w:t>
      </w:r>
      <w:r w:rsidR="00DE5CEE">
        <w:t>uje</w:t>
      </w:r>
      <w:r w:rsidR="00DE5CEE" w:rsidRPr="00234383">
        <w:t xml:space="preserve"> </w:t>
      </w:r>
      <w:r w:rsidRPr="00234383">
        <w:t>deľba rol</w:t>
      </w:r>
      <w:r w:rsidR="00DE5CEE">
        <w:t>í</w:t>
      </w:r>
      <w:r w:rsidRPr="00234383">
        <w:t xml:space="preserve"> med</w:t>
      </w:r>
      <w:r w:rsidR="00DE5CEE">
        <w:t>zi pracujúcimi mužmi a ženami</w:t>
      </w:r>
      <w:r w:rsidRPr="00234383">
        <w:t xml:space="preserve">. </w:t>
      </w:r>
      <w:r w:rsidR="00DE5CEE">
        <w:t>S</w:t>
      </w:r>
      <w:r w:rsidRPr="00234383">
        <w:t>exizmus vo výchove a prísna deľba práce</w:t>
      </w:r>
      <w:r w:rsidR="00DE5CEE">
        <w:t xml:space="preserve"> je bežnou normou</w:t>
      </w:r>
      <w:r w:rsidRPr="00234383">
        <w:t>. Dievčatá a ženy s</w:t>
      </w:r>
      <w:r w:rsidR="00D85026">
        <w:t>ú</w:t>
      </w:r>
      <w:r w:rsidRPr="00234383">
        <w:t xml:space="preserve"> nabáda</w:t>
      </w:r>
      <w:r w:rsidR="00D85026">
        <w:t>né</w:t>
      </w:r>
      <w:r w:rsidRPr="00234383">
        <w:t xml:space="preserve">, aby sa angažovali v sociálno-pomocných resp. nekvalifikovaných povolaniach. Možnosť preniknúť do povolaní ovládaných mužmi </w:t>
      </w:r>
      <w:r w:rsidR="008534A6">
        <w:t>je</w:t>
      </w:r>
      <w:r w:rsidRPr="00234383">
        <w:t xml:space="preserve"> vyhradená „vzorným robotníčkam", ktoré ma</w:t>
      </w:r>
      <w:r w:rsidR="008534A6">
        <w:t>jú</w:t>
      </w:r>
      <w:r w:rsidRPr="00234383">
        <w:t xml:space="preserve"> ukázať svetu, ako „rovnosť" žien vyzerá. Pre väčšinu žien plat</w:t>
      </w:r>
      <w:r w:rsidR="008534A6">
        <w:t>í</w:t>
      </w:r>
      <w:r w:rsidRPr="00234383">
        <w:t xml:space="preserve"> </w:t>
      </w:r>
      <w:r w:rsidRPr="00234383">
        <w:lastRenderedPageBreak/>
        <w:t>norma sexizmu, nedostatok rešpektu a ocenenia ich schopností, ako aj odsúdenie na domácu prácu nezávisle od toho, či mimo domu prac</w:t>
      </w:r>
      <w:r w:rsidR="008534A6">
        <w:t>ujú</w:t>
      </w:r>
      <w:r w:rsidRPr="00234383">
        <w:t xml:space="preserve"> alebo nie.</w:t>
      </w:r>
      <w:r w:rsidRPr="00234383">
        <w:rPr>
          <w:rStyle w:val="Odkaznavysvetlivku"/>
          <w:rFonts w:ascii="Courier New" w:hAnsi="Courier New" w:cs="Courier New"/>
        </w:rPr>
        <w:endnoteReference w:id="7"/>
      </w:r>
    </w:p>
    <w:p w:rsidR="007F0491" w:rsidRDefault="00713644" w:rsidP="00896DC3">
      <w:pPr>
        <w:spacing w:line="240" w:lineRule="auto"/>
      </w:pPr>
      <w:r w:rsidRPr="00234383">
        <w:t xml:space="preserve">V čase zrútenia sa </w:t>
      </w:r>
      <w:proofErr w:type="spellStart"/>
      <w:r w:rsidRPr="00234383">
        <w:t>stalinizmu</w:t>
      </w:r>
      <w:proofErr w:type="spellEnd"/>
      <w:r w:rsidRPr="00234383">
        <w:t xml:space="preserve"> exist</w:t>
      </w:r>
      <w:r w:rsidR="008534A6">
        <w:t>uje</w:t>
      </w:r>
      <w:r w:rsidRPr="00234383">
        <w:t xml:space="preserve"> priepasť medzi príjmami mužov a</w:t>
      </w:r>
      <w:r w:rsidR="008534A6">
        <w:t> </w:t>
      </w:r>
      <w:r w:rsidRPr="00234383">
        <w:t>žien</w:t>
      </w:r>
      <w:r w:rsidR="008534A6">
        <w:t>, keď ž</w:t>
      </w:r>
      <w:r w:rsidRPr="00234383">
        <w:t>eny zarába</w:t>
      </w:r>
      <w:r w:rsidR="008534A6">
        <w:t xml:space="preserve">jú </w:t>
      </w:r>
      <w:r w:rsidRPr="00234383">
        <w:t xml:space="preserve">v priemere o 25-30 </w:t>
      </w:r>
      <w:r w:rsidR="005C794F">
        <w:t xml:space="preserve"> %</w:t>
      </w:r>
      <w:r w:rsidRPr="00234383">
        <w:t xml:space="preserve"> menej ako muži.</w:t>
      </w:r>
      <w:r w:rsidRPr="00234383">
        <w:rPr>
          <w:rStyle w:val="Odkaznavysvetlivku"/>
          <w:rFonts w:ascii="Courier New" w:hAnsi="Courier New" w:cs="Courier New"/>
        </w:rPr>
        <w:endnoteReference w:id="8"/>
      </w:r>
      <w:r w:rsidRPr="00234383">
        <w:t xml:space="preserve"> Tieto rozdiely v príjmoch z rovnakej pracovnej činnosti </w:t>
      </w:r>
      <w:r w:rsidR="008534A6">
        <w:t>sú</w:t>
      </w:r>
      <w:r w:rsidRPr="00234383">
        <w:t xml:space="preserve"> zvlášť silné v priemysle, a to aj v sektoroch, kde prac</w:t>
      </w:r>
      <w:r w:rsidR="008534A6">
        <w:t>ujú</w:t>
      </w:r>
      <w:r w:rsidRPr="00234383">
        <w:t xml:space="preserve"> predovšetkým ženy</w:t>
      </w:r>
      <w:r w:rsidR="00DE5CEE">
        <w:t xml:space="preserve"> (napr. </w:t>
      </w:r>
      <w:r w:rsidRPr="00234383">
        <w:t>textilný priemysel</w:t>
      </w:r>
      <w:r w:rsidR="00DE5CEE">
        <w:t>)</w:t>
      </w:r>
      <w:r w:rsidRPr="00234383">
        <w:t xml:space="preserve">. Príjmový rozdiel </w:t>
      </w:r>
      <w:r w:rsidR="008534A6">
        <w:t>je</w:t>
      </w:r>
      <w:r w:rsidRPr="00234383">
        <w:t xml:space="preserve"> najmenší v sektore služieb </w:t>
      </w:r>
      <w:r w:rsidR="00D85026">
        <w:t xml:space="preserve">na úrovni </w:t>
      </w:r>
      <w:r w:rsidRPr="00234383">
        <w:t xml:space="preserve">10-15 </w:t>
      </w:r>
      <w:r w:rsidR="005C794F">
        <w:t xml:space="preserve"> %</w:t>
      </w:r>
      <w:r w:rsidRPr="00234383">
        <w:t>.</w:t>
      </w:r>
      <w:r w:rsidRPr="00234383">
        <w:rPr>
          <w:rStyle w:val="Odkaznavysvetlivku"/>
          <w:rFonts w:ascii="Courier New" w:hAnsi="Courier New" w:cs="Courier New"/>
        </w:rPr>
        <w:endnoteReference w:id="9"/>
      </w:r>
      <w:r w:rsidRPr="00234383">
        <w:t xml:space="preserve"> </w:t>
      </w:r>
    </w:p>
    <w:p w:rsidR="00713644" w:rsidRPr="00234383" w:rsidRDefault="00713644" w:rsidP="00896DC3">
      <w:pPr>
        <w:spacing w:line="240" w:lineRule="auto"/>
      </w:pPr>
      <w:r w:rsidRPr="00234383">
        <w:t xml:space="preserve">Do určitých lukratívnych služieb </w:t>
      </w:r>
      <w:r w:rsidR="00DE5CEE">
        <w:t xml:space="preserve">- </w:t>
      </w:r>
      <w:r w:rsidRPr="00234383">
        <w:t xml:space="preserve">ako finančný sektor </w:t>
      </w:r>
      <w:r w:rsidR="00DE5CEE">
        <w:t xml:space="preserve">- </w:t>
      </w:r>
      <w:r w:rsidRPr="00234383">
        <w:t>zač</w:t>
      </w:r>
      <w:r w:rsidR="008534A6">
        <w:t>ínajú</w:t>
      </w:r>
      <w:r w:rsidRPr="00234383">
        <w:t xml:space="preserve"> vo zvýšenej miere prenikať muži, čo spôsob</w:t>
      </w:r>
      <w:r w:rsidR="008534A6">
        <w:t>uje</w:t>
      </w:r>
      <w:r w:rsidRPr="00234383">
        <w:t xml:space="preserve"> nárast platov. Takto </w:t>
      </w:r>
      <w:r w:rsidR="008534A6">
        <w:t xml:space="preserve">sa </w:t>
      </w:r>
      <w:r w:rsidRPr="00234383">
        <w:t>v Maďarsku, ktoré rozhodujúci bod kapitalistickej reštaurácie už prekročilo, žen</w:t>
      </w:r>
      <w:r w:rsidR="008534A6">
        <w:t xml:space="preserve">y </w:t>
      </w:r>
      <w:r w:rsidRPr="00234383">
        <w:t xml:space="preserve">v oblastiach finančných služieb </w:t>
      </w:r>
      <w:r w:rsidR="008534A6">
        <w:t>zarábajú</w:t>
      </w:r>
      <w:r w:rsidRPr="00234383">
        <w:t xml:space="preserve"> o 36,7</w:t>
      </w:r>
      <w:r w:rsidR="005C794F">
        <w:t xml:space="preserve"> %</w:t>
      </w:r>
      <w:r w:rsidRPr="00234383">
        <w:t xml:space="preserve"> </w:t>
      </w:r>
      <w:r w:rsidR="008534A6">
        <w:t xml:space="preserve">menej ako muži. Oproti tomu </w:t>
      </w:r>
      <w:r w:rsidRPr="00234383">
        <w:t xml:space="preserve">v Rumunsku, ešte nie úplne zreštaurovanom, je tento rozdiel iba 10 </w:t>
      </w:r>
      <w:r w:rsidR="005C794F">
        <w:t xml:space="preserve"> %</w:t>
      </w:r>
      <w:r w:rsidRPr="00234383">
        <w:t>.</w:t>
      </w:r>
      <w:r w:rsidRPr="00234383">
        <w:rPr>
          <w:rStyle w:val="Odkaznavysvetlivku"/>
          <w:rFonts w:ascii="Courier New" w:hAnsi="Courier New" w:cs="Courier New"/>
        </w:rPr>
        <w:endnoteReference w:id="10"/>
      </w:r>
    </w:p>
    <w:p w:rsidR="00713644" w:rsidRPr="00234383" w:rsidRDefault="00713644" w:rsidP="00896DC3">
      <w:pPr>
        <w:spacing w:line="240" w:lineRule="auto"/>
      </w:pPr>
      <w:r w:rsidRPr="00234383">
        <w:t>V čase pádu berlínskeho múru vlád</w:t>
      </w:r>
      <w:r w:rsidR="008534A6">
        <w:t>ne</w:t>
      </w:r>
      <w:r w:rsidRPr="00234383">
        <w:t xml:space="preserve"> v krajinách východnej Európy plná zamestn</w:t>
      </w:r>
      <w:r w:rsidR="008534A6">
        <w:t>anosť. Nezamestnanosť sa rovná</w:t>
      </w:r>
      <w:r w:rsidRPr="00234383">
        <w:t xml:space="preserve"> nule</w:t>
      </w:r>
      <w:r w:rsidR="008534A6">
        <w:t xml:space="preserve"> a </w:t>
      </w:r>
      <w:r w:rsidRPr="00234383">
        <w:t>ženy predstav</w:t>
      </w:r>
      <w:r w:rsidR="008534A6">
        <w:t>ujú</w:t>
      </w:r>
      <w:r w:rsidRPr="00234383">
        <w:t xml:space="preserve"> 47-50 </w:t>
      </w:r>
      <w:r w:rsidR="005C794F">
        <w:t xml:space="preserve"> %</w:t>
      </w:r>
      <w:r w:rsidRPr="00234383">
        <w:t xml:space="preserve"> všetkých pracujúcich. V sektoroch, kde prac</w:t>
      </w:r>
      <w:r w:rsidR="008534A6">
        <w:t>uje</w:t>
      </w:r>
      <w:r w:rsidRPr="00234383">
        <w:t xml:space="preserve"> veľa žien, nachádzame zreteľne nižšie platy: ľahký priemysel, služby, verejná správa, poľnohospodárstvo. Aj vo feminizovaných odvetviach existuje platová priepasť; napr. v zdravotníctve </w:t>
      </w:r>
      <w:r w:rsidR="008534A6">
        <w:t xml:space="preserve">sú lepšie </w:t>
      </w:r>
      <w:r w:rsidRPr="00234383">
        <w:t>platené prevažne mužsky obsadené oblasti (chirurgia), kým ženy sa mus</w:t>
      </w:r>
      <w:r w:rsidR="008534A6">
        <w:t>ia</w:t>
      </w:r>
      <w:r w:rsidRPr="00234383">
        <w:t xml:space="preserve"> zväčša uspokojiť s horšie odmeňovanými pozíciami praktických lekárok. Rozdelenie kategórie technicko-hospodárskych pracovníkov na inžiniersko-technických pracovníkov a úradníkov v platových sústavách ved</w:t>
      </w:r>
      <w:r w:rsidR="008534A6">
        <w:t>ie</w:t>
      </w:r>
      <w:r w:rsidRPr="00234383">
        <w:t xml:space="preserve"> k platovém</w:t>
      </w:r>
      <w:r w:rsidR="008534A6">
        <w:t>u zvýhodneniu mužov pred ženami;</w:t>
      </w:r>
      <w:r w:rsidRPr="00234383">
        <w:t xml:space="preserve"> ženy sa sústreď</w:t>
      </w:r>
      <w:r w:rsidR="00E50B46">
        <w:t>u</w:t>
      </w:r>
      <w:r w:rsidR="008534A6">
        <w:t>jú</w:t>
      </w:r>
      <w:r w:rsidRPr="00234383">
        <w:t xml:space="preserve"> v kategórii úradníckej a muži vo výhodnejšej platovej kategórii inžiniersko-technických pracovníkov. Pokiaľ </w:t>
      </w:r>
      <w:r w:rsidR="008534A6">
        <w:t xml:space="preserve">sú </w:t>
      </w:r>
      <w:r w:rsidRPr="00234383">
        <w:t xml:space="preserve">v nej výnimočne zaradené aj ženy, </w:t>
      </w:r>
      <w:r w:rsidR="008534A6">
        <w:t xml:space="preserve">ide </w:t>
      </w:r>
      <w:r w:rsidRPr="00234383">
        <w:t>prevažne o funkcie zaradené do najnižších tarifných tried. Naopak, u mužov pracujúcich v administratívnych funkciách i</w:t>
      </w:r>
      <w:r w:rsidR="008534A6">
        <w:t>de</w:t>
      </w:r>
      <w:r w:rsidRPr="00234383">
        <w:t xml:space="preserve"> o funkcie zaradené v najvyšších tarifných triedach. Ani v jednom priemyselnom odbore n</w:t>
      </w:r>
      <w:r w:rsidR="008534A6">
        <w:t xml:space="preserve">ie je </w:t>
      </w:r>
      <w:r w:rsidRPr="00234383">
        <w:t xml:space="preserve">priemerná  mzda žien rovnaká alebo vyššia ako mali muži. Dokonca priemerné zárobky žien </w:t>
      </w:r>
      <w:r w:rsidR="008534A6">
        <w:t>sú</w:t>
      </w:r>
      <w:r w:rsidRPr="00234383">
        <w:t xml:space="preserve"> často nižšie od  zárobkov mužov aj v rovnakom podniku a v rovnakom platovom zatriedení. Nemalé rozdiely v mzdách mužov a žien </w:t>
      </w:r>
      <w:r w:rsidR="008534A6">
        <w:t>sú</w:t>
      </w:r>
      <w:r w:rsidRPr="00234383">
        <w:t xml:space="preserve"> niekedy aj v tých prípadoch, keď ženy prac</w:t>
      </w:r>
      <w:r w:rsidR="008534A6">
        <w:t>ujú</w:t>
      </w:r>
      <w:r w:rsidRPr="00234383">
        <w:t xml:space="preserve"> na rovnakých prácach ako muži.</w:t>
      </w:r>
      <w:r w:rsidRPr="00234383">
        <w:rPr>
          <w:rStyle w:val="Odkaznavysvetlivku"/>
          <w:rFonts w:ascii="Courier New" w:hAnsi="Courier New" w:cs="Courier New"/>
        </w:rPr>
        <w:endnoteReference w:id="11"/>
      </w:r>
    </w:p>
    <w:p w:rsidR="00713644" w:rsidRPr="00234383" w:rsidRDefault="00713644" w:rsidP="00896DC3">
      <w:pPr>
        <w:spacing w:line="240" w:lineRule="auto"/>
      </w:pPr>
      <w:r w:rsidRPr="00234383">
        <w:t>V Československu v roku 1946 predstav</w:t>
      </w:r>
      <w:r w:rsidR="008534A6">
        <w:t>uje</w:t>
      </w:r>
      <w:r w:rsidRPr="00234383">
        <w:t xml:space="preserve"> priemerná mesačná mzda  žien 64,6</w:t>
      </w:r>
      <w:r w:rsidR="008534A6">
        <w:t xml:space="preserve"> </w:t>
      </w:r>
      <w:r w:rsidR="005C794F">
        <w:t xml:space="preserve"> %</w:t>
      </w:r>
      <w:r w:rsidR="008534A6">
        <w:t xml:space="preserve"> zo mzdy mužov. V máji 1966 je</w:t>
      </w:r>
      <w:r w:rsidRPr="00234383">
        <w:t xml:space="preserve"> tento pomer o niečo vyšší, keď ženy na Slovensku zarába</w:t>
      </w:r>
      <w:r w:rsidR="008534A6">
        <w:t>jú</w:t>
      </w:r>
      <w:r w:rsidRPr="00234383">
        <w:t xml:space="preserve"> 68,5 </w:t>
      </w:r>
      <w:r w:rsidR="005C794F">
        <w:t xml:space="preserve"> %</w:t>
      </w:r>
      <w:r w:rsidRPr="00234383">
        <w:t xml:space="preserve"> zo mzdy mužov. Podľa údajov Ministerstva práce a sociálnych vecí (1985) </w:t>
      </w:r>
      <w:r w:rsidR="00620092">
        <w:t xml:space="preserve">je </w:t>
      </w:r>
      <w:r w:rsidRPr="00234383">
        <w:t xml:space="preserve">v roku 1984  priemerná mesačná mzda žien v ČSSR za celé národné hospodárstvo 68,9 </w:t>
      </w:r>
      <w:r w:rsidR="005C794F">
        <w:t xml:space="preserve"> %</w:t>
      </w:r>
      <w:r w:rsidRPr="00234383">
        <w:t xml:space="preserve"> z priemerných zárobkov mužov, na Slovensku „až“ 69,20 </w:t>
      </w:r>
      <w:r w:rsidR="005C794F">
        <w:t xml:space="preserve"> %</w:t>
      </w:r>
      <w:r w:rsidRPr="00234383">
        <w:t xml:space="preserve">. </w:t>
      </w:r>
      <w:r w:rsidRPr="00234383">
        <w:rPr>
          <w:vertAlign w:val="superscript"/>
        </w:rPr>
        <w:endnoteReference w:id="12"/>
      </w:r>
    </w:p>
    <w:p w:rsidR="00713644" w:rsidRPr="007F0491" w:rsidRDefault="00713644" w:rsidP="007E7B3F">
      <w:pPr>
        <w:pStyle w:val="Nadpis4"/>
      </w:pPr>
      <w:r w:rsidRPr="007F0491">
        <w:t>Ekonomický rast západných krajín a globalizácia</w:t>
      </w:r>
    </w:p>
    <w:p w:rsidR="00713644" w:rsidRPr="00234383" w:rsidRDefault="00713644" w:rsidP="0017792F">
      <w:pPr>
        <w:spacing w:line="240" w:lineRule="auto"/>
      </w:pPr>
      <w:r w:rsidRPr="00234383">
        <w:t xml:space="preserve">Platená práca žien zohráva dôležitú úlohu v ekonomickom raste v krajinách západnej Európy a Severnej Ameriky v 90. rokoch. Medzi </w:t>
      </w:r>
      <w:r w:rsidR="00DE5CEE">
        <w:t xml:space="preserve">rokmi </w:t>
      </w:r>
      <w:r w:rsidRPr="00DE5CEE">
        <w:t>1991</w:t>
      </w:r>
      <w:r w:rsidRPr="00234383">
        <w:t xml:space="preserve"> a 1996 stúpa zamestnanosť žien v 18 z 24 západných krajín, pričom nárast je najzreteľnejší </w:t>
      </w:r>
      <w:r w:rsidR="00DE5CEE">
        <w:t>v</w:t>
      </w:r>
      <w:r w:rsidRPr="00234383">
        <w:t xml:space="preserve"> krajinách s nízkou ekonomickou aktivitou žien ako </w:t>
      </w:r>
      <w:r w:rsidR="00DE5CEE">
        <w:t xml:space="preserve">je </w:t>
      </w:r>
      <w:r w:rsidRPr="00234383">
        <w:t xml:space="preserve">Grécko, Írsko, Španielsko a Švajčiarsko. Vo Švédsku </w:t>
      </w:r>
      <w:r w:rsidRPr="00234383">
        <w:lastRenderedPageBreak/>
        <w:t>a Fínsku dosahuje zamestnanosť žien rovnaké čísla ako u mužov. Pokračujúca feminizácia pracovného trhu sa očakáva aj vzhľadom na demografický vývoj, ako aj motiváciu vďaka legislatívnej a politickej podpore.</w:t>
      </w:r>
    </w:p>
    <w:p w:rsidR="00713644" w:rsidRPr="00234383" w:rsidRDefault="007F0491" w:rsidP="0017792F">
      <w:pPr>
        <w:spacing w:line="240" w:lineRule="auto"/>
      </w:pPr>
      <w:r>
        <w:t>Začiatkom 21. storočia už</w:t>
      </w:r>
      <w:r w:rsidR="00713644" w:rsidRPr="00234383">
        <w:t xml:space="preserve"> 75</w:t>
      </w:r>
      <w:r w:rsidR="005C794F">
        <w:t xml:space="preserve"> %</w:t>
      </w:r>
      <w:r w:rsidR="00713644" w:rsidRPr="00234383">
        <w:t xml:space="preserve"> novovytvorených pracovných miest v EÚ obsadzujú ženy.</w:t>
      </w:r>
      <w:r w:rsidR="00713644" w:rsidRPr="00234383">
        <w:rPr>
          <w:rStyle w:val="Odkaznavysvetlivku"/>
          <w:rFonts w:ascii="Courier New" w:hAnsi="Courier New" w:cs="Courier New"/>
        </w:rPr>
        <w:endnoteReference w:id="13"/>
      </w:r>
      <w:r w:rsidR="00713644" w:rsidRPr="00234383">
        <w:t xml:space="preserve"> Štatistiky hovoria, že v EÚ je počet žien s vysokoškolským vzdelaním vyšší ako počet rovnako kvalifikovaných mužov. Aj napriek tomu však ženy zarábajú v priemere o 15</w:t>
      </w:r>
      <w:r w:rsidR="005C794F">
        <w:t xml:space="preserve"> %</w:t>
      </w:r>
      <w:r w:rsidR="00713644" w:rsidRPr="00234383">
        <w:t xml:space="preserve"> menej ako muži. </w:t>
      </w:r>
    </w:p>
    <w:p w:rsidR="00713644" w:rsidRDefault="00713644" w:rsidP="0017792F">
      <w:pPr>
        <w:spacing w:line="240" w:lineRule="auto"/>
      </w:pPr>
      <w:r w:rsidRPr="00234383">
        <w:t xml:space="preserve">Na druhej strane, vplyvom globalizácie sa situácia na trhu práce v rozvojových krajinách veľmi podobá tej počas priemyselnej revolúcie. Nadnárodné spoločnosti najímajú na monotónnu prácu hlavne ženy, pretože majú „väčšiu trpezlivosť a šikovnejšie prsty“.  Vďaka nižšiemu statusu žien v týchto krajinách je im možné platiť menej ako mužom, pričom sú výkonnejšie a efektívnejšie ako muži. Rovnako sa predpokladá, že sú poslušnejšie a nebudú sa organizovať v odborových organizáciách. </w:t>
      </w:r>
      <w:r w:rsidRPr="00234383">
        <w:rPr>
          <w:rStyle w:val="Odkaznavysvetlivku"/>
          <w:rFonts w:ascii="Courier New" w:hAnsi="Courier New" w:cs="Courier New"/>
        </w:rPr>
        <w:endnoteReference w:id="14"/>
      </w:r>
    </w:p>
    <w:p w:rsidR="00326231" w:rsidRPr="00234383" w:rsidRDefault="00326231" w:rsidP="0017792F">
      <w:pPr>
        <w:spacing w:line="240" w:lineRule="auto"/>
      </w:pPr>
    </w:p>
    <w:p w:rsidR="00713644" w:rsidRPr="00234383" w:rsidRDefault="00713644" w:rsidP="00843EE2">
      <w:pPr>
        <w:pStyle w:val="Nadpis2"/>
        <w:numPr>
          <w:ilvl w:val="0"/>
          <w:numId w:val="8"/>
        </w:numPr>
      </w:pPr>
      <w:bookmarkStart w:id="10" w:name="_Toc451508609"/>
      <w:r w:rsidRPr="00234383">
        <w:t>Legislatíva o rovnosti v odmeňovaní</w:t>
      </w:r>
      <w:bookmarkEnd w:id="10"/>
    </w:p>
    <w:p w:rsidR="00C36036" w:rsidRDefault="00713644" w:rsidP="00A645C0">
      <w:pPr>
        <w:spacing w:line="240" w:lineRule="auto"/>
      </w:pPr>
      <w:r w:rsidRPr="00234383">
        <w:t xml:space="preserve">S nástupom ľudsko-právneho prístupu vyvolaného zverstvami II. Svetovej vojny a schválením Všeobecnej deklarácie ľudských práv sa začína nesmelo hovoriť aj o rovnosti žien a mužov. Medzinárodná organizácia práce (ILO) prijíma už v roku 1951 </w:t>
      </w:r>
      <w:r w:rsidR="00843EE2" w:rsidRPr="00326231">
        <w:rPr>
          <w:b/>
        </w:rPr>
        <w:t>Dohovor o rovnakom odmeňovaní mužov a žien za prácu rovnakej hodnoty č. 100</w:t>
      </w:r>
      <w:r w:rsidR="00843EE2" w:rsidRPr="00A645C0">
        <w:rPr>
          <w:rFonts w:ascii="Times New Roman" w:eastAsia="Calibri" w:hAnsi="Times New Roman"/>
          <w:b/>
          <w:bCs/>
          <w:szCs w:val="24"/>
          <w:lang w:eastAsia="sk-SK" w:bidi="ar-SA"/>
        </w:rPr>
        <w:t xml:space="preserve"> </w:t>
      </w:r>
      <w:r w:rsidRPr="00A645C0">
        <w:t>(</w:t>
      </w:r>
      <w:proofErr w:type="spellStart"/>
      <w:r w:rsidRPr="00234383">
        <w:t>Equal</w:t>
      </w:r>
      <w:proofErr w:type="spellEnd"/>
      <w:r w:rsidRPr="00234383">
        <w:t xml:space="preserve"> </w:t>
      </w:r>
      <w:proofErr w:type="spellStart"/>
      <w:r w:rsidRPr="00234383">
        <w:t>Remuneration</w:t>
      </w:r>
      <w:proofErr w:type="spellEnd"/>
      <w:r w:rsidRPr="00234383">
        <w:t xml:space="preserve"> </w:t>
      </w:r>
      <w:proofErr w:type="spellStart"/>
      <w:r w:rsidRPr="00234383">
        <w:t>Convention</w:t>
      </w:r>
      <w:proofErr w:type="spellEnd"/>
      <w:r w:rsidRPr="00234383">
        <w:t>, No. 100), ktorý postupne ratifikovalo 146 členských krajín, medzi nimi všetky krajiny Európy. Už tu sa hovorí o princípe rovnakého odmeňovania za rovnakú prácu a prácu rovnakej hod</w:t>
      </w:r>
      <w:r w:rsidR="00843EE2">
        <w:t xml:space="preserve">noty, čo je oveľa širší pojem. </w:t>
      </w:r>
      <w:r w:rsidR="00C36036" w:rsidRPr="00843EE2">
        <w:t>Pojem „rovnaké odme</w:t>
      </w:r>
      <w:r w:rsidR="00C36036" w:rsidRPr="00843EE2">
        <w:rPr>
          <w:rFonts w:hint="eastAsia"/>
        </w:rPr>
        <w:t>ň</w:t>
      </w:r>
      <w:r w:rsidR="00C36036" w:rsidRPr="00843EE2">
        <w:t>ovanie pre pracujúcich mužov a ženy za prácu</w:t>
      </w:r>
      <w:r w:rsidR="00843EE2">
        <w:t xml:space="preserve"> </w:t>
      </w:r>
      <w:r w:rsidR="00C36036" w:rsidRPr="00843EE2">
        <w:t>rovnakej hodnoty“ v ods. 2 sa vz</w:t>
      </w:r>
      <w:r w:rsidR="00C36036" w:rsidRPr="00843EE2">
        <w:rPr>
          <w:rFonts w:hint="eastAsia"/>
        </w:rPr>
        <w:t>ť</w:t>
      </w:r>
      <w:r w:rsidR="00C36036" w:rsidRPr="00843EE2">
        <w:t>ahuje „na tarify odmeny ur</w:t>
      </w:r>
      <w:r w:rsidR="00C36036" w:rsidRPr="00843EE2">
        <w:rPr>
          <w:rFonts w:hint="eastAsia"/>
        </w:rPr>
        <w:t>č</w:t>
      </w:r>
      <w:r w:rsidR="00C36036" w:rsidRPr="00843EE2">
        <w:t>ené bez rozlišovania</w:t>
      </w:r>
      <w:r w:rsidR="00843EE2">
        <w:t xml:space="preserve"> </w:t>
      </w:r>
      <w:r w:rsidR="00C36036" w:rsidRPr="00843EE2">
        <w:t>založeného na pohlaví.“ Presadzovanie zásady rovnakého odme</w:t>
      </w:r>
      <w:r w:rsidR="00C36036" w:rsidRPr="00843EE2">
        <w:rPr>
          <w:rFonts w:hint="eastAsia"/>
        </w:rPr>
        <w:t>ň</w:t>
      </w:r>
      <w:r w:rsidR="00C36036" w:rsidRPr="00843EE2">
        <w:t>ovania žien a</w:t>
      </w:r>
      <w:r w:rsidR="00843EE2">
        <w:t> </w:t>
      </w:r>
      <w:r w:rsidR="00C36036" w:rsidRPr="00843EE2">
        <w:t>mužov</w:t>
      </w:r>
      <w:r w:rsidR="00843EE2">
        <w:t xml:space="preserve"> </w:t>
      </w:r>
      <w:r w:rsidR="00C36036" w:rsidRPr="00843EE2">
        <w:t xml:space="preserve">za prácu rovnakej hodnoty zo strany </w:t>
      </w:r>
      <w:r w:rsidR="00C36036" w:rsidRPr="00843EE2">
        <w:rPr>
          <w:rFonts w:hint="eastAsia"/>
        </w:rPr>
        <w:t>č</w:t>
      </w:r>
      <w:r w:rsidR="00C36036" w:rsidRPr="00843EE2">
        <w:t>lenského štátu je možné realizova</w:t>
      </w:r>
      <w:r w:rsidR="00C36036" w:rsidRPr="00843EE2">
        <w:rPr>
          <w:rFonts w:hint="eastAsia"/>
        </w:rPr>
        <w:t>ť</w:t>
      </w:r>
      <w:r w:rsidR="00843EE2">
        <w:t xml:space="preserve"> </w:t>
      </w:r>
      <w:r w:rsidR="00C36036" w:rsidRPr="00843EE2">
        <w:t>prostredníctvom vnútroštátneho zákonodarstva, zákonne zavedenými alebo</w:t>
      </w:r>
      <w:r w:rsidR="00843EE2">
        <w:t xml:space="preserve"> </w:t>
      </w:r>
      <w:r w:rsidR="00C36036" w:rsidRPr="00843EE2">
        <w:t>uznávanými metódami ur</w:t>
      </w:r>
      <w:r w:rsidR="00C36036" w:rsidRPr="00843EE2">
        <w:rPr>
          <w:rFonts w:hint="eastAsia"/>
        </w:rPr>
        <w:t>č</w:t>
      </w:r>
      <w:r w:rsidR="00C36036" w:rsidRPr="00843EE2">
        <w:t>enia miezd, kolektívnymi zmluvami alebo kombináciou</w:t>
      </w:r>
      <w:r w:rsidR="00843EE2">
        <w:t xml:space="preserve"> </w:t>
      </w:r>
      <w:r w:rsidR="00C36036" w:rsidRPr="00843EE2">
        <w:t>týchto rôznych prostriedkov. Štát by mal rozvíja</w:t>
      </w:r>
      <w:r w:rsidR="00C36036" w:rsidRPr="00843EE2">
        <w:rPr>
          <w:rFonts w:hint="eastAsia"/>
        </w:rPr>
        <w:t>ť</w:t>
      </w:r>
      <w:r w:rsidR="00C36036" w:rsidRPr="00843EE2">
        <w:t xml:space="preserve"> a implementova</w:t>
      </w:r>
      <w:r w:rsidR="00C36036" w:rsidRPr="00843EE2">
        <w:rPr>
          <w:rFonts w:hint="eastAsia"/>
        </w:rPr>
        <w:t>ť</w:t>
      </w:r>
      <w:r w:rsidR="00C36036" w:rsidRPr="00843EE2">
        <w:t xml:space="preserve"> národné</w:t>
      </w:r>
      <w:r w:rsidR="00843EE2">
        <w:t xml:space="preserve"> </w:t>
      </w:r>
      <w:r w:rsidR="00C36036" w:rsidRPr="00843EE2">
        <w:t>politiky, ktoré zabezpe</w:t>
      </w:r>
      <w:r w:rsidR="00C36036" w:rsidRPr="00843EE2">
        <w:rPr>
          <w:rFonts w:hint="eastAsia"/>
        </w:rPr>
        <w:t>č</w:t>
      </w:r>
      <w:r w:rsidR="00C36036" w:rsidRPr="00843EE2">
        <w:t>ujú rovnaké príležitosti a rovnaký prístup k vzdelávaniu,</w:t>
      </w:r>
      <w:r w:rsidR="00843EE2">
        <w:t xml:space="preserve"> </w:t>
      </w:r>
      <w:r w:rsidR="00C36036" w:rsidRPr="00843EE2">
        <w:t>kariérnemu postupu a zamestnaniu pre mužov a ženy vrátane rovnakého odme</w:t>
      </w:r>
      <w:r w:rsidR="00C36036" w:rsidRPr="00843EE2">
        <w:rPr>
          <w:rFonts w:hint="eastAsia"/>
        </w:rPr>
        <w:t>ň</w:t>
      </w:r>
      <w:r w:rsidR="00C36036" w:rsidRPr="00843EE2">
        <w:t>ovania</w:t>
      </w:r>
      <w:r w:rsidR="00843EE2">
        <w:t xml:space="preserve"> </w:t>
      </w:r>
      <w:r w:rsidR="00C36036" w:rsidRPr="00843EE2">
        <w:t>žien a mužov za prácu rovnakej hodnoty a eliminova</w:t>
      </w:r>
      <w:r w:rsidR="00C36036" w:rsidRPr="00843EE2">
        <w:rPr>
          <w:rFonts w:hint="eastAsia"/>
        </w:rPr>
        <w:t>ť</w:t>
      </w:r>
      <w:r w:rsidR="00C36036" w:rsidRPr="00843EE2">
        <w:t xml:space="preserve"> platové rozdiely založené na</w:t>
      </w:r>
      <w:r w:rsidR="00843EE2">
        <w:t xml:space="preserve"> </w:t>
      </w:r>
      <w:r w:rsidR="00C36036" w:rsidRPr="00843EE2">
        <w:t>pohlaví a rode a tiež pravidelne vypracováva</w:t>
      </w:r>
      <w:r w:rsidR="00C36036" w:rsidRPr="00843EE2">
        <w:rPr>
          <w:rFonts w:hint="eastAsia"/>
        </w:rPr>
        <w:t>ť</w:t>
      </w:r>
      <w:r w:rsidR="00C36036" w:rsidRPr="00843EE2">
        <w:t>, zverej</w:t>
      </w:r>
      <w:r w:rsidR="00C36036" w:rsidRPr="00843EE2">
        <w:rPr>
          <w:rFonts w:hint="eastAsia"/>
        </w:rPr>
        <w:t>ň</w:t>
      </w:r>
      <w:r w:rsidR="00C36036" w:rsidRPr="00843EE2">
        <w:t>ova</w:t>
      </w:r>
      <w:r w:rsidR="00C36036" w:rsidRPr="00843EE2">
        <w:rPr>
          <w:rFonts w:hint="eastAsia"/>
        </w:rPr>
        <w:t>ť</w:t>
      </w:r>
      <w:r w:rsidR="00C36036" w:rsidRPr="00843EE2">
        <w:t xml:space="preserve"> a rozširova</w:t>
      </w:r>
      <w:r w:rsidR="00C36036" w:rsidRPr="00843EE2">
        <w:rPr>
          <w:rFonts w:hint="eastAsia"/>
        </w:rPr>
        <w:t>ť</w:t>
      </w:r>
      <w:r w:rsidR="00C36036" w:rsidRPr="00843EE2">
        <w:t xml:space="preserve"> rodovo</w:t>
      </w:r>
      <w:r w:rsidR="00843EE2">
        <w:t xml:space="preserve"> </w:t>
      </w:r>
      <w:r w:rsidR="00C36036" w:rsidRPr="00843EE2">
        <w:rPr>
          <w:rFonts w:hint="eastAsia"/>
        </w:rPr>
        <w:t>č</w:t>
      </w:r>
      <w:r w:rsidR="00C36036" w:rsidRPr="00843EE2">
        <w:t xml:space="preserve">lenené dáta o indikátoroch trhu práce s prihliadnutím na </w:t>
      </w:r>
      <w:r w:rsidR="00C36036" w:rsidRPr="00843EE2">
        <w:rPr>
          <w:rFonts w:hint="eastAsia"/>
        </w:rPr>
        <w:t>ď</w:t>
      </w:r>
      <w:r w:rsidR="00C36036" w:rsidRPr="00843EE2">
        <w:t>alšie formy</w:t>
      </w:r>
      <w:r w:rsidR="00843EE2">
        <w:t xml:space="preserve"> </w:t>
      </w:r>
      <w:r w:rsidR="00C36036" w:rsidRPr="00843EE2">
        <w:t>diskriminácie.</w:t>
      </w:r>
    </w:p>
    <w:p w:rsidR="00713644" w:rsidRPr="00234383" w:rsidRDefault="00843EE2" w:rsidP="007F0491">
      <w:r>
        <w:t xml:space="preserve">V </w:t>
      </w:r>
      <w:r w:rsidR="00713644" w:rsidRPr="00234383">
        <w:t>nasledujúcom texte je uvedený vývoj legislatívy vo vybraných štátoch</w:t>
      </w:r>
      <w:r>
        <w:t>, vrátane pozície k Dohovoru ILO</w:t>
      </w:r>
      <w:r w:rsidR="00713644" w:rsidRPr="00234383">
        <w:t xml:space="preserve">. </w:t>
      </w:r>
    </w:p>
    <w:p w:rsidR="00713644" w:rsidRPr="00DB3771" w:rsidRDefault="00713644" w:rsidP="007F0491">
      <w:pPr>
        <w:rPr>
          <w:b/>
        </w:rPr>
      </w:pPr>
      <w:r w:rsidRPr="00DB3771">
        <w:rPr>
          <w:b/>
        </w:rPr>
        <w:t>Francúzsko</w:t>
      </w:r>
    </w:p>
    <w:p w:rsidR="00713644" w:rsidRPr="00234383" w:rsidRDefault="00713644" w:rsidP="0017792F">
      <w:pPr>
        <w:spacing w:line="240" w:lineRule="auto"/>
      </w:pPr>
      <w:r w:rsidRPr="00234383">
        <w:t>Priekopníkom v princípe rovnakého odmeňovania za rovnakú prácu bolo Francúzsko, ktoré pre učiteľky a učiteľov majúcich kvalifikáciu zakotvilo "</w:t>
      </w:r>
      <w:proofErr w:type="spellStart"/>
      <w:r w:rsidRPr="00234383">
        <w:t>égalité</w:t>
      </w:r>
      <w:proofErr w:type="spellEnd"/>
      <w:r w:rsidRPr="00234383">
        <w:t xml:space="preserve"> </w:t>
      </w:r>
      <w:proofErr w:type="spellStart"/>
      <w:r w:rsidRPr="00234383">
        <w:t>de</w:t>
      </w:r>
      <w:proofErr w:type="spellEnd"/>
      <w:r w:rsidRPr="00234383">
        <w:t xml:space="preserve"> </w:t>
      </w:r>
      <w:proofErr w:type="spellStart"/>
      <w:r w:rsidRPr="00234383">
        <w:t>rémunération</w:t>
      </w:r>
      <w:proofErr w:type="spellEnd"/>
      <w:r w:rsidRPr="00234383">
        <w:t>" zákonom už v roku 1927</w:t>
      </w:r>
      <w:r w:rsidRPr="00234383">
        <w:rPr>
          <w:rStyle w:val="Odkaznavysvetlivku"/>
          <w:rFonts w:ascii="Courier New" w:hAnsi="Courier New" w:cs="Courier New"/>
        </w:rPr>
        <w:endnoteReference w:id="15"/>
      </w:r>
      <w:r w:rsidRPr="00234383">
        <w:t xml:space="preserve">. Preambula francúzskej ústavy z roku 1946 zaručuje ženám rovnaké práva s mužskými vo všetkých oblastiach. </w:t>
      </w:r>
      <w:r w:rsidRPr="00326231">
        <w:rPr>
          <w:b/>
        </w:rPr>
        <w:t>Zákon o rovnakom odmeňovaní</w:t>
      </w:r>
      <w:r w:rsidRPr="00234383">
        <w:t xml:space="preserve">, ktorý bol prijatý v roku 1972 hovorí: „každý zamestnávateľ musí zabezpečiť rovnaké odmeňovanie pre mužov a ženy za rovnakú prácu alebo prácu rovnakej hodnoty“. </w:t>
      </w:r>
      <w:r w:rsidRPr="00234383">
        <w:rPr>
          <w:sz w:val="20"/>
          <w:szCs w:val="20"/>
          <w:vertAlign w:val="superscript"/>
        </w:rPr>
        <w:endnoteReference w:id="16"/>
      </w:r>
      <w:r w:rsidRPr="00234383">
        <w:rPr>
          <w:sz w:val="20"/>
          <w:szCs w:val="20"/>
          <w:vertAlign w:val="superscript"/>
        </w:rPr>
        <w:t xml:space="preserve"> </w:t>
      </w:r>
      <w:r w:rsidR="00DB3771">
        <w:rPr>
          <w:sz w:val="20"/>
          <w:szCs w:val="20"/>
          <w:vertAlign w:val="superscript"/>
        </w:rPr>
        <w:t xml:space="preserve"> </w:t>
      </w:r>
      <w:r w:rsidRPr="00234383">
        <w:t>Francúzsko ratifikovala Dohovor ILO o rovnakom odmeňovaní v roku 1953. Práve ono zohráva v tejto oblasti dôležitú úlohu aj na úrovni Európskej únie (viď kapitola o EÚ)</w:t>
      </w:r>
      <w:r w:rsidR="00843EE2">
        <w:t>.</w:t>
      </w:r>
    </w:p>
    <w:p w:rsidR="00713644" w:rsidRPr="00DB3771" w:rsidRDefault="00713644" w:rsidP="007F0491">
      <w:pPr>
        <w:rPr>
          <w:b/>
        </w:rPr>
      </w:pPr>
      <w:r w:rsidRPr="00DB3771">
        <w:rPr>
          <w:b/>
        </w:rPr>
        <w:t>USA</w:t>
      </w:r>
    </w:p>
    <w:p w:rsidR="00713644" w:rsidRPr="00234383" w:rsidRDefault="00713644" w:rsidP="0017792F">
      <w:pPr>
        <w:spacing w:line="240" w:lineRule="auto"/>
      </w:pPr>
      <w:r w:rsidRPr="00234383">
        <w:t xml:space="preserve">V USA bol v roku </w:t>
      </w:r>
      <w:r w:rsidR="00620092" w:rsidRPr="00234383">
        <w:t xml:space="preserve">1963 </w:t>
      </w:r>
      <w:r w:rsidR="00620092">
        <w:t xml:space="preserve">federálnou vládou </w:t>
      </w:r>
      <w:r w:rsidRPr="00234383">
        <w:t xml:space="preserve">schválený tzv. </w:t>
      </w:r>
      <w:proofErr w:type="spellStart"/>
      <w:r w:rsidRPr="00326231">
        <w:rPr>
          <w:b/>
        </w:rPr>
        <w:t>United</w:t>
      </w:r>
      <w:proofErr w:type="spellEnd"/>
      <w:r w:rsidRPr="00326231">
        <w:rPr>
          <w:b/>
        </w:rPr>
        <w:t xml:space="preserve"> </w:t>
      </w:r>
      <w:proofErr w:type="spellStart"/>
      <w:r w:rsidRPr="00326231">
        <w:rPr>
          <w:b/>
        </w:rPr>
        <w:t>States</w:t>
      </w:r>
      <w:proofErr w:type="spellEnd"/>
      <w:r w:rsidRPr="00326231">
        <w:rPr>
          <w:b/>
        </w:rPr>
        <w:t xml:space="preserve"> </w:t>
      </w:r>
      <w:proofErr w:type="spellStart"/>
      <w:r w:rsidRPr="00326231">
        <w:rPr>
          <w:b/>
        </w:rPr>
        <w:t>Equal</w:t>
      </w:r>
      <w:proofErr w:type="spellEnd"/>
      <w:r w:rsidRPr="00326231">
        <w:rPr>
          <w:b/>
        </w:rPr>
        <w:t xml:space="preserve"> </w:t>
      </w:r>
      <w:proofErr w:type="spellStart"/>
      <w:r w:rsidRPr="00326231">
        <w:rPr>
          <w:b/>
        </w:rPr>
        <w:t>Pay</w:t>
      </w:r>
      <w:proofErr w:type="spellEnd"/>
      <w:r w:rsidRPr="00326231">
        <w:rPr>
          <w:b/>
        </w:rPr>
        <w:t xml:space="preserve"> </w:t>
      </w:r>
      <w:proofErr w:type="spellStart"/>
      <w:r w:rsidRPr="00326231">
        <w:rPr>
          <w:b/>
        </w:rPr>
        <w:t>Act</w:t>
      </w:r>
      <w:proofErr w:type="spellEnd"/>
      <w:r w:rsidRPr="00326231">
        <w:rPr>
          <w:b/>
        </w:rPr>
        <w:t>,</w:t>
      </w:r>
      <w:r w:rsidRPr="00234383">
        <w:t xml:space="preserve"> ktorý zakazoval rozdielne odmeňovanie mužov a žien za rovnakú prácu, vyžadujúcu rovnaké vlastnosti, kvalifikáciu a zodpovednosť a vykonávanú za porovnateľných pracovných podmienok. V roku 1964 bol zakotvený aj princíp rovnakej práce za prácu porovnateľnej hodnoty. USA však neratifikovali Dohovor ILO o rovnakom odmeňovaní.</w:t>
      </w:r>
      <w:r w:rsidRPr="00234383">
        <w:rPr>
          <w:rStyle w:val="Odkaznavysvetlivku"/>
          <w:rFonts w:ascii="Courier New" w:hAnsi="Courier New" w:cs="Courier New"/>
        </w:rPr>
        <w:endnoteReference w:id="17"/>
      </w:r>
      <w:r w:rsidRPr="00234383">
        <w:t xml:space="preserve"> </w:t>
      </w:r>
    </w:p>
    <w:p w:rsidR="00713644" w:rsidRPr="00DB3771" w:rsidRDefault="00713644" w:rsidP="007F0491">
      <w:pPr>
        <w:rPr>
          <w:b/>
        </w:rPr>
      </w:pPr>
      <w:r w:rsidRPr="00DB3771">
        <w:rPr>
          <w:b/>
        </w:rPr>
        <w:t>Veľká Británia</w:t>
      </w:r>
    </w:p>
    <w:p w:rsidR="00713644" w:rsidRPr="00234383" w:rsidRDefault="00713644" w:rsidP="0017792F">
      <w:pPr>
        <w:spacing w:line="240" w:lineRule="auto"/>
      </w:pPr>
      <w:r w:rsidRPr="00234383">
        <w:t>V roku 1968 štrajkovali ženské sústružníčky</w:t>
      </w:r>
      <w:r w:rsidRPr="00234383">
        <w:rPr>
          <w:rStyle w:val="Odkaznavysvetlivku"/>
          <w:rFonts w:ascii="Courier New" w:hAnsi="Courier New" w:cs="Courier New"/>
        </w:rPr>
        <w:endnoteReference w:id="18"/>
      </w:r>
      <w:r w:rsidRPr="00234383">
        <w:t xml:space="preserve"> vo Veľkej Británii proti stereotypnej hierarchii založenej na diskriminácii podľa pohlavia. Zakrátko nato, v</w:t>
      </w:r>
      <w:r w:rsidR="00620092">
        <w:t xml:space="preserve"> roku </w:t>
      </w:r>
      <w:r w:rsidRPr="00234383">
        <w:t xml:space="preserve">1970 bol schválený </w:t>
      </w:r>
      <w:proofErr w:type="spellStart"/>
      <w:r w:rsidRPr="00326231">
        <w:rPr>
          <w:b/>
        </w:rPr>
        <w:t>Equal</w:t>
      </w:r>
      <w:proofErr w:type="spellEnd"/>
      <w:r w:rsidRPr="00326231">
        <w:rPr>
          <w:b/>
        </w:rPr>
        <w:t xml:space="preserve"> </w:t>
      </w:r>
      <w:proofErr w:type="spellStart"/>
      <w:r w:rsidRPr="00326231">
        <w:rPr>
          <w:b/>
        </w:rPr>
        <w:t>Pay</w:t>
      </w:r>
      <w:proofErr w:type="spellEnd"/>
      <w:r w:rsidRPr="00326231">
        <w:rPr>
          <w:b/>
        </w:rPr>
        <w:t xml:space="preserve"> </w:t>
      </w:r>
      <w:proofErr w:type="spellStart"/>
      <w:r w:rsidRPr="00326231">
        <w:rPr>
          <w:b/>
        </w:rPr>
        <w:t>Act</w:t>
      </w:r>
      <w:proofErr w:type="spellEnd"/>
      <w:r w:rsidRPr="00234383">
        <w:t xml:space="preserve">, ktorý vstúpil do účinnosti </w:t>
      </w:r>
      <w:r w:rsidR="00620092">
        <w:t xml:space="preserve">v roku </w:t>
      </w:r>
      <w:r w:rsidRPr="00234383">
        <w:t xml:space="preserve">1975 a doplnený ďalším predpisom </w:t>
      </w:r>
      <w:r w:rsidRPr="00326231">
        <w:rPr>
          <w:b/>
        </w:rPr>
        <w:t xml:space="preserve">Sex </w:t>
      </w:r>
      <w:proofErr w:type="spellStart"/>
      <w:r w:rsidRPr="00326231">
        <w:rPr>
          <w:b/>
        </w:rPr>
        <w:t>Discrimination</w:t>
      </w:r>
      <w:proofErr w:type="spellEnd"/>
      <w:r w:rsidRPr="00326231">
        <w:rPr>
          <w:b/>
        </w:rPr>
        <w:t xml:space="preserve"> </w:t>
      </w:r>
      <w:proofErr w:type="spellStart"/>
      <w:r w:rsidRPr="00326231">
        <w:rPr>
          <w:b/>
        </w:rPr>
        <w:t>Act</w:t>
      </w:r>
      <w:proofErr w:type="spellEnd"/>
      <w:r w:rsidRPr="00234383">
        <w:t xml:space="preserve"> (1975). Vo Veľkej Británii sa používa pojem "</w:t>
      </w:r>
      <w:proofErr w:type="spellStart"/>
      <w:r w:rsidRPr="00326231">
        <w:rPr>
          <w:i/>
        </w:rPr>
        <w:t>equal</w:t>
      </w:r>
      <w:proofErr w:type="spellEnd"/>
      <w:r w:rsidRPr="00326231">
        <w:rPr>
          <w:i/>
        </w:rPr>
        <w:t xml:space="preserve"> </w:t>
      </w:r>
      <w:proofErr w:type="spellStart"/>
      <w:r w:rsidRPr="00326231">
        <w:rPr>
          <w:i/>
        </w:rPr>
        <w:t>pay</w:t>
      </w:r>
      <w:proofErr w:type="spellEnd"/>
      <w:r w:rsidRPr="00326231">
        <w:rPr>
          <w:i/>
        </w:rPr>
        <w:t xml:space="preserve"> </w:t>
      </w:r>
      <w:proofErr w:type="spellStart"/>
      <w:r w:rsidRPr="00326231">
        <w:rPr>
          <w:i/>
        </w:rPr>
        <w:t>for</w:t>
      </w:r>
      <w:proofErr w:type="spellEnd"/>
      <w:r w:rsidRPr="00326231">
        <w:rPr>
          <w:i/>
        </w:rPr>
        <w:t xml:space="preserve"> </w:t>
      </w:r>
      <w:proofErr w:type="spellStart"/>
      <w:r w:rsidRPr="00326231">
        <w:rPr>
          <w:i/>
        </w:rPr>
        <w:t>work</w:t>
      </w:r>
      <w:proofErr w:type="spellEnd"/>
      <w:r w:rsidRPr="00326231">
        <w:rPr>
          <w:i/>
        </w:rPr>
        <w:t xml:space="preserve"> </w:t>
      </w:r>
      <w:proofErr w:type="spellStart"/>
      <w:r w:rsidRPr="00326231">
        <w:rPr>
          <w:i/>
        </w:rPr>
        <w:t>of</w:t>
      </w:r>
      <w:proofErr w:type="spellEnd"/>
      <w:r w:rsidRPr="00326231">
        <w:rPr>
          <w:i/>
        </w:rPr>
        <w:t xml:space="preserve"> </w:t>
      </w:r>
      <w:proofErr w:type="spellStart"/>
      <w:r w:rsidRPr="00326231">
        <w:rPr>
          <w:i/>
        </w:rPr>
        <w:t>equal</w:t>
      </w:r>
      <w:proofErr w:type="spellEnd"/>
      <w:r w:rsidRPr="00326231">
        <w:rPr>
          <w:i/>
        </w:rPr>
        <w:t xml:space="preserve"> </w:t>
      </w:r>
      <w:proofErr w:type="spellStart"/>
      <w:r w:rsidRPr="00326231">
        <w:rPr>
          <w:i/>
        </w:rPr>
        <w:t>value</w:t>
      </w:r>
      <w:proofErr w:type="spellEnd"/>
      <w:r w:rsidRPr="00234383">
        <w:t>" (rovnaká odmena za prácu rovnakej hodnoty). Veľká Británia ratifikovala Dohovor ILO o rovnakom odmeňovaní v roku 1971.</w:t>
      </w:r>
    </w:p>
    <w:p w:rsidR="00713644" w:rsidRPr="00DB3771" w:rsidRDefault="00713644" w:rsidP="007F0491">
      <w:pPr>
        <w:rPr>
          <w:b/>
        </w:rPr>
      </w:pPr>
      <w:r w:rsidRPr="00DB3771">
        <w:rPr>
          <w:b/>
        </w:rPr>
        <w:t>Nemecko</w:t>
      </w:r>
    </w:p>
    <w:p w:rsidR="00713644" w:rsidRPr="00234383" w:rsidRDefault="00713644" w:rsidP="0017792F">
      <w:pPr>
        <w:spacing w:line="240" w:lineRule="auto"/>
      </w:pPr>
      <w:r w:rsidRPr="00234383">
        <w:t>Článok 3 nemeckého Základného zákona (ústavy) zakotvuje v roku 1949 rovnoprávnosť mužov a žien a hovorí, že nikto nesmie byť znevýhodňovaný alebo zvýhodňovaný na základe pohlavia. Zákonník práce z roku 1972 vyžaduje, aby každý zamestnávateľ zabezpečil rovnaké zaobchádzanie pre každú osobu so zvláštnym dôrazom na pohlavie.</w:t>
      </w:r>
      <w:r w:rsidRPr="00234383">
        <w:rPr>
          <w:vertAlign w:val="superscript"/>
        </w:rPr>
        <w:endnoteReference w:id="19"/>
      </w:r>
      <w:r w:rsidRPr="00234383">
        <w:t xml:space="preserve"> V Nemecku sa používa termín "</w:t>
      </w:r>
      <w:proofErr w:type="spellStart"/>
      <w:r w:rsidRPr="00326231">
        <w:rPr>
          <w:i/>
        </w:rPr>
        <w:t>Gleicher</w:t>
      </w:r>
      <w:proofErr w:type="spellEnd"/>
      <w:r w:rsidRPr="00326231">
        <w:rPr>
          <w:i/>
        </w:rPr>
        <w:t xml:space="preserve"> </w:t>
      </w:r>
      <w:proofErr w:type="spellStart"/>
      <w:r w:rsidRPr="00326231">
        <w:rPr>
          <w:i/>
        </w:rPr>
        <w:t>Lohn</w:t>
      </w:r>
      <w:proofErr w:type="spellEnd"/>
      <w:r w:rsidRPr="00326231">
        <w:rPr>
          <w:i/>
        </w:rPr>
        <w:t xml:space="preserve"> </w:t>
      </w:r>
      <w:proofErr w:type="spellStart"/>
      <w:r w:rsidRPr="00326231">
        <w:rPr>
          <w:i/>
        </w:rPr>
        <w:t>für</w:t>
      </w:r>
      <w:proofErr w:type="spellEnd"/>
      <w:r w:rsidRPr="00326231">
        <w:rPr>
          <w:i/>
        </w:rPr>
        <w:t xml:space="preserve"> </w:t>
      </w:r>
      <w:proofErr w:type="spellStart"/>
      <w:r w:rsidRPr="00326231">
        <w:rPr>
          <w:i/>
        </w:rPr>
        <w:t>gleichwertige</w:t>
      </w:r>
      <w:proofErr w:type="spellEnd"/>
      <w:r w:rsidRPr="00326231">
        <w:rPr>
          <w:i/>
        </w:rPr>
        <w:t xml:space="preserve"> </w:t>
      </w:r>
      <w:proofErr w:type="spellStart"/>
      <w:r w:rsidRPr="00326231">
        <w:rPr>
          <w:i/>
        </w:rPr>
        <w:t>Arbeit</w:t>
      </w:r>
      <w:proofErr w:type="spellEnd"/>
      <w:r w:rsidRPr="00234383">
        <w:t>", teda rovnaké odmeňovanie za prácu rovnakej hodnoty. Nemecko ratifikovalo Dohovor ILO o rovnakom odmeňovaní v roku 1956.</w:t>
      </w:r>
    </w:p>
    <w:p w:rsidR="00713644" w:rsidRPr="00DB3771" w:rsidRDefault="00713644" w:rsidP="007F0491">
      <w:pPr>
        <w:rPr>
          <w:b/>
        </w:rPr>
      </w:pPr>
      <w:r w:rsidRPr="00DB3771">
        <w:rPr>
          <w:b/>
        </w:rPr>
        <w:t>Fínsko</w:t>
      </w:r>
    </w:p>
    <w:p w:rsidR="00713644" w:rsidRPr="00234383" w:rsidRDefault="00713644" w:rsidP="0017792F">
      <w:pPr>
        <w:spacing w:line="240" w:lineRule="auto"/>
      </w:pPr>
      <w:r w:rsidRPr="00234383">
        <w:t>Ústava Fínska z roku 1919 zaručuje v článku 5 rovnosť všetkých občanov pred právom. Zákon o zamestnaneckých zmluvách</w:t>
      </w:r>
      <w:r w:rsidRPr="00234383">
        <w:rPr>
          <w:vertAlign w:val="superscript"/>
        </w:rPr>
        <w:endnoteReference w:id="20"/>
      </w:r>
      <w:r w:rsidRPr="00234383">
        <w:t xml:space="preserve"> z roku 1970 zakazuje diskrimináciu na základe pohlavia</w:t>
      </w:r>
      <w:r w:rsidR="00620092">
        <w:t xml:space="preserve"> v</w:t>
      </w:r>
      <w:r w:rsidRPr="00234383">
        <w:t xml:space="preserve"> zamestnaneckom pomere. Zákon o rovnoprávnosti žien a mužov vstupuje do platnosti v roku 1987 a zakotvuje princíp rovnakého odmeňovania ("</w:t>
      </w:r>
      <w:proofErr w:type="spellStart"/>
      <w:r w:rsidRPr="00234383">
        <w:t>samapalkkaisuus</w:t>
      </w:r>
      <w:proofErr w:type="spellEnd"/>
      <w:r w:rsidRPr="00234383">
        <w:t>"). Fínsko ratifikovalo Dohovor ILO o rovnakom odmeňovaní v roku 1963.</w:t>
      </w:r>
    </w:p>
    <w:p w:rsidR="00713644" w:rsidRPr="00DB3771" w:rsidRDefault="00713644" w:rsidP="007F0491">
      <w:pPr>
        <w:rPr>
          <w:b/>
        </w:rPr>
      </w:pPr>
      <w:r w:rsidRPr="00DB3771">
        <w:rPr>
          <w:b/>
        </w:rPr>
        <w:t>Československo</w:t>
      </w:r>
    </w:p>
    <w:p w:rsidR="00713644" w:rsidRPr="00234383" w:rsidRDefault="00713644" w:rsidP="0017792F">
      <w:pPr>
        <w:spacing w:line="240" w:lineRule="auto"/>
      </w:pPr>
      <w:r w:rsidRPr="00234383">
        <w:t>Po skončení vojny, v novej Československej republike bola „v júli 1945 oficiálne vyhlásená mzdová rovnoprávnosť medzi mužmi a ženami.</w:t>
      </w:r>
      <w:r w:rsidRPr="00234383">
        <w:rPr>
          <w:rStyle w:val="Odkaznavysvetlivku"/>
          <w:rFonts w:ascii="Courier New" w:hAnsi="Courier New" w:cs="Courier New"/>
        </w:rPr>
        <w:endnoteReference w:id="21"/>
      </w:r>
      <w:r w:rsidRPr="00234383">
        <w:t xml:space="preserve"> Mzdové sadzby po tomto vyhlásení neboli už stanovené osobitne  pre mužov a osobitne pre ženy. Existujúce mzdové skupiny mali aj napriek tomu ešte znaky predchádzajúceho rozlišovania mužov a žien. Bolo to zrejmé z vytvorenia skupiny robotníkov pre ťažšie práce a pre ľahšie práce, pričom  ťažšie práce  vykonávali výhradne muži (boli lepšie platené). Až  po zavedení tarifno-kvalifikačných katalógov v rokoch 1958</w:t>
      </w:r>
      <w:r w:rsidR="00A645C0">
        <w:t xml:space="preserve"> </w:t>
      </w:r>
      <w:r w:rsidRPr="00234383">
        <w:t>-</w:t>
      </w:r>
      <w:r w:rsidR="00A645C0">
        <w:t xml:space="preserve"> </w:t>
      </w:r>
      <w:r w:rsidRPr="00234383">
        <w:t>1960 boli priznané robotníkom kvalifikačné triedy na základe kvalifikačných skúšok.</w:t>
      </w:r>
    </w:p>
    <w:p w:rsidR="00713644" w:rsidRPr="00234383" w:rsidRDefault="00713644" w:rsidP="00713644">
      <w:pPr>
        <w:autoSpaceDE w:val="0"/>
        <w:autoSpaceDN w:val="0"/>
        <w:adjustRightInd w:val="0"/>
        <w:spacing w:after="120" w:line="360" w:lineRule="auto"/>
        <w:rPr>
          <w:rFonts w:ascii="Courier New" w:hAnsi="Courier New" w:cs="Courier New"/>
          <w:b/>
        </w:rPr>
      </w:pPr>
      <w:bookmarkStart w:id="11" w:name="British_Equal_Pay_Act_of_1970"/>
      <w:bookmarkEnd w:id="11"/>
    </w:p>
    <w:p w:rsidR="00A645C0" w:rsidRDefault="00A645C0">
      <w:pPr>
        <w:shd w:val="clear" w:color="auto" w:fill="auto"/>
        <w:spacing w:after="0" w:line="240" w:lineRule="auto"/>
        <w:jc w:val="left"/>
        <w:rPr>
          <w:caps/>
          <w:color w:val="000000"/>
          <w:sz w:val="28"/>
          <w:szCs w:val="24"/>
        </w:rPr>
      </w:pPr>
      <w:bookmarkStart w:id="12" w:name="_Toc451508610"/>
      <w:r>
        <w:br w:type="page"/>
      </w:r>
    </w:p>
    <w:p w:rsidR="00713644" w:rsidRPr="00234383" w:rsidRDefault="00713644" w:rsidP="00843EE2">
      <w:pPr>
        <w:pStyle w:val="Nadpis3"/>
      </w:pPr>
      <w:r w:rsidRPr="00234383">
        <w:t>Európska únia</w:t>
      </w:r>
      <w:bookmarkEnd w:id="12"/>
    </w:p>
    <w:p w:rsidR="00713644" w:rsidRPr="00234383" w:rsidRDefault="00713644" w:rsidP="0017792F">
      <w:pPr>
        <w:spacing w:line="240" w:lineRule="auto"/>
      </w:pPr>
      <w:r w:rsidRPr="00234383">
        <w:t xml:space="preserve">Už </w:t>
      </w:r>
      <w:r w:rsidRPr="00326231">
        <w:rPr>
          <w:b/>
        </w:rPr>
        <w:t>Rímska zmluva</w:t>
      </w:r>
      <w:r w:rsidRPr="00234383">
        <w:t xml:space="preserve"> (1957) o založení Európskeho spoločenstva zakotvila v článku 119 (teraz článok 141) princíp rovnakého odmeňovania medzi mužmi a ženami za rovnakú prácu a prácu rovnakej hodnoty. Článok 119 hovorí:</w:t>
      </w:r>
    </w:p>
    <w:p w:rsidR="00DB3771" w:rsidRDefault="00713644" w:rsidP="00326231">
      <w:pPr>
        <w:spacing w:after="0" w:line="240" w:lineRule="auto"/>
        <w:ind w:left="426"/>
        <w:rPr>
          <w:i/>
        </w:rPr>
      </w:pPr>
      <w:r w:rsidRPr="00234383">
        <w:t>„</w:t>
      </w:r>
      <w:r w:rsidRPr="00DB3771">
        <w:rPr>
          <w:i/>
        </w:rPr>
        <w:t>V priebehu prvej etapy každý členský štát zabezpečí uplatňovanie a ďalšie dodržiavanie zásady rovnakej odmeny mužov a žien za rovnakú prácu. V zmysle tohto článku „odmena“ znamená obvyklú základnú alebo minimálnu mzdu alebo plat a všetky ďalšie plnenia, či už v peňažnej forme alebo v naturáliách, ktoré zamestnávateľ vypláca priamo alebo nepriamo, pracovníkovi v pracovnom pomere.</w:t>
      </w:r>
      <w:r w:rsidR="00DB3771">
        <w:rPr>
          <w:i/>
        </w:rPr>
        <w:t xml:space="preserve"> </w:t>
      </w:r>
      <w:r w:rsidRPr="00DB3771">
        <w:rPr>
          <w:i/>
        </w:rPr>
        <w:t>Rovnosť odmeňovania bez rozdielu pohlavia znamená:</w:t>
      </w:r>
    </w:p>
    <w:p w:rsidR="00713644" w:rsidRPr="00DB3771" w:rsidRDefault="00713644" w:rsidP="00326231">
      <w:pPr>
        <w:spacing w:after="0"/>
        <w:ind w:left="426"/>
        <w:rPr>
          <w:i/>
        </w:rPr>
      </w:pPr>
      <w:r w:rsidRPr="00DB3771">
        <w:rPr>
          <w:i/>
        </w:rPr>
        <w:t>- že odmena za rovnakú prácu pri úkolovej mzde sa vypočíta podľa rovnakej sadzby,</w:t>
      </w:r>
    </w:p>
    <w:p w:rsidR="00713644" w:rsidRDefault="00713644" w:rsidP="00326231">
      <w:pPr>
        <w:spacing w:after="0"/>
        <w:ind w:left="426"/>
        <w:rPr>
          <w:i/>
        </w:rPr>
      </w:pPr>
      <w:r w:rsidRPr="00DB3771">
        <w:rPr>
          <w:i/>
        </w:rPr>
        <w:t>- že odmena za prácu je pri časovej mzde za rovnakú prácu rovnaká.“</w:t>
      </w:r>
      <w:r w:rsidRPr="00DB3771">
        <w:rPr>
          <w:rStyle w:val="Odkaznavysvetlivku"/>
          <w:rFonts w:ascii="Courier New" w:hAnsi="Courier New" w:cs="Courier New"/>
          <w:i/>
        </w:rPr>
        <w:endnoteReference w:id="22"/>
      </w:r>
    </w:p>
    <w:p w:rsidR="00680554" w:rsidRPr="00DB3771" w:rsidRDefault="00680554" w:rsidP="00680554">
      <w:pPr>
        <w:spacing w:after="0"/>
        <w:rPr>
          <w:i/>
        </w:rPr>
      </w:pPr>
    </w:p>
    <w:p w:rsidR="00713644" w:rsidRPr="00234383" w:rsidRDefault="00713644" w:rsidP="0017792F">
      <w:pPr>
        <w:spacing w:line="240" w:lineRule="auto"/>
      </w:pPr>
      <w:r w:rsidRPr="00234383">
        <w:t>Treba však poznamenať, že motiváciou pre zakotvenie tohto článku nebola ani tak snaha o zrovnoprávnenie žien a odstránenie ich diskriminácie, ako tlak Francúzska. Francúzi sa totiž princíp rovnakého odmeňovania snažili uplatňovať už 50. rokoch a obávali sa, že im to oproti ostatným štátom prinesie konkurenčné znevýhodnenie vyššími nákladmi na pracovnú silu.</w:t>
      </w:r>
      <w:r w:rsidRPr="00234383">
        <w:rPr>
          <w:rStyle w:val="Odkaznavysvetlivku"/>
          <w:rFonts w:ascii="Courier New" w:hAnsi="Courier New" w:cs="Courier New"/>
        </w:rPr>
        <w:endnoteReference w:id="23"/>
      </w:r>
    </w:p>
    <w:p w:rsidR="00713644" w:rsidRPr="00234383" w:rsidRDefault="00713644" w:rsidP="0017792F">
      <w:pPr>
        <w:spacing w:line="240" w:lineRule="auto"/>
      </w:pPr>
      <w:r w:rsidRPr="00234383">
        <w:t>Až do roku 1976 bol tento princíp považovaný za ekonomický cieľ (a nie sociálny a</w:t>
      </w:r>
      <w:r w:rsidR="00326231">
        <w:t>lebo</w:t>
      </w:r>
      <w:r w:rsidR="00620092">
        <w:t> </w:t>
      </w:r>
      <w:r w:rsidRPr="00234383">
        <w:t>ľudsko</w:t>
      </w:r>
      <w:r w:rsidR="00620092">
        <w:t>-</w:t>
      </w:r>
      <w:r w:rsidRPr="00234383">
        <w:t xml:space="preserve">právny), </w:t>
      </w:r>
      <w:r w:rsidR="00326231">
        <w:t xml:space="preserve">a to </w:t>
      </w:r>
      <w:r w:rsidRPr="00234383">
        <w:t xml:space="preserve">menovite vyhnúť sa rozdielom v nákladoch na prácu zamestnávaním ženskej pracovnej sily </w:t>
      </w:r>
      <w:r w:rsidR="00326231" w:rsidRPr="00234383">
        <w:t>menej</w:t>
      </w:r>
      <w:r w:rsidR="00326231" w:rsidRPr="00234383">
        <w:t xml:space="preserve"> </w:t>
      </w:r>
      <w:r w:rsidRPr="00234383">
        <w:t xml:space="preserve">platenej za rovnakú prácu ako u muža. V roku 1976 Európsky súdny dvor v prelomovom prípade </w:t>
      </w:r>
      <w:proofErr w:type="spellStart"/>
      <w:r w:rsidRPr="00326231">
        <w:rPr>
          <w:b/>
        </w:rPr>
        <w:t>Defrenne</w:t>
      </w:r>
      <w:proofErr w:type="spellEnd"/>
      <w:r w:rsidRPr="00326231">
        <w:rPr>
          <w:b/>
        </w:rPr>
        <w:t xml:space="preserve"> v. </w:t>
      </w:r>
      <w:proofErr w:type="spellStart"/>
      <w:r w:rsidRPr="00326231">
        <w:rPr>
          <w:b/>
        </w:rPr>
        <w:t>Sabena</w:t>
      </w:r>
      <w:proofErr w:type="spellEnd"/>
      <w:r w:rsidRPr="00234383">
        <w:rPr>
          <w:rStyle w:val="Odkaznavysvetlivku"/>
          <w:rFonts w:ascii="Courier New" w:hAnsi="Courier New" w:cs="Courier New"/>
        </w:rPr>
        <w:endnoteReference w:id="24"/>
      </w:r>
      <w:r w:rsidRPr="00234383">
        <w:t xml:space="preserve"> odmietol tento prístup deklarujúc, že článok 119 má dvojitý cieľ „</w:t>
      </w:r>
      <w:r w:rsidRPr="00620092">
        <w:rPr>
          <w:i/>
        </w:rPr>
        <w:t>predísť konkurenčnému zvýhodňovaniu niektorých členských štátov, pričom súčasne patrí aj k sociálnym cieľom spoločenstva, ktorá je nielen čist</w:t>
      </w:r>
      <w:r w:rsidR="0017792F" w:rsidRPr="00620092">
        <w:rPr>
          <w:i/>
        </w:rPr>
        <w:t>o</w:t>
      </w:r>
      <w:r w:rsidRPr="00620092">
        <w:rPr>
          <w:i/>
        </w:rPr>
        <w:t xml:space="preserve"> ekonomickou úniou</w:t>
      </w:r>
      <w:r w:rsidRPr="00234383">
        <w:t xml:space="preserve">.“ </w:t>
      </w:r>
    </w:p>
    <w:p w:rsidR="00713644" w:rsidRDefault="00DF1639" w:rsidP="0017792F">
      <w:pPr>
        <w:spacing w:line="240" w:lineRule="auto"/>
      </w:pPr>
      <w:r>
        <w:t>Č</w:t>
      </w:r>
      <w:r w:rsidRPr="00234383">
        <w:t xml:space="preserve">lenské štáty </w:t>
      </w:r>
      <w:r>
        <w:t xml:space="preserve">princíp rovnakého odmeňovania žien a mužov </w:t>
      </w:r>
      <w:r w:rsidRPr="00234383">
        <w:t xml:space="preserve">aplikovali do svojej legislatívy a o jeho uplatňovaní v praxi existuje množstvo rozsudkov súdnych dvorov vrátane Európskeho súdneho dvora. </w:t>
      </w:r>
      <w:r>
        <w:t xml:space="preserve"> </w:t>
      </w:r>
      <w:r w:rsidR="00713644" w:rsidRPr="00326231">
        <w:rPr>
          <w:b/>
        </w:rPr>
        <w:t>Zmluva z Amsterdamu</w:t>
      </w:r>
      <w:r w:rsidR="00713644" w:rsidRPr="00326231">
        <w:rPr>
          <w:i/>
        </w:rPr>
        <w:t>,</w:t>
      </w:r>
      <w:r w:rsidR="00713644" w:rsidRPr="00234383">
        <w:t xml:space="preserve"> prijatá 2. októbra 1997, </w:t>
      </w:r>
      <w:r w:rsidR="00326231">
        <w:t xml:space="preserve">už </w:t>
      </w:r>
      <w:r w:rsidR="00713644" w:rsidRPr="00234383">
        <w:t>zaväzuje všetky členské štáty zabezpečiť princíp rovnakého odmeňovania mužov a žien za rovnakú prácu alebo prácu rovnakej hodnoty</w:t>
      </w:r>
      <w:r w:rsidR="00713644" w:rsidRPr="00234383">
        <w:rPr>
          <w:rStyle w:val="Odkaznavysvetlivku"/>
          <w:rFonts w:ascii="Courier New" w:hAnsi="Courier New" w:cs="Courier New"/>
        </w:rPr>
        <w:endnoteReference w:id="25"/>
      </w:r>
      <w:r w:rsidR="00713644" w:rsidRPr="00234383">
        <w:t xml:space="preserve">.  </w:t>
      </w:r>
    </w:p>
    <w:p w:rsidR="009319A6" w:rsidRDefault="009319A6" w:rsidP="009319A6">
      <w:pPr>
        <w:rPr>
          <w:b/>
        </w:rPr>
      </w:pPr>
      <w:r w:rsidRPr="00D110D5">
        <w:rPr>
          <w:b/>
        </w:rPr>
        <w:t>Smernica o rovnakej odmene za rovnakú prácu</w:t>
      </w:r>
    </w:p>
    <w:p w:rsidR="009319A6" w:rsidRDefault="009319A6" w:rsidP="0017792F">
      <w:pPr>
        <w:spacing w:line="240" w:lineRule="auto"/>
      </w:pPr>
      <w:r w:rsidRPr="00234383">
        <w:t xml:space="preserve">Princíp rovnakej pláce za rovnakú prácu sa v roku 1975 premietol do </w:t>
      </w:r>
      <w:r w:rsidRPr="00326231">
        <w:rPr>
          <w:b/>
        </w:rPr>
        <w:t>Smernice o rovnakom odmeňovaní</w:t>
      </w:r>
      <w:r w:rsidRPr="00843EE2">
        <w:rPr>
          <w:b/>
        </w:rPr>
        <w:t xml:space="preserve"> </w:t>
      </w:r>
      <w:r w:rsidRPr="00234383">
        <w:t>(</w:t>
      </w:r>
      <w:proofErr w:type="spellStart"/>
      <w:r w:rsidRPr="00326231">
        <w:rPr>
          <w:b/>
        </w:rPr>
        <w:t>Equal</w:t>
      </w:r>
      <w:proofErr w:type="spellEnd"/>
      <w:r w:rsidRPr="00326231">
        <w:rPr>
          <w:b/>
        </w:rPr>
        <w:t xml:space="preserve"> </w:t>
      </w:r>
      <w:proofErr w:type="spellStart"/>
      <w:r w:rsidRPr="00326231">
        <w:rPr>
          <w:b/>
        </w:rPr>
        <w:t>Pay</w:t>
      </w:r>
      <w:proofErr w:type="spellEnd"/>
      <w:r w:rsidRPr="00326231">
        <w:rPr>
          <w:b/>
        </w:rPr>
        <w:t xml:space="preserve"> </w:t>
      </w:r>
      <w:proofErr w:type="spellStart"/>
      <w:r w:rsidRPr="00326231">
        <w:rPr>
          <w:b/>
        </w:rPr>
        <w:t>Directive</w:t>
      </w:r>
      <w:proofErr w:type="spellEnd"/>
      <w:r w:rsidRPr="00234383">
        <w:t>)</w:t>
      </w:r>
      <w:r w:rsidRPr="00234383">
        <w:rPr>
          <w:rStyle w:val="Odkaznavysvetlivku"/>
          <w:rFonts w:ascii="Courier New" w:hAnsi="Courier New" w:cs="Courier New"/>
        </w:rPr>
        <w:endnoteReference w:id="26"/>
      </w:r>
      <w:r>
        <w:t xml:space="preserve">. Podľa tejto smernice </w:t>
      </w:r>
      <w:r w:rsidRPr="00561D71">
        <w:t xml:space="preserve">zásada rovnakej odmeny </w:t>
      </w:r>
      <w:r>
        <w:t>„</w:t>
      </w:r>
      <w:r w:rsidRPr="00326231">
        <w:rPr>
          <w:i/>
        </w:rPr>
        <w:t>znamená odstránenie akejkoľvek diskriminácie z dôvodu pohlavia v súvislosti so všetkými aspektmi a podmienkami odmeňovania za rovnakú prácu alebo za prácu, ktorej sa prisudzuje rovnaká hodnota</w:t>
      </w:r>
      <w:r>
        <w:t>“</w:t>
      </w:r>
      <w:r w:rsidRPr="00561D71">
        <w:t>.</w:t>
      </w:r>
    </w:p>
    <w:p w:rsidR="009319A6" w:rsidRDefault="009319A6" w:rsidP="0017792F">
      <w:pPr>
        <w:spacing w:line="240" w:lineRule="auto"/>
      </w:pPr>
      <w:r w:rsidRPr="009319A6">
        <w:t xml:space="preserve">Sedem smerníc týkajúcich sa rovnakého zaobchádzania so ženami aj mužmi v zamestnaní vrátane </w:t>
      </w:r>
      <w:r>
        <w:t>Smernice o rovnakom odmeňovaní bolo</w:t>
      </w:r>
      <w:r w:rsidRPr="009319A6">
        <w:t xml:space="preserve"> zlúčených do </w:t>
      </w:r>
      <w:r w:rsidRPr="00326231">
        <w:rPr>
          <w:bCs/>
        </w:rPr>
        <w:t>jedinej smernice</w:t>
      </w:r>
      <w:r w:rsidRPr="009319A6">
        <w:t> </w:t>
      </w:r>
      <w:r>
        <w:t>2006/54/ES</w:t>
      </w:r>
      <w:r w:rsidR="00326231">
        <w:t>,</w:t>
      </w:r>
      <w:r>
        <w:t xml:space="preserve"> </w:t>
      </w:r>
      <w:r w:rsidRPr="009319A6">
        <w:t>prijatej v roku 2006. Tá prináša viac jasnosti do práva Spoločenstva v oblasti rovnakého zaobchádzania so ženami a mužmi.</w:t>
      </w:r>
      <w:r>
        <w:t xml:space="preserve">  </w:t>
      </w:r>
    </w:p>
    <w:p w:rsidR="009319A6" w:rsidRPr="00D110D5" w:rsidRDefault="009319A6" w:rsidP="0017792F">
      <w:pPr>
        <w:spacing w:line="240" w:lineRule="auto"/>
        <w:rPr>
          <w:b/>
        </w:rPr>
      </w:pPr>
      <w:r>
        <w:t xml:space="preserve">Jednou z priorít </w:t>
      </w:r>
      <w:r w:rsidR="00326231">
        <w:t>Európskej k</w:t>
      </w:r>
      <w:r>
        <w:t xml:space="preserve">omisie </w:t>
      </w:r>
      <w:r w:rsidR="00445FD5">
        <w:t>je</w:t>
      </w:r>
      <w:r>
        <w:t xml:space="preserve"> </w:t>
      </w:r>
      <w:r w:rsidR="00326231">
        <w:t xml:space="preserve">aj </w:t>
      </w:r>
      <w:r>
        <w:t>monitorova</w:t>
      </w:r>
      <w:r w:rsidR="00445FD5">
        <w:t>nie</w:t>
      </w:r>
      <w:r>
        <w:t xml:space="preserve"> riadne</w:t>
      </w:r>
      <w:r w:rsidR="00445FD5">
        <w:t>ho</w:t>
      </w:r>
      <w:r>
        <w:t xml:space="preserve"> uplatňovani</w:t>
      </w:r>
      <w:r w:rsidR="00445FD5">
        <w:t>a</w:t>
      </w:r>
      <w:r>
        <w:t xml:space="preserve"> a presadzovani</w:t>
      </w:r>
      <w:r w:rsidR="00445FD5">
        <w:t>a</w:t>
      </w:r>
      <w:r>
        <w:t xml:space="preserve"> ustanovení o rovnakej odmene uvedených v smernici 2006/54/ES a poskytova</w:t>
      </w:r>
      <w:r w:rsidR="00326231">
        <w:t>nie</w:t>
      </w:r>
      <w:r>
        <w:t xml:space="preserve"> podporu a usmernenia zamestnancom</w:t>
      </w:r>
      <w:r w:rsidR="00326231">
        <w:t xml:space="preserve"> a zamestnankyniam</w:t>
      </w:r>
      <w:r>
        <w:t xml:space="preserve">, členským štátom a ďalším zainteresovaným stranám pri presadzovaní a uplatňovaní existujúcich pravidiel. V tejto súvislosti Komisia vydala v decembri roku 2013 </w:t>
      </w:r>
      <w:r w:rsidR="00326231" w:rsidRPr="00326231">
        <w:rPr>
          <w:b/>
        </w:rPr>
        <w:t>S</w:t>
      </w:r>
      <w:r w:rsidRPr="00326231">
        <w:rPr>
          <w:b/>
        </w:rPr>
        <w:t>právu o uplatňovaní smernice 2006/54/ES</w:t>
      </w:r>
      <w:r>
        <w:t xml:space="preserve">. Táto správa sa zameriava najmä na posúdenie toho, ako sa ustanovenia smernice týkajúce sa rovnakej odmeny uplatňujú v praxi. Obsahuje prehľad kľúčovej judikatúry EÚ o rovnosti odmeňovania a takisto nezáväzné usmernenia o systémoch klasifikácie pracovných miest. </w:t>
      </w:r>
    </w:p>
    <w:p w:rsidR="00DB3771" w:rsidRPr="00DB3771" w:rsidRDefault="00713644" w:rsidP="0017792F">
      <w:pPr>
        <w:pStyle w:val="Default"/>
        <w:rPr>
          <w:lang w:eastAsia="sk-SK" w:bidi="ar-SA"/>
        </w:rPr>
      </w:pPr>
      <w:r w:rsidRPr="00326231">
        <w:rPr>
          <w:b/>
        </w:rPr>
        <w:t>Lisabonská stratégia</w:t>
      </w:r>
      <w:r w:rsidRPr="00234383">
        <w:t xml:space="preserve"> zaviazala členské štáty znížiť do roku 2010 rodový rozdiel v odmeňovaní na polovicu. </w:t>
      </w:r>
      <w:r w:rsidR="00DB3771">
        <w:t xml:space="preserve">Iniciatívu v mene Európskej komisie viedol vtedajší komisár </w:t>
      </w:r>
      <w:r w:rsidR="00DB3771" w:rsidRPr="00DB3771">
        <w:rPr>
          <w:lang w:eastAsia="sk-SK" w:bidi="ar-SA"/>
        </w:rPr>
        <w:t>EÚ pre zamestnanosť, sociálne záležitosti a rovnaké príležitosti</w:t>
      </w:r>
      <w:r w:rsidR="00DB3771" w:rsidRPr="00DB3771">
        <w:rPr>
          <w:vertAlign w:val="superscript"/>
          <w:lang w:eastAsia="sk-SK" w:bidi="ar-SA"/>
        </w:rPr>
        <w:endnoteReference w:id="27"/>
      </w:r>
      <w:r w:rsidR="00DB3771">
        <w:t xml:space="preserve"> Vladimír </w:t>
      </w:r>
      <w:proofErr w:type="spellStart"/>
      <w:r w:rsidR="00DB3771">
        <w:t>Špidla</w:t>
      </w:r>
      <w:proofErr w:type="spellEnd"/>
      <w:r w:rsidR="00DB3771">
        <w:t xml:space="preserve">. </w:t>
      </w:r>
      <w:r w:rsidR="00DB3771" w:rsidRPr="00DB3771">
        <w:rPr>
          <w:lang w:eastAsia="sk-SK" w:bidi="ar-SA"/>
        </w:rPr>
        <w:t>„</w:t>
      </w:r>
      <w:r w:rsidR="00DB3771" w:rsidRPr="00DB3771">
        <w:rPr>
          <w:i/>
          <w:lang w:eastAsia="sk-SK" w:bidi="ar-SA"/>
        </w:rPr>
        <w:t>Napriek tomu, že dievčatá dosahujú v škole lepšie výsledky ako chlapci a na trh práce vstupuje viac žien s vysokoškolským vzdelaním ako mužov, naďalej pretrváva 15 </w:t>
      </w:r>
      <w:r w:rsidR="005C794F">
        <w:rPr>
          <w:i/>
          <w:lang w:eastAsia="sk-SK" w:bidi="ar-SA"/>
        </w:rPr>
        <w:t xml:space="preserve"> %</w:t>
      </w:r>
      <w:r w:rsidR="00DB3771" w:rsidRPr="00DB3771">
        <w:rPr>
          <w:i/>
          <w:lang w:eastAsia="sk-SK" w:bidi="ar-SA"/>
        </w:rPr>
        <w:t xml:space="preserve"> rozdiel v odmeňovaní. Takáto situácia je absurdná a vyžaduje si zmenu</w:t>
      </w:r>
      <w:r w:rsidR="00DB3771" w:rsidRPr="00DB3771">
        <w:rPr>
          <w:lang w:eastAsia="sk-SK" w:bidi="ar-SA"/>
        </w:rPr>
        <w:t>,“ uviedol komisár.</w:t>
      </w:r>
    </w:p>
    <w:p w:rsidR="00DB3771" w:rsidRPr="00DB3771" w:rsidRDefault="00DB3771" w:rsidP="0017792F">
      <w:pPr>
        <w:spacing w:line="240" w:lineRule="auto"/>
        <w:rPr>
          <w:lang w:eastAsia="sk-SK" w:bidi="ar-SA"/>
        </w:rPr>
      </w:pPr>
      <w:r w:rsidRPr="00DB3771">
        <w:rPr>
          <w:lang w:eastAsia="sk-SK" w:bidi="ar-SA"/>
        </w:rPr>
        <w:t>„</w:t>
      </w:r>
      <w:r w:rsidRPr="00DB3771">
        <w:rPr>
          <w:i/>
          <w:lang w:eastAsia="sk-SK" w:bidi="ar-SA"/>
        </w:rPr>
        <w:t>Rozdiel v odmeňovaní je zložitým problémom spôsobeným mnohorakými príčinami. Niekedy sme svedkami jednoznačnej diskriminácie. Dôvody sú však často skryté: ženy vykonávajú viac neplatenej práce ako napr. starostlivosť o domácnosť a závislé osoby; viac žien pracuje na čiastočný úväzok a odvetvia, ktoré sú doménou žien, sú často horšie platené.  Je načase, aby sme vystupňovali úsilie o nápravu tejto situácie. Jedinou možnou cestou k úspechu je komplexné riešenie tohto problému na všetkých úrovniach zapojením mužov, žien, mimovládnych organizácií, sociálnych partnerov a jednotlivých vlád.“</w:t>
      </w:r>
      <w:r w:rsidRPr="00DB3771">
        <w:rPr>
          <w:i/>
          <w:vertAlign w:val="superscript"/>
          <w:lang w:eastAsia="sk-SK" w:bidi="ar-SA"/>
        </w:rPr>
        <w:endnoteReference w:id="28"/>
      </w:r>
      <w:r w:rsidRPr="00DB3771">
        <w:rPr>
          <w:lang w:eastAsia="sk-SK" w:bidi="ar-SA"/>
        </w:rPr>
        <w:t xml:space="preserve"> hovorí ďalej </w:t>
      </w:r>
      <w:proofErr w:type="spellStart"/>
      <w:r w:rsidRPr="00DB3771">
        <w:rPr>
          <w:lang w:eastAsia="sk-SK" w:bidi="ar-SA"/>
        </w:rPr>
        <w:t>Špidla</w:t>
      </w:r>
      <w:proofErr w:type="spellEnd"/>
      <w:r w:rsidRPr="00DB3771">
        <w:rPr>
          <w:lang w:eastAsia="sk-SK" w:bidi="ar-SA"/>
        </w:rPr>
        <w:t>. V záujme riešenia tejto problematiky vytýčila komisia štyri priority:</w:t>
      </w:r>
    </w:p>
    <w:p w:rsidR="00DB3771" w:rsidRPr="00DB3771" w:rsidRDefault="00DB3771" w:rsidP="00DB3771">
      <w:pPr>
        <w:pStyle w:val="Odsekzoznamu"/>
        <w:numPr>
          <w:ilvl w:val="0"/>
          <w:numId w:val="5"/>
        </w:numPr>
        <w:rPr>
          <w:lang w:eastAsia="sk-SK" w:bidi="ar-SA"/>
        </w:rPr>
      </w:pPr>
      <w:r w:rsidRPr="00DB3771">
        <w:rPr>
          <w:lang w:eastAsia="sk-SK" w:bidi="ar-SA"/>
        </w:rPr>
        <w:t>Zabezpečiť lepšie uplatňovanie súčasných právnych predpisov;</w:t>
      </w:r>
    </w:p>
    <w:p w:rsidR="00DB3771" w:rsidRPr="00DB3771" w:rsidRDefault="00DB3771" w:rsidP="00DB3771">
      <w:pPr>
        <w:pStyle w:val="Odsekzoznamu"/>
        <w:numPr>
          <w:ilvl w:val="0"/>
          <w:numId w:val="5"/>
        </w:numPr>
        <w:rPr>
          <w:lang w:eastAsia="sk-SK" w:bidi="ar-SA"/>
        </w:rPr>
      </w:pPr>
      <w:r w:rsidRPr="00DB3771">
        <w:rPr>
          <w:lang w:eastAsia="sk-SK" w:bidi="ar-SA"/>
        </w:rPr>
        <w:t>Zahrnúť boj proti rozdielom v odmeňovaní ako neoddeliteľnú súčasť do politík zamestnanosti jednotlivých členských štátov;</w:t>
      </w:r>
    </w:p>
    <w:p w:rsidR="00DB3771" w:rsidRPr="00DB3771" w:rsidRDefault="00DB3771" w:rsidP="00DB3771">
      <w:pPr>
        <w:pStyle w:val="Odsekzoznamu"/>
        <w:numPr>
          <w:ilvl w:val="0"/>
          <w:numId w:val="5"/>
        </w:numPr>
        <w:rPr>
          <w:lang w:eastAsia="sk-SK" w:bidi="ar-SA"/>
        </w:rPr>
      </w:pPr>
      <w:r w:rsidRPr="00DB3771">
        <w:rPr>
          <w:lang w:eastAsia="sk-SK" w:bidi="ar-SA"/>
        </w:rPr>
        <w:lastRenderedPageBreak/>
        <w:t>Presadzovať zásadu rovnakej odmeny u zamestnávateľov najmä prostredníctvom koncepcie sociálnej zodpovednosti;</w:t>
      </w:r>
    </w:p>
    <w:p w:rsidR="00DB3771" w:rsidRPr="00DB3771" w:rsidRDefault="00DB3771" w:rsidP="00DB3771">
      <w:pPr>
        <w:pStyle w:val="Odsekzoznamu"/>
        <w:numPr>
          <w:ilvl w:val="0"/>
          <w:numId w:val="5"/>
        </w:numPr>
        <w:rPr>
          <w:lang w:eastAsia="sk-SK" w:bidi="ar-SA"/>
        </w:rPr>
      </w:pPr>
      <w:r w:rsidRPr="00DB3771">
        <w:rPr>
          <w:lang w:eastAsia="sk-SK" w:bidi="ar-SA"/>
        </w:rPr>
        <w:t>Podporovať výmenu osvedčených postupov v celej EÚ a zapájať sociálnych partnerov.</w:t>
      </w:r>
    </w:p>
    <w:p w:rsidR="00713644" w:rsidRPr="00234383" w:rsidRDefault="00713644" w:rsidP="0017792F">
      <w:pPr>
        <w:pStyle w:val="Default"/>
      </w:pPr>
      <w:r w:rsidRPr="00234383">
        <w:t>Rada EÚ súčasne požiadala Európsku komisiu o vypracovanie štúdie o príčinách tohto rozdielu. “</w:t>
      </w:r>
      <w:r w:rsidRPr="00326231">
        <w:rPr>
          <w:i/>
        </w:rPr>
        <w:t>Fenomén rozdielu v odmeňovaní mužov a žien presahuje rámec problematiky rovnakej odmeny za rovnakú prácu. Jednou z hlavných príčin tohto problému je spôsob, akým sa ohodnocujú schopnosti žien v porovnaní so schopnosťami mužov. Zamestnania, v ktorých sa vyžadujú podobné kvalifikácie alebo skúsenosti, sú platené horšie, ak v nich prevažujú ženy nad mužmi. V niektorých krajinách napríklad zarábajú opatrovateľky detí menej ako automechanici, pokladníci v supermarketoch menej ako skladníci, zdravotné sestry menej ako policajti</w:t>
      </w:r>
      <w:r w:rsidRPr="00234383">
        <w:t>.“</w:t>
      </w:r>
      <w:r w:rsidRPr="00234383">
        <w:rPr>
          <w:rStyle w:val="Odkaznavysvetlivku"/>
          <w:rFonts w:ascii="Courier New" w:hAnsi="Courier New" w:cs="Courier New"/>
          <w:szCs w:val="24"/>
        </w:rPr>
        <w:endnoteReference w:id="29"/>
      </w:r>
    </w:p>
    <w:p w:rsidR="00713644" w:rsidRPr="00234383" w:rsidRDefault="00713644" w:rsidP="0017792F">
      <w:pPr>
        <w:pStyle w:val="Default"/>
      </w:pPr>
      <w:r w:rsidRPr="00234383">
        <w:t>Správa ďalej konštatuje, že „</w:t>
      </w:r>
      <w:r w:rsidRPr="00326231">
        <w:rPr>
          <w:i/>
        </w:rPr>
        <w:t>rozdiel v odmeňovaní je tiež vyjadrením nerovnosti na trhu práce, ktorá postihuje prevažne ženy. Ide najmä o ťažkosti spojené s vyvažovaním pracovného a súkromného života. Ženy vo väčšej miere využívajú možnosť pracovať na čiastočný úväzok a majú častejšie prestávky v zamestnaní, čo má negatívne následky na ich profesionálny rozvoj. Aj naďalej zaostávajú, pokiaľ ide o zastúpenie na manažérskych postoch, a pri svojom kariérnom postupe narážajú na viac prekážok a väčší odpor. V dôsledku toho je kariérny postup žien častejšie prerušovaný, pomalší a kratší a tým aj menej ohodnotený ako v prípade mužov. Zo štatistík vyplýva, že rozdiely v odmeňovaní sa prehlbujú vekom, úrovňou dosiahnutého vzdelania a počtom odpracovaných rokov. Kým vo vekovej skupine do 30 rokov sú rozdiely medzi zárobkami na úrovni 7 </w:t>
      </w:r>
      <w:r w:rsidR="005C794F" w:rsidRPr="00326231">
        <w:rPr>
          <w:i/>
        </w:rPr>
        <w:t xml:space="preserve"> %</w:t>
      </w:r>
      <w:r w:rsidRPr="00326231">
        <w:rPr>
          <w:i/>
        </w:rPr>
        <w:t>, vo vekovej skupine 50 až 59 rokov presahujú 30 </w:t>
      </w:r>
      <w:r w:rsidR="005C794F" w:rsidRPr="00326231">
        <w:rPr>
          <w:i/>
        </w:rPr>
        <w:t xml:space="preserve"> %</w:t>
      </w:r>
      <w:r w:rsidRPr="00326231">
        <w:rPr>
          <w:i/>
        </w:rPr>
        <w:t>. Podobne v prípade vysokoškolsky vzdelaných ľudí presahujú tieto rozdiely 30 </w:t>
      </w:r>
      <w:r w:rsidR="005C794F" w:rsidRPr="00326231">
        <w:rPr>
          <w:i/>
        </w:rPr>
        <w:t xml:space="preserve"> %</w:t>
      </w:r>
      <w:r w:rsidRPr="00326231">
        <w:rPr>
          <w:i/>
        </w:rPr>
        <w:t>, pričom u ľudí s nižším vzdelaním sú na úrovni 13 </w:t>
      </w:r>
      <w:r w:rsidR="005C794F" w:rsidRPr="00326231">
        <w:rPr>
          <w:i/>
        </w:rPr>
        <w:t xml:space="preserve"> %</w:t>
      </w:r>
      <w:r w:rsidRPr="00326231">
        <w:rPr>
          <w:i/>
        </w:rPr>
        <w:t>.“</w:t>
      </w:r>
      <w:r w:rsidRPr="00326231">
        <w:rPr>
          <w:rStyle w:val="Odkaznavysvetlivku"/>
          <w:rFonts w:ascii="Courier New" w:hAnsi="Courier New" w:cs="Courier New"/>
          <w:szCs w:val="24"/>
        </w:rPr>
        <w:endnoteReference w:id="30"/>
      </w:r>
    </w:p>
    <w:p w:rsidR="00D110D5" w:rsidRDefault="00D110D5" w:rsidP="0017792F">
      <w:pPr>
        <w:pStyle w:val="Default"/>
      </w:pPr>
      <w:r w:rsidRPr="00326231">
        <w:t>Opatrenia EÚ však idú nad rámec právnych predpisov. EÚ sa tiež usiluje o zmenu</w:t>
      </w:r>
      <w:r>
        <w:t xml:space="preserve"> postojov k typickým rolám muža a ženy – v školách, doma, na pracovisku a v celej spoločnosti. Rovnosť mužov a žien a lepšie využitie talentu a zručností žien sú kľúčové faktory pri odstraňovaní rozdielov v odmeňovaní žien a mužov a dosahovaní cieľov stratégie </w:t>
      </w:r>
      <w:r w:rsidRPr="00326231">
        <w:rPr>
          <w:b/>
        </w:rPr>
        <w:t>Európa 2020</w:t>
      </w:r>
      <w:r>
        <w:t>, stratégie rozvoja EÚ v nasledujúcom desaťročí. Cieľom tejto stratégie je do roku 2020 vytvoriť viac a kvalitnejších pracovných miest, dosiahnuť vyššiu úroveň zamestnanosti žien ako súčasť plánu na dosiahnutie celkovej zamestnanosti 75</w:t>
      </w:r>
      <w:r w:rsidR="005C794F">
        <w:t xml:space="preserve"> %</w:t>
      </w:r>
      <w:r>
        <w:t xml:space="preserve"> pre vekovú skupinu 20-64 rokov a zabezpečiť, aby o 20 miliónov menej ľudí čelilo hrozbe chudoby a sociálneho vylúčenia. Zmenšovanie rozdielov v odmeňovaní žien a mužov je prioritou v rôznych oblastiach politiky. Príkladom sú: </w:t>
      </w:r>
      <w:r>
        <w:rPr>
          <w:rFonts w:cs="Cambria"/>
        </w:rPr>
        <w:t></w:t>
      </w:r>
      <w:r>
        <w:t xml:space="preserve"> </w:t>
      </w:r>
    </w:p>
    <w:p w:rsidR="00D110D5" w:rsidRPr="00D110D5" w:rsidRDefault="00D110D5" w:rsidP="0017792F">
      <w:pPr>
        <w:pStyle w:val="Odsekzoznamu"/>
        <w:numPr>
          <w:ilvl w:val="0"/>
          <w:numId w:val="6"/>
        </w:numPr>
        <w:spacing w:line="240" w:lineRule="auto"/>
        <w:ind w:left="714" w:hanging="357"/>
        <w:contextualSpacing w:val="0"/>
        <w:rPr>
          <w:b/>
        </w:rPr>
      </w:pPr>
      <w:r w:rsidRPr="00D110D5">
        <w:rPr>
          <w:b/>
        </w:rPr>
        <w:t>Eur</w:t>
      </w:r>
      <w:r w:rsidRPr="00D110D5">
        <w:rPr>
          <w:rFonts w:cs="Cambria"/>
          <w:b/>
        </w:rPr>
        <w:t>ó</w:t>
      </w:r>
      <w:r w:rsidRPr="00D110D5">
        <w:rPr>
          <w:b/>
        </w:rPr>
        <w:t>psky pakt pre rodov</w:t>
      </w:r>
      <w:r w:rsidRPr="00D110D5">
        <w:rPr>
          <w:rFonts w:cs="Cambria"/>
          <w:b/>
        </w:rPr>
        <w:t>ú</w:t>
      </w:r>
      <w:r w:rsidRPr="00D110D5">
        <w:rPr>
          <w:b/>
        </w:rPr>
        <w:t xml:space="preserve"> rovnos</w:t>
      </w:r>
      <w:r w:rsidRPr="00D110D5">
        <w:rPr>
          <w:rFonts w:cs="Cambria"/>
          <w:b/>
        </w:rPr>
        <w:t>ť</w:t>
      </w:r>
      <w:r>
        <w:t>, ktor</w:t>
      </w:r>
      <w:r w:rsidRPr="00D110D5">
        <w:rPr>
          <w:rFonts w:cs="Cambria"/>
        </w:rPr>
        <w:t>ý</w:t>
      </w:r>
      <w:r>
        <w:t xml:space="preserve"> ved</w:t>
      </w:r>
      <w:r w:rsidRPr="00D110D5">
        <w:rPr>
          <w:rFonts w:cs="Cambria"/>
        </w:rPr>
        <w:t>ú</w:t>
      </w:r>
      <w:r>
        <w:t xml:space="preserve">ci predstavitelia EÚ prijali v roku 2011. </w:t>
      </w:r>
      <w:r w:rsidRPr="00D110D5">
        <w:rPr>
          <w:rFonts w:cs="Cambria"/>
        </w:rPr>
        <w:t></w:t>
      </w:r>
      <w:r>
        <w:t xml:space="preserve"> </w:t>
      </w:r>
    </w:p>
    <w:p w:rsidR="00D110D5" w:rsidRPr="00D110D5" w:rsidRDefault="00D110D5" w:rsidP="0017792F">
      <w:pPr>
        <w:pStyle w:val="Odsekzoznamu"/>
        <w:numPr>
          <w:ilvl w:val="0"/>
          <w:numId w:val="6"/>
        </w:numPr>
        <w:spacing w:line="240" w:lineRule="auto"/>
        <w:ind w:left="714" w:hanging="357"/>
        <w:contextualSpacing w:val="0"/>
        <w:rPr>
          <w:b/>
        </w:rPr>
      </w:pPr>
      <w:r w:rsidRPr="00D110D5">
        <w:rPr>
          <w:b/>
        </w:rPr>
        <w:t>Ak</w:t>
      </w:r>
      <w:r w:rsidRPr="00D110D5">
        <w:rPr>
          <w:rFonts w:cs="Cambria"/>
          <w:b/>
        </w:rPr>
        <w:t>č</w:t>
      </w:r>
      <w:r w:rsidRPr="00D110D5">
        <w:rPr>
          <w:b/>
        </w:rPr>
        <w:t>n</w:t>
      </w:r>
      <w:r w:rsidRPr="00D110D5">
        <w:rPr>
          <w:rFonts w:cs="Cambria"/>
          <w:b/>
        </w:rPr>
        <w:t>ý</w:t>
      </w:r>
      <w:r w:rsidRPr="00D110D5">
        <w:rPr>
          <w:b/>
        </w:rPr>
        <w:t xml:space="preserve"> r</w:t>
      </w:r>
      <w:r w:rsidRPr="00D110D5">
        <w:rPr>
          <w:rFonts w:cs="Cambria"/>
          <w:b/>
        </w:rPr>
        <w:t>á</w:t>
      </w:r>
      <w:r w:rsidRPr="00D110D5">
        <w:rPr>
          <w:b/>
        </w:rPr>
        <w:t>mec pre rodov</w:t>
      </w:r>
      <w:r w:rsidRPr="00D110D5">
        <w:rPr>
          <w:rFonts w:cs="Cambria"/>
          <w:b/>
        </w:rPr>
        <w:t>ú</w:t>
      </w:r>
      <w:r w:rsidRPr="00D110D5">
        <w:rPr>
          <w:b/>
        </w:rPr>
        <w:t xml:space="preserve"> rovnos</w:t>
      </w:r>
      <w:r w:rsidRPr="00D110D5">
        <w:rPr>
          <w:rFonts w:cs="Cambria"/>
          <w:b/>
        </w:rPr>
        <w:t>ť</w:t>
      </w:r>
      <w:r>
        <w:t>, ktor</w:t>
      </w:r>
      <w:r w:rsidRPr="00D110D5">
        <w:rPr>
          <w:rFonts w:cs="Cambria"/>
        </w:rPr>
        <w:t>ý</w:t>
      </w:r>
      <w:r>
        <w:t xml:space="preserve"> eur</w:t>
      </w:r>
      <w:r w:rsidRPr="00D110D5">
        <w:rPr>
          <w:rFonts w:cs="Cambria"/>
        </w:rPr>
        <w:t>ó</w:t>
      </w:r>
      <w:r>
        <w:t>pski soci</w:t>
      </w:r>
      <w:r w:rsidRPr="00D110D5">
        <w:rPr>
          <w:rFonts w:cs="Cambria"/>
        </w:rPr>
        <w:t>á</w:t>
      </w:r>
      <w:r>
        <w:t xml:space="preserve">lni partneri prijali v roku 2005. </w:t>
      </w:r>
    </w:p>
    <w:p w:rsidR="00D110D5" w:rsidRPr="00D110D5" w:rsidRDefault="00D110D5" w:rsidP="0017792F">
      <w:pPr>
        <w:pStyle w:val="Odsekzoznamu"/>
        <w:numPr>
          <w:ilvl w:val="0"/>
          <w:numId w:val="6"/>
        </w:numPr>
        <w:spacing w:line="240" w:lineRule="auto"/>
        <w:ind w:left="714" w:hanging="357"/>
        <w:contextualSpacing w:val="0"/>
        <w:rPr>
          <w:b/>
        </w:rPr>
      </w:pPr>
      <w:r w:rsidRPr="00D110D5">
        <w:rPr>
          <w:b/>
        </w:rPr>
        <w:lastRenderedPageBreak/>
        <w:t>Oznámenie o rozdieloch v odmeňovaní žien a mužov z roku 2007</w:t>
      </w:r>
      <w:r>
        <w:t xml:space="preserve">. Oznámenie Európskej komisie z roku 2007 o rozdieloch v odmeňovaní žien a mužov navrhuje súbor opatrení na boj proti tomuto problému. Patria sem účinnejšie uplatňovanie existujúcich právnych predpisov, začlenenie boja proti rozdielom v odmeňovaní žien a mužov do politík zamestnanosti, propagovanie rovnakého platu medzi zamestnávateľmi a prostredníctvom sociálneho partnerstva a podporovanie výmeny osvedčených postupov v celej Európe. </w:t>
      </w:r>
    </w:p>
    <w:p w:rsidR="00D110D5" w:rsidRPr="00D110D5" w:rsidRDefault="00D110D5" w:rsidP="0017792F">
      <w:pPr>
        <w:pStyle w:val="Odsekzoznamu"/>
        <w:numPr>
          <w:ilvl w:val="0"/>
          <w:numId w:val="6"/>
        </w:numPr>
        <w:spacing w:line="240" w:lineRule="auto"/>
        <w:ind w:left="714" w:hanging="357"/>
        <w:contextualSpacing w:val="0"/>
        <w:rPr>
          <w:b/>
        </w:rPr>
      </w:pPr>
      <w:r w:rsidRPr="00D110D5">
        <w:rPr>
          <w:b/>
        </w:rPr>
        <w:t>Stratégia uplatňovania rovnosti medzi mužmi a ženami na obdobie rokov 2010-2015</w:t>
      </w:r>
      <w:r>
        <w:t>. Odstraňovanie rozdielov v odmeňovaní žien a mužov prostr</w:t>
      </w:r>
      <w:r w:rsidR="00326231">
        <w:t>edníctvom legislatívnych aj ne</w:t>
      </w:r>
      <w:r>
        <w:t xml:space="preserve">legislatívnych opatrení je hlavným cieľom oznámenia Európskej komisie pod názvom Stratégia rovnosti žien a mužov (2010-2015). Stratégia vytyčuje kroky v piatich oblastiach: hospodárstvo a trh práce, rovnaké odmeňovanie, rovnosť na vyšších postoch, riešenie problematiky násilia založeného na rodovej príslušnosti, a podpora rovnosti žien a mužov mimo EÚ. </w:t>
      </w:r>
    </w:p>
    <w:p w:rsidR="00D110D5" w:rsidRPr="00D110D5" w:rsidRDefault="00D110D5" w:rsidP="0017792F">
      <w:pPr>
        <w:pStyle w:val="Odsekzoznamu"/>
        <w:numPr>
          <w:ilvl w:val="0"/>
          <w:numId w:val="6"/>
        </w:numPr>
        <w:spacing w:line="240" w:lineRule="auto"/>
        <w:ind w:left="714" w:hanging="357"/>
        <w:contextualSpacing w:val="0"/>
        <w:rPr>
          <w:b/>
        </w:rPr>
      </w:pPr>
      <w:r>
        <w:t xml:space="preserve">Komisia vydala v marci 2014 </w:t>
      </w:r>
      <w:r w:rsidRPr="00D110D5">
        <w:rPr>
          <w:b/>
        </w:rPr>
        <w:t>odporúčanie v rámci mzdovej transparentnosti</w:t>
      </w:r>
      <w:r>
        <w:t>. Jeho cieľom je ponúknuť opatrenia pre členské štáty na lepšiu mzdovú transparentnosť v spoločnostiach, ako napríklad zlepšenie podmienok pre zamestnancov na získanie informácií o mzdách alebo zavedenie systému správ miezd a rodovo neutrálnych systémov klasifikácie pracovných miest spoločností.</w:t>
      </w:r>
    </w:p>
    <w:p w:rsidR="00D110D5" w:rsidRPr="00D110D5" w:rsidRDefault="00D110D5" w:rsidP="0017792F">
      <w:pPr>
        <w:pStyle w:val="Odsekzoznamu"/>
        <w:numPr>
          <w:ilvl w:val="0"/>
          <w:numId w:val="6"/>
        </w:numPr>
        <w:spacing w:line="240" w:lineRule="auto"/>
        <w:ind w:left="714" w:hanging="357"/>
        <w:contextualSpacing w:val="0"/>
        <w:rPr>
          <w:b/>
        </w:rPr>
      </w:pPr>
      <w:r w:rsidRPr="00D110D5">
        <w:rPr>
          <w:b/>
        </w:rPr>
        <w:t>Rovnosť sa vypláca</w:t>
      </w:r>
      <w:r>
        <w:rPr>
          <w:b/>
        </w:rPr>
        <w:t>.</w:t>
      </w:r>
      <w:r>
        <w:t xml:space="preserve"> Európska komisia v rámci podpory zamestnávateľov v ich úsilí riešiť rozdiel v odmeňovaní medzi ženami a mužmi zorganizovala v rokoch 2012 a 2013 projekt </w:t>
      </w:r>
      <w:r w:rsidRPr="00326231">
        <w:rPr>
          <w:b/>
        </w:rPr>
        <w:t>Rovnosť sa vypláca</w:t>
      </w:r>
      <w:r>
        <w:t xml:space="preserve">. Jeho cieľom bolo zvýšiť povedomie spoločností o rodovej rovnosti a rovnosti odmeňovania, t.j. lepší prístup k potenciálu pracovnej sily, ktorý predstavujú ženy, v kontexte demografických zmien a nedostatku kvalifikácií. </w:t>
      </w:r>
    </w:p>
    <w:p w:rsidR="00713644" w:rsidRPr="00D110D5" w:rsidRDefault="00D110D5" w:rsidP="0017792F">
      <w:pPr>
        <w:pStyle w:val="Odsekzoznamu"/>
        <w:numPr>
          <w:ilvl w:val="0"/>
          <w:numId w:val="6"/>
        </w:numPr>
        <w:spacing w:line="240" w:lineRule="auto"/>
        <w:ind w:left="714" w:hanging="357"/>
        <w:contextualSpacing w:val="0"/>
        <w:rPr>
          <w:b/>
        </w:rPr>
      </w:pPr>
      <w:r w:rsidRPr="00D110D5">
        <w:rPr>
          <w:b/>
        </w:rPr>
        <w:t>Európsky deň rovnosti odmeňovania</w:t>
      </w:r>
      <w:r w:rsidR="00620092">
        <w:rPr>
          <w:b/>
        </w:rPr>
        <w:t>.</w:t>
      </w:r>
      <w:r>
        <w:t xml:space="preserve"> Dňa 5. marca 2011 usporiadala Európska komisia prvý </w:t>
      </w:r>
      <w:r w:rsidRPr="00326231">
        <w:rPr>
          <w:b/>
        </w:rPr>
        <w:t>Európsky deň rovnosti v odmeňovaní</w:t>
      </w:r>
      <w:r>
        <w:t xml:space="preserve"> </w:t>
      </w:r>
      <w:r w:rsidRPr="00326231">
        <w:rPr>
          <w:b/>
        </w:rPr>
        <w:t>(</w:t>
      </w:r>
      <w:proofErr w:type="spellStart"/>
      <w:r w:rsidRPr="00326231">
        <w:rPr>
          <w:b/>
        </w:rPr>
        <w:t>European</w:t>
      </w:r>
      <w:proofErr w:type="spellEnd"/>
      <w:r w:rsidRPr="00326231">
        <w:rPr>
          <w:b/>
        </w:rPr>
        <w:t xml:space="preserve"> </w:t>
      </w:r>
      <w:proofErr w:type="spellStart"/>
      <w:r w:rsidRPr="00326231">
        <w:rPr>
          <w:b/>
        </w:rPr>
        <w:t>Equal</w:t>
      </w:r>
      <w:proofErr w:type="spellEnd"/>
      <w:r w:rsidRPr="00326231">
        <w:rPr>
          <w:b/>
        </w:rPr>
        <w:t xml:space="preserve"> </w:t>
      </w:r>
      <w:proofErr w:type="spellStart"/>
      <w:r w:rsidRPr="00326231">
        <w:rPr>
          <w:b/>
        </w:rPr>
        <w:t>Pay</w:t>
      </w:r>
      <w:proofErr w:type="spellEnd"/>
      <w:r w:rsidRPr="00326231">
        <w:rPr>
          <w:b/>
        </w:rPr>
        <w:t xml:space="preserve"> </w:t>
      </w:r>
      <w:proofErr w:type="spellStart"/>
      <w:r w:rsidRPr="00326231">
        <w:rPr>
          <w:b/>
        </w:rPr>
        <w:t>Day</w:t>
      </w:r>
      <w:proofErr w:type="spellEnd"/>
      <w:r w:rsidRPr="00326231">
        <w:rPr>
          <w:b/>
        </w:rPr>
        <w:t>)</w:t>
      </w:r>
      <w:r w:rsidR="00445FD5" w:rsidRPr="00326231">
        <w:rPr>
          <w:b/>
        </w:rPr>
        <w:t>,</w:t>
      </w:r>
      <w:r w:rsidR="00445FD5">
        <w:t xml:space="preserve"> ktorý sa odvtedy koná pravidelne každý rok</w:t>
      </w:r>
      <w:r>
        <w:t>. Deň rovnosti odmeňovania sa koná každoročne s cieľom zvýšiť povedomie o skutočnosti, že rozdiel v odmeňovaní žien a mužov naďalej existuje a že ženy musia pracovať dlhšie ako muži, aby zarobili rovnako. Dátum tejto udalosti je každý rok iný v závislosti od priemerného rozdielu v odmeňovaní žien a mužov v EÚ. Zmena dátumu konania Európskeho dňa rovnosti odmeňovania predstavuje mierne zníženie rozdielu v odmeňovaní žien a mužov.</w:t>
      </w:r>
    </w:p>
    <w:p w:rsidR="00D110D5" w:rsidRDefault="00D110D5" w:rsidP="00713644"/>
    <w:p w:rsidR="001D7DF3" w:rsidRDefault="001D7DF3">
      <w:pPr>
        <w:shd w:val="clear" w:color="auto" w:fill="auto"/>
        <w:spacing w:after="0" w:line="240" w:lineRule="auto"/>
        <w:jc w:val="left"/>
        <w:rPr>
          <w:caps/>
          <w:color w:val="000000"/>
          <w:spacing w:val="15"/>
          <w:sz w:val="32"/>
          <w:szCs w:val="24"/>
        </w:rPr>
      </w:pPr>
      <w:r>
        <w:br w:type="page"/>
      </w:r>
    </w:p>
    <w:p w:rsidR="006F5C86" w:rsidRDefault="006F5C86" w:rsidP="00B22578">
      <w:pPr>
        <w:pStyle w:val="Nadpis2"/>
        <w:numPr>
          <w:ilvl w:val="0"/>
          <w:numId w:val="8"/>
        </w:numPr>
      </w:pPr>
      <w:bookmarkStart w:id="13" w:name="_Toc451508611"/>
      <w:r>
        <w:lastRenderedPageBreak/>
        <w:t>Rodový mzdový rozdiel v číslach</w:t>
      </w:r>
      <w:bookmarkEnd w:id="13"/>
    </w:p>
    <w:p w:rsidR="00326231" w:rsidRDefault="00326231" w:rsidP="0017792F">
      <w:pPr>
        <w:pStyle w:val="Default"/>
      </w:pPr>
      <w:r w:rsidRPr="00F0595B">
        <w:rPr>
          <w:szCs w:val="24"/>
        </w:rPr>
        <w:t>Rodový</w:t>
      </w:r>
      <w:r w:rsidRPr="00713644">
        <w:t xml:space="preserve"> mzdový rozdiel patrí k najviac sledovaným a diskutovaným prejavom rodovej nerovnosti resp. diskriminácie na trhu práce. Napriek spomínaným prístupom je rodový rozdiel v zárobkoch stále výrazný a patríme ku krajinám EÚ s jeho najvyššou hodnotou.</w:t>
      </w:r>
    </w:p>
    <w:p w:rsidR="00F0595B" w:rsidRDefault="00326231" w:rsidP="0017792F">
      <w:pPr>
        <w:pStyle w:val="Default"/>
        <w:rPr>
          <w:b/>
        </w:rPr>
      </w:pPr>
      <w:r w:rsidRPr="00713644">
        <w:t xml:space="preserve"> </w:t>
      </w:r>
      <w:r w:rsidR="00F0595B">
        <w:t xml:space="preserve">Rozdiely v odmeňovaní žien a mužov sa znázorňujú ako percento zárobku </w:t>
      </w:r>
      <w:r>
        <w:t xml:space="preserve">žien zo mzdy </w:t>
      </w:r>
      <w:r w:rsidR="00F0595B">
        <w:t xml:space="preserve">mužov a predstavujú rozdiel medzi priemerným hrubým hodinovým príjmom zamestnaných mužov a žien. Hrubý príjem predstavuje mzdu alebo plat vyplatený priamo zamestnancovi pred odrátaním dane z príjmu a príspevkov do systému sociálneho zabezpečenia. V EÚ sa údaje o rozdieloch v odmeňovaní žien a mužov zakladajú na metodike zisťovania o štruktúre príjmov (tzv. SES – </w:t>
      </w:r>
      <w:proofErr w:type="spellStart"/>
      <w:r w:rsidR="00F0595B" w:rsidRPr="00326231">
        <w:rPr>
          <w:i/>
        </w:rPr>
        <w:t>Structure</w:t>
      </w:r>
      <w:proofErr w:type="spellEnd"/>
      <w:r w:rsidR="00F0595B" w:rsidRPr="00326231">
        <w:rPr>
          <w:i/>
        </w:rPr>
        <w:t xml:space="preserve"> </w:t>
      </w:r>
      <w:proofErr w:type="spellStart"/>
      <w:r w:rsidR="00F0595B" w:rsidRPr="00326231">
        <w:rPr>
          <w:i/>
        </w:rPr>
        <w:t>of</w:t>
      </w:r>
      <w:proofErr w:type="spellEnd"/>
      <w:r w:rsidR="00F0595B" w:rsidRPr="00326231">
        <w:rPr>
          <w:i/>
        </w:rPr>
        <w:t xml:space="preserve"> </w:t>
      </w:r>
      <w:proofErr w:type="spellStart"/>
      <w:r w:rsidR="00F0595B" w:rsidRPr="00326231">
        <w:rPr>
          <w:i/>
        </w:rPr>
        <w:t>Earnings</w:t>
      </w:r>
      <w:proofErr w:type="spellEnd"/>
      <w:r w:rsidR="00F0595B" w:rsidRPr="00326231">
        <w:rPr>
          <w:i/>
        </w:rPr>
        <w:t xml:space="preserve"> </w:t>
      </w:r>
      <w:proofErr w:type="spellStart"/>
      <w:r w:rsidR="00F0595B" w:rsidRPr="00326231">
        <w:rPr>
          <w:i/>
        </w:rPr>
        <w:t>Survey</w:t>
      </w:r>
      <w:proofErr w:type="spellEnd"/>
      <w:r w:rsidR="00F0595B">
        <w:t>). V krajinách EÚ sa rozdiely v odmeňovaní žien a mužov oficiálne nazývajú pojmom „</w:t>
      </w:r>
      <w:r w:rsidR="00F0595B" w:rsidRPr="00326231">
        <w:rPr>
          <w:i/>
        </w:rPr>
        <w:t>neupravený rozdiel v odmeňovaní žien a mužov</w:t>
      </w:r>
      <w:r w:rsidR="00F0595B">
        <w:t>“, pretože neberú do úvahy všetky faktory, ktoré ovplyvňujú príslušné rozdiely, napríklad rozdiely vo vzdelaní, skúsenosti na trhu práce, počet odpracovaných hodín, typ práce atď. Používanie hodinového zárobku na výpočet rozdielov v odmeňovaní žien a mužov tiež môže zastrieť špecifické rozdiely v odmeňovaní, ktoré sa nezaznamenávajú, napríklad vyplácanie bonusov, výkonnostných odmien alebo sezónnych príplatkov.</w:t>
      </w:r>
    </w:p>
    <w:p w:rsidR="00304509" w:rsidRDefault="00304509" w:rsidP="0017792F">
      <w:pPr>
        <w:pStyle w:val="Default"/>
      </w:pPr>
      <w:r w:rsidRPr="0017792F">
        <w:rPr>
          <w:b/>
        </w:rPr>
        <w:t>Rodový mzdový rozdiel v neočistenej forme</w:t>
      </w:r>
      <w:r w:rsidRPr="00713644">
        <w:t xml:space="preserve"> (</w:t>
      </w:r>
      <w:proofErr w:type="spellStart"/>
      <w:r w:rsidRPr="00713644">
        <w:rPr>
          <w:i/>
        </w:rPr>
        <w:t>The</w:t>
      </w:r>
      <w:proofErr w:type="spellEnd"/>
      <w:r w:rsidRPr="00713644">
        <w:rPr>
          <w:i/>
        </w:rPr>
        <w:t xml:space="preserve"> </w:t>
      </w:r>
      <w:proofErr w:type="spellStart"/>
      <w:r w:rsidRPr="00713644">
        <w:rPr>
          <w:i/>
        </w:rPr>
        <w:t>unadjusted</w:t>
      </w:r>
      <w:proofErr w:type="spellEnd"/>
      <w:r w:rsidRPr="00713644">
        <w:rPr>
          <w:i/>
        </w:rPr>
        <w:t xml:space="preserve"> </w:t>
      </w:r>
      <w:proofErr w:type="spellStart"/>
      <w:r w:rsidRPr="00713644">
        <w:rPr>
          <w:i/>
        </w:rPr>
        <w:t>Gender</w:t>
      </w:r>
      <w:proofErr w:type="spellEnd"/>
      <w:r w:rsidRPr="00713644">
        <w:rPr>
          <w:i/>
        </w:rPr>
        <w:t xml:space="preserve"> </w:t>
      </w:r>
      <w:proofErr w:type="spellStart"/>
      <w:r w:rsidRPr="00713644">
        <w:rPr>
          <w:i/>
        </w:rPr>
        <w:t>Pay</w:t>
      </w:r>
      <w:proofErr w:type="spellEnd"/>
      <w:r w:rsidRPr="00713644">
        <w:rPr>
          <w:i/>
        </w:rPr>
        <w:t xml:space="preserve"> </w:t>
      </w:r>
      <w:proofErr w:type="spellStart"/>
      <w:r w:rsidRPr="00713644">
        <w:rPr>
          <w:i/>
        </w:rPr>
        <w:t>Gap</w:t>
      </w:r>
      <w:proofErr w:type="spellEnd"/>
      <w:r w:rsidRPr="00713644">
        <w:t xml:space="preserve"> (GPG) ) predstavuje podľa definície </w:t>
      </w:r>
      <w:proofErr w:type="spellStart"/>
      <w:r w:rsidRPr="00713644">
        <w:t>Eurostatu</w:t>
      </w:r>
      <w:proofErr w:type="spellEnd"/>
      <w:r w:rsidRPr="00713644">
        <w:t xml:space="preserve"> </w:t>
      </w:r>
      <w:r w:rsidRPr="0017792F">
        <w:rPr>
          <w:b/>
        </w:rPr>
        <w:t xml:space="preserve">rozdiel medzi priemernou hrubou hodinovou mzdou mužského plateného zamestnanca a ženskou platenou zamestnankyňou ako percento hrubej hodinovej mzdy </w:t>
      </w:r>
      <w:r w:rsidRPr="0017792F">
        <w:rPr>
          <w:b/>
          <w:szCs w:val="24"/>
        </w:rPr>
        <w:t>mužského zamestnanca</w:t>
      </w:r>
      <w:r w:rsidRPr="00F0595B">
        <w:rPr>
          <w:szCs w:val="24"/>
        </w:rPr>
        <w:t xml:space="preserve">. </w:t>
      </w:r>
    </w:p>
    <w:p w:rsidR="00B22578" w:rsidRPr="00713644" w:rsidRDefault="00B22578" w:rsidP="00713644"/>
    <w:p w:rsidR="006F5C86" w:rsidRDefault="006F5C86" w:rsidP="006F5C86">
      <w:pPr>
        <w:pStyle w:val="Nadpis3"/>
      </w:pPr>
      <w:bookmarkStart w:id="14" w:name="_Toc451508612"/>
      <w:r>
        <w:t>Situácia na Slovensku v roku 2015</w:t>
      </w:r>
      <w:bookmarkEnd w:id="14"/>
    </w:p>
    <w:p w:rsidR="002F70D4" w:rsidRPr="00713644" w:rsidRDefault="00304509" w:rsidP="0017792F">
      <w:pPr>
        <w:pStyle w:val="Default"/>
      </w:pPr>
      <w:r w:rsidRPr="00713644">
        <w:t>Z hľadiska legislatívnej úpravy napĺňa SR očakávané požiadavky</w:t>
      </w:r>
      <w:r w:rsidR="00BE33BB">
        <w:t xml:space="preserve"> stanovené EÚ</w:t>
      </w:r>
      <w:r w:rsidRPr="00713644">
        <w:t xml:space="preserve">; v roku 2007 bol v rámci novelizácie Zákonníka práce doplnený dôležitý paragraf § 119a, ktorý v </w:t>
      </w:r>
      <w:r w:rsidR="00BE33BB">
        <w:t>s</w:t>
      </w:r>
      <w:r w:rsidRPr="00713644">
        <w:t xml:space="preserve">lovenskej legislatíve zakotvuje </w:t>
      </w:r>
      <w:r w:rsidR="00BE33BB">
        <w:t xml:space="preserve">rovnakú </w:t>
      </w:r>
      <w:r w:rsidRPr="00713644">
        <w:t xml:space="preserve">mzdu za rovnakú prácu a za prácu rovnakej hodnoty pre ženy a mužov. Napriek vyhovujúcej legislatíve je však nutné konštatovať, že na Slovensku pretrvávajú značné rozdiely v odmeňovaní žien a mužov. Aj keď sa v posledných rokoch na Slovensku rodový mzdový rozdiel pomaly znižuje, v súčasnosti predstavuje </w:t>
      </w:r>
      <w:r w:rsidR="00A82807">
        <w:t xml:space="preserve">stále okolo </w:t>
      </w:r>
      <w:r w:rsidR="00360306" w:rsidRPr="00713644">
        <w:t>18</w:t>
      </w:r>
      <w:r w:rsidRPr="00713644">
        <w:t xml:space="preserve"> </w:t>
      </w:r>
      <w:r w:rsidR="005C794F">
        <w:t xml:space="preserve"> %</w:t>
      </w:r>
      <w:r w:rsidRPr="00713644">
        <w:t xml:space="preserve">. Inými slovami, </w:t>
      </w:r>
      <w:r w:rsidRPr="00713644">
        <w:rPr>
          <w:b/>
        </w:rPr>
        <w:t xml:space="preserve">priemerný </w:t>
      </w:r>
      <w:r w:rsidR="00360306" w:rsidRPr="00713644">
        <w:rPr>
          <w:b/>
        </w:rPr>
        <w:t xml:space="preserve">hodinový </w:t>
      </w:r>
      <w:r w:rsidRPr="00713644">
        <w:rPr>
          <w:b/>
        </w:rPr>
        <w:t xml:space="preserve">zárobok žien tvorí </w:t>
      </w:r>
      <w:r w:rsidR="00360306" w:rsidRPr="00713644">
        <w:rPr>
          <w:b/>
        </w:rPr>
        <w:t xml:space="preserve">iba </w:t>
      </w:r>
      <w:r w:rsidRPr="00713644">
        <w:rPr>
          <w:b/>
        </w:rPr>
        <w:t>8</w:t>
      </w:r>
      <w:r w:rsidR="00360306" w:rsidRPr="00713644">
        <w:rPr>
          <w:b/>
        </w:rPr>
        <w:t>2</w:t>
      </w:r>
      <w:r w:rsidRPr="00713644">
        <w:rPr>
          <w:b/>
        </w:rPr>
        <w:t xml:space="preserve"> </w:t>
      </w:r>
      <w:r w:rsidR="005C794F">
        <w:rPr>
          <w:b/>
        </w:rPr>
        <w:t xml:space="preserve"> %</w:t>
      </w:r>
      <w:r w:rsidRPr="00713644">
        <w:rPr>
          <w:b/>
        </w:rPr>
        <w:t xml:space="preserve"> z mužskej priemernej mzdy</w:t>
      </w:r>
      <w:r w:rsidRPr="00713644">
        <w:t xml:space="preserve">. </w:t>
      </w:r>
      <w:r w:rsidR="00360306" w:rsidRPr="00713644">
        <w:t>V</w:t>
      </w:r>
      <w:r w:rsidRPr="00713644">
        <w:t xml:space="preserve"> členských krajinách E</w:t>
      </w:r>
      <w:r w:rsidR="00BE33BB">
        <w:t>Ú</w:t>
      </w:r>
      <w:r w:rsidRPr="00713644">
        <w:t xml:space="preserve"> sa priemer už dlhodobo pohybuje na úrovni  medzi  16 a 17 </w:t>
      </w:r>
      <w:r w:rsidR="005C794F">
        <w:t xml:space="preserve"> %</w:t>
      </w:r>
      <w:r w:rsidRPr="00713644">
        <w:t xml:space="preserve">. </w:t>
      </w:r>
    </w:p>
    <w:p w:rsidR="00B22578" w:rsidRDefault="000114B5" w:rsidP="00BE33BB">
      <w:pPr>
        <w:shd w:val="clear" w:color="auto" w:fill="auto"/>
        <w:spacing w:after="0" w:line="240" w:lineRule="auto"/>
        <w:jc w:val="left"/>
      </w:pPr>
      <w:r w:rsidRPr="00713644">
        <w:t xml:space="preserve">Pozitívnou správou je, že sa rodový mzdový rozdiel na Slovensku postupne znižuje, ako ilustruje nadchádzajúca tabuľka </w:t>
      </w:r>
    </w:p>
    <w:p w:rsidR="00BE33BB" w:rsidRDefault="00BE33BB" w:rsidP="00B22578">
      <w:pPr>
        <w:pStyle w:val="Popis"/>
      </w:pPr>
      <w:r>
        <w:br/>
      </w:r>
      <w:r>
        <w:br/>
      </w:r>
    </w:p>
    <w:p w:rsidR="00BE33BB" w:rsidRDefault="00BE33BB" w:rsidP="00BE33BB">
      <w:pPr>
        <w:rPr>
          <w:color w:val="808080" w:themeColor="background1" w:themeShade="80"/>
          <w:spacing w:val="10"/>
          <w:sz w:val="18"/>
          <w:szCs w:val="18"/>
        </w:rPr>
      </w:pPr>
      <w:r>
        <w:br w:type="page"/>
      </w:r>
    </w:p>
    <w:p w:rsidR="000114B5" w:rsidRPr="000114B5" w:rsidRDefault="00BE33BB" w:rsidP="00B22578">
      <w:pPr>
        <w:pStyle w:val="Popis"/>
      </w:pPr>
      <w:r w:rsidRPr="000114B5">
        <w:rPr>
          <w:noProof/>
          <w:lang w:eastAsia="sk-SK" w:bidi="ar-SA"/>
        </w:rPr>
        <w:drawing>
          <wp:anchor distT="0" distB="0" distL="114300" distR="114300" simplePos="0" relativeHeight="251668480" behindDoc="0" locked="0" layoutInCell="1" allowOverlap="1" wp14:anchorId="3EAEBF0A" wp14:editId="50E3BAD3">
            <wp:simplePos x="0" y="0"/>
            <wp:positionH relativeFrom="margin">
              <wp:posOffset>2286000</wp:posOffset>
            </wp:positionH>
            <wp:positionV relativeFrom="margin">
              <wp:posOffset>487680</wp:posOffset>
            </wp:positionV>
            <wp:extent cx="3429000" cy="2362200"/>
            <wp:effectExtent l="0" t="0" r="19050" b="19050"/>
            <wp:wrapSquare wrapText="bothSides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578">
        <w:t xml:space="preserve">Tabuľka </w:t>
      </w:r>
      <w:r w:rsidR="009F7A61">
        <w:fldChar w:fldCharType="begin"/>
      </w:r>
      <w:r w:rsidR="009F7A61">
        <w:instrText xml:space="preserve"> SEQ Tabuľka \* ARABIC </w:instrText>
      </w:r>
      <w:r w:rsidR="009F7A61">
        <w:fldChar w:fldCharType="separate"/>
      </w:r>
      <w:r w:rsidR="004E53CF">
        <w:rPr>
          <w:noProof/>
        </w:rPr>
        <w:t>2</w:t>
      </w:r>
      <w:r w:rsidR="009F7A61">
        <w:rPr>
          <w:noProof/>
        </w:rPr>
        <w:fldChar w:fldCharType="end"/>
      </w:r>
      <w:r w:rsidR="00B22578">
        <w:t xml:space="preserve"> </w:t>
      </w:r>
      <w:r w:rsidR="00B22578" w:rsidRPr="000114B5">
        <w:t xml:space="preserve">+ Graf </w:t>
      </w:r>
      <w:r w:rsidR="009F7A61">
        <w:fldChar w:fldCharType="begin"/>
      </w:r>
      <w:r w:rsidR="009F7A61">
        <w:instrText xml:space="preserve"> SEQ Graf \* ARABIC </w:instrText>
      </w:r>
      <w:r w:rsidR="009F7A61">
        <w:fldChar w:fldCharType="separate"/>
      </w:r>
      <w:r w:rsidR="004E53CF">
        <w:rPr>
          <w:noProof/>
        </w:rPr>
        <w:t>1</w:t>
      </w:r>
      <w:r w:rsidR="009F7A61">
        <w:rPr>
          <w:noProof/>
        </w:rPr>
        <w:fldChar w:fldCharType="end"/>
      </w:r>
      <w:r w:rsidR="00B22578" w:rsidRPr="000114B5">
        <w:t xml:space="preserve"> Vývoj RMZ v hodinovej a mesačnej mzde za roky 2005 </w:t>
      </w:r>
      <w:r w:rsidR="00B22578">
        <w:t>–</w:t>
      </w:r>
      <w:r w:rsidR="00B22578" w:rsidRPr="000114B5">
        <w:t xml:space="preserve"> 2015</w:t>
      </w:r>
      <w:r w:rsidR="00B22578">
        <w:t xml:space="preserve">, v </w:t>
      </w:r>
      <w:r w:rsidR="005C794F">
        <w:t xml:space="preserve"> %</w:t>
      </w:r>
      <w:r w:rsidR="000114B5" w:rsidRPr="00713644">
        <w:t>a príslušný graf.</w:t>
      </w:r>
    </w:p>
    <w:tbl>
      <w:tblPr>
        <w:tblStyle w:val="Svetlpodfarbenie"/>
        <w:tblpPr w:leftFromText="141" w:rightFromText="141" w:vertAnchor="text" w:tblpY="1"/>
        <w:tblW w:w="3520" w:type="dxa"/>
        <w:tblLook w:val="04A0" w:firstRow="1" w:lastRow="0" w:firstColumn="1" w:lastColumn="0" w:noHBand="0" w:noVBand="1"/>
      </w:tblPr>
      <w:tblGrid>
        <w:gridCol w:w="960"/>
        <w:gridCol w:w="1400"/>
        <w:gridCol w:w="1160"/>
      </w:tblGrid>
      <w:tr w:rsidR="000114B5" w:rsidRPr="000114B5" w:rsidTr="002F7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000000" w:themeFill="text1"/>
            <w:noWrap/>
            <w:hideMark/>
          </w:tcPr>
          <w:p w:rsidR="000114B5" w:rsidRPr="00713644" w:rsidRDefault="000114B5" w:rsidP="00713644">
            <w:pPr>
              <w:pStyle w:val="Bezriadkovania"/>
              <w:jc w:val="center"/>
              <w:rPr>
                <w:color w:val="FFFFFF" w:themeColor="background1"/>
                <w:lang w:eastAsia="sk-SK" w:bidi="ar-SA"/>
              </w:rPr>
            </w:pPr>
            <w:proofErr w:type="spellStart"/>
            <w:r w:rsidRPr="00713644">
              <w:rPr>
                <w:color w:val="FFFFFF" w:themeColor="background1"/>
                <w:lang w:eastAsia="sk-SK" w:bidi="ar-SA"/>
              </w:rPr>
              <w:t>Rok</w:t>
            </w:r>
            <w:proofErr w:type="spellEnd"/>
          </w:p>
        </w:tc>
        <w:tc>
          <w:tcPr>
            <w:tcW w:w="1400" w:type="dxa"/>
            <w:tcBorders>
              <w:top w:val="single" w:sz="18" w:space="0" w:color="000000" w:themeColor="text1"/>
            </w:tcBorders>
            <w:shd w:val="clear" w:color="auto" w:fill="000000" w:themeFill="text1"/>
            <w:noWrap/>
            <w:hideMark/>
          </w:tcPr>
          <w:p w:rsidR="006D1920" w:rsidRPr="00713644" w:rsidRDefault="000114B5" w:rsidP="00713644">
            <w:pPr>
              <w:pStyle w:val="Bezriadkovani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eastAsia="sk-SK" w:bidi="ar-SA"/>
              </w:rPr>
            </w:pPr>
            <w:r w:rsidRPr="00713644">
              <w:rPr>
                <w:color w:val="FFFFFF" w:themeColor="background1"/>
                <w:lang w:eastAsia="sk-SK" w:bidi="ar-SA"/>
              </w:rPr>
              <w:t>RMR</w:t>
            </w:r>
          </w:p>
          <w:p w:rsidR="000114B5" w:rsidRPr="00713644" w:rsidRDefault="000114B5" w:rsidP="00713644">
            <w:pPr>
              <w:pStyle w:val="Bezriadkovani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eastAsia="sk-SK" w:bidi="ar-SA"/>
              </w:rPr>
            </w:pPr>
            <w:proofErr w:type="spellStart"/>
            <w:r w:rsidRPr="00713644">
              <w:rPr>
                <w:color w:val="FFFFFF" w:themeColor="background1"/>
                <w:lang w:eastAsia="sk-SK" w:bidi="ar-SA"/>
              </w:rPr>
              <w:t>mesiac</w:t>
            </w:r>
            <w:proofErr w:type="spellEnd"/>
          </w:p>
        </w:tc>
        <w:tc>
          <w:tcPr>
            <w:tcW w:w="1160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  <w:noWrap/>
            <w:hideMark/>
          </w:tcPr>
          <w:p w:rsidR="000114B5" w:rsidRPr="00713644" w:rsidRDefault="000114B5" w:rsidP="00713644">
            <w:pPr>
              <w:pStyle w:val="Bezriadkovani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eastAsia="sk-SK" w:bidi="ar-SA"/>
              </w:rPr>
            </w:pPr>
            <w:r w:rsidRPr="00713644">
              <w:rPr>
                <w:color w:val="FFFFFF" w:themeColor="background1"/>
                <w:lang w:eastAsia="sk-SK" w:bidi="ar-SA"/>
              </w:rPr>
              <w:t xml:space="preserve">RMR </w:t>
            </w:r>
            <w:proofErr w:type="spellStart"/>
            <w:r w:rsidRPr="00713644">
              <w:rPr>
                <w:color w:val="FFFFFF" w:themeColor="background1"/>
                <w:lang w:eastAsia="sk-SK" w:bidi="ar-SA"/>
              </w:rPr>
              <w:t>hodina</w:t>
            </w:r>
            <w:proofErr w:type="spellEnd"/>
          </w:p>
        </w:tc>
      </w:tr>
      <w:tr w:rsidR="000114B5" w:rsidRPr="000114B5" w:rsidTr="002F7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:rsidR="000114B5" w:rsidRPr="006D1920" w:rsidRDefault="000114B5" w:rsidP="00713644">
            <w:pPr>
              <w:pStyle w:val="Bezriadkovania"/>
              <w:jc w:val="center"/>
              <w:rPr>
                <w:lang w:eastAsia="sk-SK" w:bidi="ar-SA"/>
              </w:rPr>
            </w:pPr>
            <w:r w:rsidRPr="006D1920">
              <w:rPr>
                <w:lang w:eastAsia="sk-SK" w:bidi="ar-SA"/>
              </w:rPr>
              <w:t>2005</w:t>
            </w:r>
          </w:p>
        </w:tc>
        <w:tc>
          <w:tcPr>
            <w:tcW w:w="1400" w:type="dxa"/>
            <w:shd w:val="clear" w:color="auto" w:fill="D9D9D9" w:themeFill="background1" w:themeFillShade="D9"/>
            <w:noWrap/>
            <w:hideMark/>
          </w:tcPr>
          <w:p w:rsidR="000114B5" w:rsidRPr="006D1920" w:rsidRDefault="000114B5" w:rsidP="00713644">
            <w:pPr>
              <w:pStyle w:val="Bezriadkovani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k-SK" w:bidi="ar-SA"/>
              </w:rPr>
            </w:pPr>
            <w:r w:rsidRPr="006D1920">
              <w:rPr>
                <w:lang w:eastAsia="sk-SK" w:bidi="ar-SA"/>
              </w:rPr>
              <w:t>27,66</w:t>
            </w:r>
          </w:p>
        </w:tc>
        <w:tc>
          <w:tcPr>
            <w:tcW w:w="1160" w:type="dxa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:rsidR="000114B5" w:rsidRPr="006D1920" w:rsidRDefault="000114B5" w:rsidP="00713644">
            <w:pPr>
              <w:pStyle w:val="Bezriadkovani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k-SK" w:bidi="ar-SA"/>
              </w:rPr>
            </w:pPr>
            <w:r w:rsidRPr="006D1920">
              <w:rPr>
                <w:lang w:eastAsia="sk-SK" w:bidi="ar-SA"/>
              </w:rPr>
              <w:t>26,66</w:t>
            </w:r>
          </w:p>
        </w:tc>
      </w:tr>
      <w:tr w:rsidR="000114B5" w:rsidRPr="000114B5" w:rsidTr="002F70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18" w:space="0" w:color="000000" w:themeColor="text1"/>
            </w:tcBorders>
            <w:noWrap/>
            <w:hideMark/>
          </w:tcPr>
          <w:p w:rsidR="000114B5" w:rsidRPr="006D1920" w:rsidRDefault="000114B5" w:rsidP="00713644">
            <w:pPr>
              <w:pStyle w:val="Bezriadkovania"/>
              <w:jc w:val="center"/>
              <w:rPr>
                <w:lang w:eastAsia="sk-SK" w:bidi="ar-SA"/>
              </w:rPr>
            </w:pPr>
            <w:r w:rsidRPr="006D1920">
              <w:rPr>
                <w:lang w:eastAsia="sk-SK" w:bidi="ar-SA"/>
              </w:rPr>
              <w:t>2006</w:t>
            </w:r>
          </w:p>
        </w:tc>
        <w:tc>
          <w:tcPr>
            <w:tcW w:w="1400" w:type="dxa"/>
            <w:noWrap/>
            <w:hideMark/>
          </w:tcPr>
          <w:p w:rsidR="000114B5" w:rsidRPr="006D1920" w:rsidRDefault="000114B5" w:rsidP="00713644">
            <w:pPr>
              <w:pStyle w:val="Bezriadkovani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k-SK" w:bidi="ar-SA"/>
              </w:rPr>
            </w:pPr>
            <w:r w:rsidRPr="006D1920">
              <w:rPr>
                <w:lang w:eastAsia="sk-SK" w:bidi="ar-SA"/>
              </w:rPr>
              <w:t>26,10</w:t>
            </w:r>
          </w:p>
        </w:tc>
        <w:tc>
          <w:tcPr>
            <w:tcW w:w="1160" w:type="dxa"/>
            <w:tcBorders>
              <w:right w:val="single" w:sz="18" w:space="0" w:color="000000" w:themeColor="text1"/>
            </w:tcBorders>
            <w:noWrap/>
            <w:hideMark/>
          </w:tcPr>
          <w:p w:rsidR="000114B5" w:rsidRPr="006D1920" w:rsidRDefault="000114B5" w:rsidP="00713644">
            <w:pPr>
              <w:pStyle w:val="Bezriadkovani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k-SK" w:bidi="ar-SA"/>
              </w:rPr>
            </w:pPr>
            <w:r w:rsidRPr="006D1920">
              <w:rPr>
                <w:lang w:eastAsia="sk-SK" w:bidi="ar-SA"/>
              </w:rPr>
              <w:t>23,74</w:t>
            </w:r>
          </w:p>
        </w:tc>
      </w:tr>
      <w:tr w:rsidR="000114B5" w:rsidRPr="000114B5" w:rsidTr="002F7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:rsidR="000114B5" w:rsidRPr="006D1920" w:rsidRDefault="000114B5" w:rsidP="00713644">
            <w:pPr>
              <w:pStyle w:val="Bezriadkovania"/>
              <w:jc w:val="center"/>
              <w:rPr>
                <w:lang w:eastAsia="sk-SK" w:bidi="ar-SA"/>
              </w:rPr>
            </w:pPr>
            <w:r w:rsidRPr="006D1920">
              <w:rPr>
                <w:lang w:eastAsia="sk-SK" w:bidi="ar-SA"/>
              </w:rPr>
              <w:t>2007</w:t>
            </w:r>
          </w:p>
        </w:tc>
        <w:tc>
          <w:tcPr>
            <w:tcW w:w="1400" w:type="dxa"/>
            <w:shd w:val="clear" w:color="auto" w:fill="D9D9D9" w:themeFill="background1" w:themeFillShade="D9"/>
            <w:noWrap/>
            <w:hideMark/>
          </w:tcPr>
          <w:p w:rsidR="000114B5" w:rsidRPr="006D1920" w:rsidRDefault="000114B5" w:rsidP="00713644">
            <w:pPr>
              <w:pStyle w:val="Bezriadkovani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k-SK" w:bidi="ar-SA"/>
              </w:rPr>
            </w:pPr>
            <w:r w:rsidRPr="006D1920">
              <w:rPr>
                <w:lang w:eastAsia="sk-SK" w:bidi="ar-SA"/>
              </w:rPr>
              <w:t>25,03</w:t>
            </w:r>
          </w:p>
        </w:tc>
        <w:tc>
          <w:tcPr>
            <w:tcW w:w="1160" w:type="dxa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:rsidR="000114B5" w:rsidRPr="006D1920" w:rsidRDefault="000114B5" w:rsidP="00713644">
            <w:pPr>
              <w:pStyle w:val="Bezriadkovani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k-SK" w:bidi="ar-SA"/>
              </w:rPr>
            </w:pPr>
            <w:r w:rsidRPr="006D1920">
              <w:rPr>
                <w:lang w:eastAsia="sk-SK" w:bidi="ar-SA"/>
              </w:rPr>
              <w:t>22,85</w:t>
            </w:r>
          </w:p>
        </w:tc>
      </w:tr>
      <w:tr w:rsidR="000114B5" w:rsidRPr="000114B5" w:rsidTr="002F70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18" w:space="0" w:color="000000" w:themeColor="text1"/>
            </w:tcBorders>
            <w:noWrap/>
            <w:hideMark/>
          </w:tcPr>
          <w:p w:rsidR="000114B5" w:rsidRPr="006D1920" w:rsidRDefault="000114B5" w:rsidP="00713644">
            <w:pPr>
              <w:pStyle w:val="Bezriadkovania"/>
              <w:jc w:val="center"/>
              <w:rPr>
                <w:lang w:eastAsia="sk-SK" w:bidi="ar-SA"/>
              </w:rPr>
            </w:pPr>
            <w:r w:rsidRPr="006D1920">
              <w:rPr>
                <w:lang w:eastAsia="sk-SK" w:bidi="ar-SA"/>
              </w:rPr>
              <w:t>2008</w:t>
            </w:r>
          </w:p>
        </w:tc>
        <w:tc>
          <w:tcPr>
            <w:tcW w:w="1400" w:type="dxa"/>
            <w:noWrap/>
            <w:hideMark/>
          </w:tcPr>
          <w:p w:rsidR="000114B5" w:rsidRPr="006D1920" w:rsidRDefault="000114B5" w:rsidP="00713644">
            <w:pPr>
              <w:pStyle w:val="Bezriadkovani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k-SK" w:bidi="ar-SA"/>
              </w:rPr>
            </w:pPr>
            <w:r w:rsidRPr="006D1920">
              <w:rPr>
                <w:lang w:eastAsia="sk-SK" w:bidi="ar-SA"/>
              </w:rPr>
              <w:t>23,13</w:t>
            </w:r>
          </w:p>
        </w:tc>
        <w:tc>
          <w:tcPr>
            <w:tcW w:w="1160" w:type="dxa"/>
            <w:tcBorders>
              <w:right w:val="single" w:sz="18" w:space="0" w:color="000000" w:themeColor="text1"/>
            </w:tcBorders>
            <w:noWrap/>
            <w:hideMark/>
          </w:tcPr>
          <w:p w:rsidR="000114B5" w:rsidRPr="006D1920" w:rsidRDefault="000114B5" w:rsidP="00713644">
            <w:pPr>
              <w:pStyle w:val="Bezriadkovani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k-SK" w:bidi="ar-SA"/>
              </w:rPr>
            </w:pPr>
            <w:r w:rsidRPr="006D1920">
              <w:rPr>
                <w:lang w:eastAsia="sk-SK" w:bidi="ar-SA"/>
              </w:rPr>
              <w:t>21,09</w:t>
            </w:r>
          </w:p>
        </w:tc>
      </w:tr>
      <w:tr w:rsidR="000114B5" w:rsidRPr="000114B5" w:rsidTr="002F7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:rsidR="000114B5" w:rsidRPr="006D1920" w:rsidRDefault="000114B5" w:rsidP="00713644">
            <w:pPr>
              <w:pStyle w:val="Bezriadkovania"/>
              <w:jc w:val="center"/>
              <w:rPr>
                <w:lang w:eastAsia="sk-SK" w:bidi="ar-SA"/>
              </w:rPr>
            </w:pPr>
            <w:r w:rsidRPr="006D1920">
              <w:rPr>
                <w:lang w:eastAsia="sk-SK" w:bidi="ar-SA"/>
              </w:rPr>
              <w:t>2009</w:t>
            </w:r>
          </w:p>
        </w:tc>
        <w:tc>
          <w:tcPr>
            <w:tcW w:w="1400" w:type="dxa"/>
            <w:shd w:val="clear" w:color="auto" w:fill="D9D9D9" w:themeFill="background1" w:themeFillShade="D9"/>
            <w:noWrap/>
            <w:hideMark/>
          </w:tcPr>
          <w:p w:rsidR="000114B5" w:rsidRPr="006D1920" w:rsidRDefault="000114B5" w:rsidP="00713644">
            <w:pPr>
              <w:pStyle w:val="Bezriadkovani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k-SK" w:bidi="ar-SA"/>
              </w:rPr>
            </w:pPr>
            <w:r w:rsidRPr="006D1920">
              <w:rPr>
                <w:lang w:eastAsia="sk-SK" w:bidi="ar-SA"/>
              </w:rPr>
              <w:t>24,41</w:t>
            </w:r>
          </w:p>
        </w:tc>
        <w:tc>
          <w:tcPr>
            <w:tcW w:w="1160" w:type="dxa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:rsidR="000114B5" w:rsidRPr="006D1920" w:rsidRDefault="000114B5" w:rsidP="00713644">
            <w:pPr>
              <w:pStyle w:val="Bezriadkovani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k-SK" w:bidi="ar-SA"/>
              </w:rPr>
            </w:pPr>
            <w:r w:rsidRPr="006D1920">
              <w:rPr>
                <w:lang w:eastAsia="sk-SK" w:bidi="ar-SA"/>
              </w:rPr>
              <w:t>21,70</w:t>
            </w:r>
          </w:p>
        </w:tc>
      </w:tr>
      <w:tr w:rsidR="000114B5" w:rsidRPr="000114B5" w:rsidTr="002F70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18" w:space="0" w:color="000000" w:themeColor="text1"/>
            </w:tcBorders>
            <w:noWrap/>
            <w:hideMark/>
          </w:tcPr>
          <w:p w:rsidR="000114B5" w:rsidRPr="006D1920" w:rsidRDefault="000114B5" w:rsidP="00713644">
            <w:pPr>
              <w:pStyle w:val="Bezriadkovania"/>
              <w:jc w:val="center"/>
              <w:rPr>
                <w:lang w:eastAsia="sk-SK" w:bidi="ar-SA"/>
              </w:rPr>
            </w:pPr>
            <w:r w:rsidRPr="006D1920">
              <w:rPr>
                <w:lang w:eastAsia="sk-SK" w:bidi="ar-SA"/>
              </w:rPr>
              <w:t>2010</w:t>
            </w:r>
          </w:p>
        </w:tc>
        <w:tc>
          <w:tcPr>
            <w:tcW w:w="1400" w:type="dxa"/>
            <w:noWrap/>
            <w:hideMark/>
          </w:tcPr>
          <w:p w:rsidR="000114B5" w:rsidRPr="006D1920" w:rsidRDefault="000114B5" w:rsidP="00713644">
            <w:pPr>
              <w:pStyle w:val="Bezriadkovani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k-SK" w:bidi="ar-SA"/>
              </w:rPr>
            </w:pPr>
            <w:r w:rsidRPr="006D1920">
              <w:rPr>
                <w:lang w:eastAsia="sk-SK" w:bidi="ar-SA"/>
              </w:rPr>
              <w:t>23,42</w:t>
            </w:r>
          </w:p>
        </w:tc>
        <w:tc>
          <w:tcPr>
            <w:tcW w:w="1160" w:type="dxa"/>
            <w:tcBorders>
              <w:right w:val="single" w:sz="18" w:space="0" w:color="000000" w:themeColor="text1"/>
            </w:tcBorders>
            <w:noWrap/>
            <w:hideMark/>
          </w:tcPr>
          <w:p w:rsidR="000114B5" w:rsidRPr="006D1920" w:rsidRDefault="000114B5" w:rsidP="00713644">
            <w:pPr>
              <w:pStyle w:val="Bezriadkovani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k-SK" w:bidi="ar-SA"/>
              </w:rPr>
            </w:pPr>
            <w:r w:rsidRPr="006D1920">
              <w:rPr>
                <w:lang w:eastAsia="sk-SK" w:bidi="ar-SA"/>
              </w:rPr>
              <w:t>20,65</w:t>
            </w:r>
          </w:p>
        </w:tc>
      </w:tr>
      <w:tr w:rsidR="000114B5" w:rsidRPr="000114B5" w:rsidTr="002F7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:rsidR="000114B5" w:rsidRPr="006D1920" w:rsidRDefault="000114B5" w:rsidP="00713644">
            <w:pPr>
              <w:pStyle w:val="Bezriadkovania"/>
              <w:jc w:val="center"/>
              <w:rPr>
                <w:lang w:eastAsia="sk-SK" w:bidi="ar-SA"/>
              </w:rPr>
            </w:pPr>
            <w:r w:rsidRPr="006D1920">
              <w:rPr>
                <w:lang w:eastAsia="sk-SK" w:bidi="ar-SA"/>
              </w:rPr>
              <w:t>2011</w:t>
            </w:r>
          </w:p>
        </w:tc>
        <w:tc>
          <w:tcPr>
            <w:tcW w:w="1400" w:type="dxa"/>
            <w:shd w:val="clear" w:color="auto" w:fill="D9D9D9" w:themeFill="background1" w:themeFillShade="D9"/>
            <w:noWrap/>
            <w:hideMark/>
          </w:tcPr>
          <w:p w:rsidR="000114B5" w:rsidRPr="006D1920" w:rsidRDefault="000114B5" w:rsidP="00713644">
            <w:pPr>
              <w:pStyle w:val="Bezriadkovani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k-SK" w:bidi="ar-SA"/>
              </w:rPr>
            </w:pPr>
            <w:r w:rsidRPr="006D1920">
              <w:rPr>
                <w:lang w:eastAsia="sk-SK" w:bidi="ar-SA"/>
              </w:rPr>
              <w:t>22,74</w:t>
            </w:r>
          </w:p>
        </w:tc>
        <w:tc>
          <w:tcPr>
            <w:tcW w:w="1160" w:type="dxa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:rsidR="000114B5" w:rsidRPr="006D1920" w:rsidRDefault="000114B5" w:rsidP="00713644">
            <w:pPr>
              <w:pStyle w:val="Bezriadkovani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k-SK" w:bidi="ar-SA"/>
              </w:rPr>
            </w:pPr>
            <w:r w:rsidRPr="006D1920">
              <w:rPr>
                <w:lang w:eastAsia="sk-SK" w:bidi="ar-SA"/>
              </w:rPr>
              <w:t>20,17</w:t>
            </w:r>
          </w:p>
        </w:tc>
      </w:tr>
      <w:tr w:rsidR="000114B5" w:rsidRPr="000114B5" w:rsidTr="002F70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18" w:space="0" w:color="000000" w:themeColor="text1"/>
            </w:tcBorders>
            <w:noWrap/>
            <w:hideMark/>
          </w:tcPr>
          <w:p w:rsidR="000114B5" w:rsidRPr="006D1920" w:rsidRDefault="000114B5" w:rsidP="00713644">
            <w:pPr>
              <w:pStyle w:val="Bezriadkovania"/>
              <w:jc w:val="center"/>
              <w:rPr>
                <w:lang w:eastAsia="sk-SK" w:bidi="ar-SA"/>
              </w:rPr>
            </w:pPr>
            <w:r w:rsidRPr="006D1920">
              <w:rPr>
                <w:lang w:eastAsia="sk-SK" w:bidi="ar-SA"/>
              </w:rPr>
              <w:t>2012</w:t>
            </w:r>
          </w:p>
        </w:tc>
        <w:tc>
          <w:tcPr>
            <w:tcW w:w="1400" w:type="dxa"/>
            <w:noWrap/>
            <w:hideMark/>
          </w:tcPr>
          <w:p w:rsidR="000114B5" w:rsidRPr="006D1920" w:rsidRDefault="000114B5" w:rsidP="00713644">
            <w:pPr>
              <w:pStyle w:val="Bezriadkovani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k-SK" w:bidi="ar-SA"/>
              </w:rPr>
            </w:pPr>
            <w:r w:rsidRPr="006D1920">
              <w:rPr>
                <w:lang w:eastAsia="sk-SK" w:bidi="ar-SA"/>
              </w:rPr>
              <w:t>23,00</w:t>
            </w:r>
          </w:p>
        </w:tc>
        <w:tc>
          <w:tcPr>
            <w:tcW w:w="1160" w:type="dxa"/>
            <w:tcBorders>
              <w:right w:val="single" w:sz="18" w:space="0" w:color="000000" w:themeColor="text1"/>
            </w:tcBorders>
            <w:noWrap/>
            <w:hideMark/>
          </w:tcPr>
          <w:p w:rsidR="000114B5" w:rsidRPr="006D1920" w:rsidRDefault="000114B5" w:rsidP="00713644">
            <w:pPr>
              <w:pStyle w:val="Bezriadkovani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k-SK" w:bidi="ar-SA"/>
              </w:rPr>
            </w:pPr>
            <w:r w:rsidRPr="006D1920">
              <w:rPr>
                <w:lang w:eastAsia="sk-SK" w:bidi="ar-SA"/>
              </w:rPr>
              <w:t>20,37</w:t>
            </w:r>
          </w:p>
        </w:tc>
      </w:tr>
      <w:tr w:rsidR="000114B5" w:rsidRPr="000114B5" w:rsidTr="002F7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:rsidR="000114B5" w:rsidRPr="006D1920" w:rsidRDefault="000114B5" w:rsidP="00713644">
            <w:pPr>
              <w:pStyle w:val="Bezriadkovania"/>
              <w:jc w:val="center"/>
              <w:rPr>
                <w:lang w:eastAsia="sk-SK" w:bidi="ar-SA"/>
              </w:rPr>
            </w:pPr>
            <w:r w:rsidRPr="006D1920">
              <w:rPr>
                <w:lang w:eastAsia="sk-SK" w:bidi="ar-SA"/>
              </w:rPr>
              <w:t>2013</w:t>
            </w:r>
          </w:p>
        </w:tc>
        <w:tc>
          <w:tcPr>
            <w:tcW w:w="1400" w:type="dxa"/>
            <w:shd w:val="clear" w:color="auto" w:fill="D9D9D9" w:themeFill="background1" w:themeFillShade="D9"/>
            <w:noWrap/>
            <w:hideMark/>
          </w:tcPr>
          <w:p w:rsidR="000114B5" w:rsidRPr="006D1920" w:rsidRDefault="000114B5" w:rsidP="00713644">
            <w:pPr>
              <w:pStyle w:val="Bezriadkovani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k-SK" w:bidi="ar-SA"/>
              </w:rPr>
            </w:pPr>
            <w:r w:rsidRPr="006D1920">
              <w:rPr>
                <w:lang w:eastAsia="sk-SK" w:bidi="ar-SA"/>
              </w:rPr>
              <w:t>20,82</w:t>
            </w:r>
          </w:p>
        </w:tc>
        <w:tc>
          <w:tcPr>
            <w:tcW w:w="1160" w:type="dxa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:rsidR="000114B5" w:rsidRPr="006D1920" w:rsidRDefault="000114B5" w:rsidP="00713644">
            <w:pPr>
              <w:pStyle w:val="Bezriadkovani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k-SK" w:bidi="ar-SA"/>
              </w:rPr>
            </w:pPr>
            <w:r w:rsidRPr="006D1920">
              <w:rPr>
                <w:lang w:eastAsia="sk-SK" w:bidi="ar-SA"/>
              </w:rPr>
              <w:t>17,90</w:t>
            </w:r>
          </w:p>
        </w:tc>
      </w:tr>
      <w:tr w:rsidR="000114B5" w:rsidRPr="000114B5" w:rsidTr="002F70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18" w:space="0" w:color="000000" w:themeColor="text1"/>
            </w:tcBorders>
            <w:noWrap/>
            <w:hideMark/>
          </w:tcPr>
          <w:p w:rsidR="000114B5" w:rsidRPr="006D1920" w:rsidRDefault="000114B5" w:rsidP="00713644">
            <w:pPr>
              <w:pStyle w:val="Bezriadkovania"/>
              <w:jc w:val="center"/>
              <w:rPr>
                <w:lang w:eastAsia="sk-SK" w:bidi="ar-SA"/>
              </w:rPr>
            </w:pPr>
            <w:r w:rsidRPr="006D1920">
              <w:rPr>
                <w:lang w:eastAsia="sk-SK" w:bidi="ar-SA"/>
              </w:rPr>
              <w:t>2014</w:t>
            </w:r>
          </w:p>
        </w:tc>
        <w:tc>
          <w:tcPr>
            <w:tcW w:w="1400" w:type="dxa"/>
            <w:noWrap/>
            <w:hideMark/>
          </w:tcPr>
          <w:p w:rsidR="000114B5" w:rsidRPr="006D1920" w:rsidRDefault="000114B5" w:rsidP="00713644">
            <w:pPr>
              <w:pStyle w:val="Bezriadkovani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k-SK" w:bidi="ar-SA"/>
              </w:rPr>
            </w:pPr>
            <w:r w:rsidRPr="006D1920">
              <w:rPr>
                <w:lang w:eastAsia="sk-SK" w:bidi="ar-SA"/>
              </w:rPr>
              <w:t>23,02</w:t>
            </w:r>
          </w:p>
        </w:tc>
        <w:tc>
          <w:tcPr>
            <w:tcW w:w="1160" w:type="dxa"/>
            <w:tcBorders>
              <w:right w:val="single" w:sz="18" w:space="0" w:color="000000" w:themeColor="text1"/>
            </w:tcBorders>
            <w:noWrap/>
            <w:hideMark/>
          </w:tcPr>
          <w:p w:rsidR="000114B5" w:rsidRPr="006D1920" w:rsidRDefault="000114B5" w:rsidP="00713644">
            <w:pPr>
              <w:pStyle w:val="Bezriadkovani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k-SK" w:bidi="ar-SA"/>
              </w:rPr>
            </w:pPr>
            <w:r w:rsidRPr="006D1920">
              <w:rPr>
                <w:lang w:eastAsia="sk-SK" w:bidi="ar-SA"/>
              </w:rPr>
              <w:t>18,73</w:t>
            </w:r>
          </w:p>
        </w:tc>
      </w:tr>
      <w:tr w:rsidR="000114B5" w:rsidRPr="000114B5" w:rsidTr="002F7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:rsidR="000114B5" w:rsidRPr="002F70D4" w:rsidRDefault="000114B5" w:rsidP="00713644">
            <w:pPr>
              <w:pStyle w:val="Bezriadkovania"/>
              <w:jc w:val="center"/>
              <w:rPr>
                <w:lang w:eastAsia="sk-SK" w:bidi="ar-SA"/>
              </w:rPr>
            </w:pPr>
            <w:r w:rsidRPr="002F70D4">
              <w:rPr>
                <w:lang w:eastAsia="sk-SK" w:bidi="ar-SA"/>
              </w:rPr>
              <w:t>2015</w:t>
            </w:r>
          </w:p>
        </w:tc>
        <w:tc>
          <w:tcPr>
            <w:tcW w:w="1400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:rsidR="000114B5" w:rsidRPr="002F70D4" w:rsidRDefault="000114B5" w:rsidP="00713644">
            <w:pPr>
              <w:pStyle w:val="Bezriadkovani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k-SK" w:bidi="ar-SA"/>
              </w:rPr>
            </w:pPr>
            <w:r w:rsidRPr="002F70D4">
              <w:rPr>
                <w:lang w:eastAsia="sk-SK" w:bidi="ar-SA"/>
              </w:rPr>
              <w:t>22,33</w:t>
            </w:r>
          </w:p>
        </w:tc>
        <w:tc>
          <w:tcPr>
            <w:tcW w:w="1160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:rsidR="000114B5" w:rsidRPr="002F70D4" w:rsidRDefault="000114B5" w:rsidP="00713644">
            <w:pPr>
              <w:pStyle w:val="Bezriadkovani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k-SK" w:bidi="ar-SA"/>
              </w:rPr>
            </w:pPr>
            <w:r w:rsidRPr="002F70D4">
              <w:rPr>
                <w:lang w:eastAsia="sk-SK" w:bidi="ar-SA"/>
              </w:rPr>
              <w:t>17,80</w:t>
            </w:r>
          </w:p>
        </w:tc>
      </w:tr>
    </w:tbl>
    <w:p w:rsidR="000114B5" w:rsidRDefault="00A707FF" w:rsidP="00713644">
      <w:pPr>
        <w:pStyle w:val="Popis"/>
      </w:pPr>
      <w:r>
        <w:t xml:space="preserve">Zdroj: Trexima </w:t>
      </w:r>
    </w:p>
    <w:p w:rsidR="00B22578" w:rsidRDefault="00B22578" w:rsidP="0017792F">
      <w:pPr>
        <w:pStyle w:val="Default"/>
      </w:pPr>
      <w:r w:rsidRPr="00713644">
        <w:t>Rodový mzdový rozdiel na základe hrubej mesačnej mzdy v roku 2015 dosiahol úroveň 22,33</w:t>
      </w:r>
      <w:r w:rsidR="005C794F">
        <w:t xml:space="preserve"> %</w:t>
      </w:r>
      <w:r w:rsidRPr="00713644">
        <w:t xml:space="preserve"> v neprospech žien (v roku 2014 to bolo 23,02</w:t>
      </w:r>
      <w:r w:rsidR="005C794F">
        <w:t xml:space="preserve"> %</w:t>
      </w:r>
      <w:r w:rsidRPr="00713644">
        <w:t>); rozdiel v mediáne bol v rovnakom období 18,69</w:t>
      </w:r>
      <w:r w:rsidR="005C794F">
        <w:t xml:space="preserve"> %</w:t>
      </w:r>
      <w:r w:rsidRPr="00713644">
        <w:t>. Už tradične je rozdiel vyšší v podnikateľskej sfére, kde prestavoval v roku 2015 hodnotu 22,68</w:t>
      </w:r>
      <w:r w:rsidR="005C794F">
        <w:t xml:space="preserve"> %</w:t>
      </w:r>
      <w:r w:rsidRPr="00713644">
        <w:t xml:space="preserve"> (medián 23,25</w:t>
      </w:r>
      <w:r w:rsidR="005C794F">
        <w:t xml:space="preserve"> %</w:t>
      </w:r>
      <w:r w:rsidRPr="00713644">
        <w:t>), kým v nepodnikateľskej sfére bol tento rozdiel nižší – 11,38</w:t>
      </w:r>
      <w:r w:rsidR="005C794F">
        <w:t xml:space="preserve"> %</w:t>
      </w:r>
      <w:r w:rsidRPr="00713644">
        <w:t xml:space="preserve"> (medián 2,67</w:t>
      </w:r>
      <w:r w:rsidR="005C794F">
        <w:t xml:space="preserve"> %</w:t>
      </w:r>
      <w:r w:rsidRPr="00713644">
        <w:t>).</w:t>
      </w:r>
    </w:p>
    <w:p w:rsidR="00B22578" w:rsidRPr="00360306" w:rsidRDefault="00B22578" w:rsidP="00B22578">
      <w:pPr>
        <w:pStyle w:val="Popis"/>
      </w:pPr>
      <w:r>
        <w:t xml:space="preserve">Tabuľka </w:t>
      </w:r>
      <w:r w:rsidR="009F7A61">
        <w:fldChar w:fldCharType="begin"/>
      </w:r>
      <w:r w:rsidR="009F7A61">
        <w:instrText xml:space="preserve"> SEQ Tabuľka \* ARABIC </w:instrText>
      </w:r>
      <w:r w:rsidR="009F7A61">
        <w:fldChar w:fldCharType="separate"/>
      </w:r>
      <w:r w:rsidR="004E53CF">
        <w:rPr>
          <w:noProof/>
        </w:rPr>
        <w:t>3</w:t>
      </w:r>
      <w:r w:rsidR="009F7A61">
        <w:rPr>
          <w:noProof/>
        </w:rPr>
        <w:fldChar w:fldCharType="end"/>
      </w:r>
      <w:r>
        <w:t xml:space="preserve"> </w:t>
      </w:r>
      <w:r w:rsidRPr="000114B5">
        <w:t>Rodový mzdový rozdiel za rok 2015</w:t>
      </w:r>
    </w:p>
    <w:tbl>
      <w:tblPr>
        <w:tblStyle w:val="Strednpodfarbenie1"/>
        <w:tblW w:w="8971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031"/>
        <w:gridCol w:w="1322"/>
        <w:gridCol w:w="222"/>
        <w:gridCol w:w="340"/>
        <w:gridCol w:w="980"/>
        <w:gridCol w:w="924"/>
        <w:gridCol w:w="236"/>
        <w:gridCol w:w="283"/>
        <w:gridCol w:w="1087"/>
        <w:gridCol w:w="878"/>
      </w:tblGrid>
      <w:tr w:rsidR="00B22578" w:rsidRPr="00360306" w:rsidTr="00DC0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1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  <w:noWrap/>
            <w:hideMark/>
          </w:tcPr>
          <w:p w:rsidR="00B22578" w:rsidRPr="00713644" w:rsidRDefault="00B22578" w:rsidP="00DC0B97">
            <w:pPr>
              <w:pStyle w:val="Bezriadkovania"/>
              <w:jc w:val="center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hospodárstvo</w:t>
            </w:r>
          </w:p>
          <w:p w:rsidR="00B22578" w:rsidRPr="00713644" w:rsidRDefault="00B22578" w:rsidP="00DC0B97">
            <w:pPr>
              <w:pStyle w:val="Bezriadkovania"/>
              <w:jc w:val="center"/>
              <w:rPr>
                <w:b w:val="0"/>
                <w:bCs w:val="0"/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spolu</w:t>
            </w:r>
          </w:p>
        </w:tc>
        <w:tc>
          <w:tcPr>
            <w:tcW w:w="222" w:type="dxa"/>
            <w:tcBorders>
              <w:top w:val="single" w:sz="18" w:space="0" w:color="000000" w:themeColor="text1"/>
            </w:tcBorders>
            <w:noWrap/>
            <w:hideMark/>
          </w:tcPr>
          <w:p w:rsidR="00B22578" w:rsidRPr="00713644" w:rsidRDefault="00B22578" w:rsidP="00DC0B97">
            <w:pPr>
              <w:pStyle w:val="Bezriadkovani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sk-SK" w:bidi="ar-SA"/>
              </w:rPr>
            </w:pPr>
          </w:p>
        </w:tc>
        <w:tc>
          <w:tcPr>
            <w:tcW w:w="2244" w:type="dxa"/>
            <w:gridSpan w:val="3"/>
            <w:tcBorders>
              <w:top w:val="single" w:sz="18" w:space="0" w:color="000000" w:themeColor="text1"/>
            </w:tcBorders>
            <w:noWrap/>
            <w:hideMark/>
          </w:tcPr>
          <w:p w:rsidR="00B22578" w:rsidRPr="00713644" w:rsidRDefault="00B22578" w:rsidP="00DC0B97">
            <w:pPr>
              <w:pStyle w:val="Bezriadkovani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nepodnikateľská sféra</w:t>
            </w:r>
          </w:p>
        </w:tc>
        <w:tc>
          <w:tcPr>
            <w:tcW w:w="236" w:type="dxa"/>
            <w:tcBorders>
              <w:top w:val="single" w:sz="18" w:space="0" w:color="000000" w:themeColor="text1"/>
            </w:tcBorders>
            <w:noWrap/>
            <w:hideMark/>
          </w:tcPr>
          <w:p w:rsidR="00B22578" w:rsidRPr="00713644" w:rsidRDefault="00B22578" w:rsidP="00DC0B97">
            <w:pPr>
              <w:pStyle w:val="Bezriadkovani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sk-SK" w:bidi="ar-SA"/>
              </w:rPr>
            </w:pPr>
          </w:p>
        </w:tc>
        <w:tc>
          <w:tcPr>
            <w:tcW w:w="2248" w:type="dxa"/>
            <w:gridSpan w:val="3"/>
            <w:tcBorders>
              <w:top w:val="single" w:sz="18" w:space="0" w:color="000000" w:themeColor="text1"/>
              <w:right w:val="single" w:sz="18" w:space="0" w:color="000000" w:themeColor="text1"/>
            </w:tcBorders>
            <w:noWrap/>
            <w:hideMark/>
          </w:tcPr>
          <w:p w:rsidR="00B22578" w:rsidRPr="00713644" w:rsidRDefault="00B22578" w:rsidP="00DC0B97">
            <w:pPr>
              <w:pStyle w:val="Bezriadkovani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podnikateľská</w:t>
            </w:r>
          </w:p>
          <w:p w:rsidR="00B22578" w:rsidRPr="00713644" w:rsidRDefault="00B22578" w:rsidP="00DC0B97">
            <w:pPr>
              <w:pStyle w:val="Bezriadkovani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sféra</w:t>
            </w:r>
          </w:p>
        </w:tc>
      </w:tr>
      <w:tr w:rsidR="00B22578" w:rsidRPr="00360306" w:rsidTr="00DC0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18" w:space="0" w:color="000000" w:themeColor="text1"/>
              <w:right w:val="none" w:sz="0" w:space="0" w:color="auto"/>
            </w:tcBorders>
            <w:shd w:val="clear" w:color="auto" w:fill="D9D9D9" w:themeFill="background1" w:themeFillShade="D9"/>
            <w:noWrap/>
            <w:hideMark/>
          </w:tcPr>
          <w:p w:rsidR="00B22578" w:rsidRPr="00713644" w:rsidRDefault="00B22578" w:rsidP="00DC0B97">
            <w:pPr>
              <w:pStyle w:val="Bezriadkovania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Pohlavie</w:t>
            </w:r>
          </w:p>
        </w:tc>
        <w:tc>
          <w:tcPr>
            <w:tcW w:w="1031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priemer</w:t>
            </w:r>
          </w:p>
        </w:tc>
        <w:tc>
          <w:tcPr>
            <w:tcW w:w="132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medián</w:t>
            </w:r>
          </w:p>
        </w:tc>
        <w:tc>
          <w:tcPr>
            <w:tcW w:w="22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sk-SK" w:bidi="ar-SA"/>
              </w:rPr>
            </w:pPr>
          </w:p>
        </w:tc>
        <w:tc>
          <w:tcPr>
            <w:tcW w:w="34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sk-SK" w:bidi="ar-SA"/>
              </w:rPr>
            </w:pPr>
          </w:p>
        </w:tc>
        <w:tc>
          <w:tcPr>
            <w:tcW w:w="98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priemer</w:t>
            </w:r>
          </w:p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medián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sk-SK" w:bidi="ar-SA"/>
              </w:rPr>
            </w:pPr>
          </w:p>
        </w:tc>
        <w:tc>
          <w:tcPr>
            <w:tcW w:w="28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sk-SK" w:bidi="ar-SA"/>
              </w:rPr>
            </w:pPr>
          </w:p>
        </w:tc>
        <w:tc>
          <w:tcPr>
            <w:tcW w:w="1087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priemer</w:t>
            </w:r>
          </w:p>
        </w:tc>
        <w:tc>
          <w:tcPr>
            <w:tcW w:w="878" w:type="dxa"/>
            <w:tcBorders>
              <w:left w:val="none" w:sz="0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medián</w:t>
            </w:r>
          </w:p>
        </w:tc>
      </w:tr>
      <w:tr w:rsidR="00B22578" w:rsidRPr="00360306" w:rsidTr="00DC0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tcBorders>
              <w:left w:val="single" w:sz="18" w:space="0" w:color="000000" w:themeColor="text1"/>
              <w:right w:val="none" w:sz="0" w:space="0" w:color="auto"/>
            </w:tcBorders>
            <w:noWrap/>
            <w:hideMark/>
          </w:tcPr>
          <w:p w:rsidR="00B22578" w:rsidRPr="00713644" w:rsidRDefault="00B22578" w:rsidP="00DC0B97">
            <w:pPr>
              <w:pStyle w:val="Bezriadkovania"/>
              <w:rPr>
                <w:b w:val="0"/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 xml:space="preserve">Muži – </w:t>
            </w:r>
            <w:r w:rsidRPr="00713644">
              <w:rPr>
                <w:b w:val="0"/>
                <w:sz w:val="20"/>
                <w:lang w:eastAsia="sk-SK" w:bidi="ar-SA"/>
              </w:rPr>
              <w:t>mesiac</w:t>
            </w:r>
          </w:p>
          <w:p w:rsidR="00B22578" w:rsidRPr="00713644" w:rsidRDefault="00B22578" w:rsidP="00DC0B97">
            <w:pPr>
              <w:pStyle w:val="Bezriadkovania"/>
              <w:rPr>
                <w:sz w:val="20"/>
                <w:lang w:eastAsia="sk-SK" w:bidi="ar-SA"/>
              </w:rPr>
            </w:pPr>
            <w:r w:rsidRPr="00713644">
              <w:rPr>
                <w:b w:val="0"/>
                <w:sz w:val="20"/>
                <w:lang w:eastAsia="sk-SK" w:bidi="ar-SA"/>
              </w:rPr>
              <w:t>hodina</w:t>
            </w:r>
          </w:p>
        </w:tc>
        <w:tc>
          <w:tcPr>
            <w:tcW w:w="103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1 108,29</w:t>
            </w:r>
          </w:p>
        </w:tc>
        <w:tc>
          <w:tcPr>
            <w:tcW w:w="13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880,48</w:t>
            </w:r>
          </w:p>
        </w:tc>
        <w:tc>
          <w:tcPr>
            <w:tcW w:w="2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lang w:eastAsia="sk-SK" w:bidi="ar-SA"/>
              </w:rPr>
            </w:pPr>
          </w:p>
        </w:tc>
        <w:tc>
          <w:tcPr>
            <w:tcW w:w="340" w:type="dxa"/>
            <w:vMerge w:val="restart"/>
            <w:tcBorders>
              <w:left w:val="none" w:sz="0" w:space="0" w:color="auto"/>
              <w:right w:val="none" w:sz="0" w:space="0" w:color="auto"/>
            </w:tcBorders>
            <w:noWrap/>
          </w:tcPr>
          <w:p w:rsidR="00B22578" w:rsidRPr="00713644" w:rsidRDefault="00B22578" w:rsidP="00DC0B97">
            <w:pPr>
              <w:pStyle w:val="Bezriadkovani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sk-SK" w:bidi="ar-SA"/>
              </w:rPr>
            </w:pPr>
          </w:p>
        </w:tc>
        <w:tc>
          <w:tcPr>
            <w:tcW w:w="9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941,58</w:t>
            </w:r>
          </w:p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805,54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lang w:eastAsia="sk-SK" w:bidi="ar-SA"/>
              </w:rPr>
            </w:pPr>
          </w:p>
        </w:tc>
        <w:tc>
          <w:tcPr>
            <w:tcW w:w="283" w:type="dxa"/>
            <w:vMerge w:val="restart"/>
            <w:tcBorders>
              <w:left w:val="none" w:sz="0" w:space="0" w:color="auto"/>
              <w:right w:val="none" w:sz="0" w:space="0" w:color="auto"/>
            </w:tcBorders>
            <w:noWrap/>
          </w:tcPr>
          <w:p w:rsidR="00B22578" w:rsidRPr="00713644" w:rsidRDefault="00B22578" w:rsidP="00DC0B97">
            <w:pPr>
              <w:pStyle w:val="Bezriadkovani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sk-SK" w:bidi="ar-SA"/>
              </w:rPr>
            </w:pPr>
          </w:p>
        </w:tc>
        <w:tc>
          <w:tcPr>
            <w:tcW w:w="108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1 131,93</w:t>
            </w:r>
          </w:p>
        </w:tc>
        <w:tc>
          <w:tcPr>
            <w:tcW w:w="878" w:type="dxa"/>
            <w:tcBorders>
              <w:left w:val="none" w:sz="0" w:space="0" w:color="auto"/>
              <w:right w:val="single" w:sz="18" w:space="0" w:color="000000" w:themeColor="text1"/>
            </w:tcBorders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890,40</w:t>
            </w:r>
          </w:p>
        </w:tc>
      </w:tr>
      <w:tr w:rsidR="00B22578" w:rsidRPr="00360306" w:rsidTr="00DC0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tcBorders>
              <w:left w:val="single" w:sz="18" w:space="0" w:color="000000" w:themeColor="text1"/>
              <w:right w:val="none" w:sz="0" w:space="0" w:color="auto"/>
            </w:tcBorders>
            <w:hideMark/>
          </w:tcPr>
          <w:p w:rsidR="00B22578" w:rsidRPr="00713644" w:rsidRDefault="00B22578" w:rsidP="00DC0B97">
            <w:pPr>
              <w:pStyle w:val="Bezriadkovania"/>
              <w:rPr>
                <w:sz w:val="20"/>
                <w:lang w:eastAsia="sk-SK" w:bidi="ar-SA"/>
              </w:rPr>
            </w:pPr>
          </w:p>
        </w:tc>
        <w:tc>
          <w:tcPr>
            <w:tcW w:w="1031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6,42</w:t>
            </w:r>
          </w:p>
        </w:tc>
        <w:tc>
          <w:tcPr>
            <w:tcW w:w="132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5,39</w:t>
            </w:r>
          </w:p>
        </w:tc>
        <w:tc>
          <w:tcPr>
            <w:tcW w:w="22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sk-SK" w:bidi="ar-SA"/>
              </w:rPr>
            </w:pPr>
          </w:p>
        </w:tc>
        <w:tc>
          <w:tcPr>
            <w:tcW w:w="340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sk-SK" w:bidi="ar-SA"/>
              </w:rPr>
            </w:pPr>
          </w:p>
        </w:tc>
        <w:tc>
          <w:tcPr>
            <w:tcW w:w="98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5,85</w:t>
            </w:r>
          </w:p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5,29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sk-SK" w:bidi="ar-SA"/>
              </w:rPr>
            </w:pPr>
          </w:p>
        </w:tc>
        <w:tc>
          <w:tcPr>
            <w:tcW w:w="28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sk-SK" w:bidi="ar-SA"/>
              </w:rPr>
            </w:pPr>
          </w:p>
        </w:tc>
        <w:tc>
          <w:tcPr>
            <w:tcW w:w="1087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6,50</w:t>
            </w:r>
          </w:p>
        </w:tc>
        <w:tc>
          <w:tcPr>
            <w:tcW w:w="878" w:type="dxa"/>
            <w:tcBorders>
              <w:left w:val="none" w:sz="0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5,41</w:t>
            </w:r>
          </w:p>
        </w:tc>
      </w:tr>
      <w:tr w:rsidR="00B22578" w:rsidRPr="00360306" w:rsidTr="00DC0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tcBorders>
              <w:left w:val="single" w:sz="18" w:space="0" w:color="000000" w:themeColor="text1"/>
              <w:right w:val="none" w:sz="0" w:space="0" w:color="auto"/>
            </w:tcBorders>
            <w:noWrap/>
            <w:hideMark/>
          </w:tcPr>
          <w:p w:rsidR="00B22578" w:rsidRPr="00713644" w:rsidRDefault="00B22578" w:rsidP="00DC0B97">
            <w:pPr>
              <w:pStyle w:val="Bezriadkovania"/>
              <w:rPr>
                <w:b w:val="0"/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 xml:space="preserve">Ženy </w:t>
            </w:r>
            <w:r w:rsidRPr="00713644">
              <w:rPr>
                <w:b w:val="0"/>
                <w:sz w:val="20"/>
                <w:lang w:eastAsia="sk-SK" w:bidi="ar-SA"/>
              </w:rPr>
              <w:t>– mesiac</w:t>
            </w:r>
          </w:p>
          <w:p w:rsidR="00B22578" w:rsidRPr="00713644" w:rsidRDefault="00B22578" w:rsidP="00DC0B97">
            <w:pPr>
              <w:pStyle w:val="Bezriadkovania"/>
              <w:rPr>
                <w:sz w:val="20"/>
                <w:lang w:eastAsia="sk-SK" w:bidi="ar-SA"/>
              </w:rPr>
            </w:pPr>
            <w:r w:rsidRPr="00713644">
              <w:rPr>
                <w:b w:val="0"/>
                <w:sz w:val="20"/>
                <w:lang w:eastAsia="sk-SK" w:bidi="ar-SA"/>
              </w:rPr>
              <w:t>hodina</w:t>
            </w:r>
          </w:p>
        </w:tc>
        <w:tc>
          <w:tcPr>
            <w:tcW w:w="103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860,77</w:t>
            </w:r>
          </w:p>
        </w:tc>
        <w:tc>
          <w:tcPr>
            <w:tcW w:w="13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715,91</w:t>
            </w:r>
          </w:p>
        </w:tc>
        <w:tc>
          <w:tcPr>
            <w:tcW w:w="2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lang w:eastAsia="sk-SK" w:bidi="ar-SA"/>
              </w:rPr>
            </w:pPr>
          </w:p>
        </w:tc>
        <w:tc>
          <w:tcPr>
            <w:tcW w:w="340" w:type="dxa"/>
            <w:vMerge w:val="restart"/>
            <w:tcBorders>
              <w:left w:val="none" w:sz="0" w:space="0" w:color="auto"/>
              <w:right w:val="none" w:sz="0" w:space="0" w:color="auto"/>
            </w:tcBorders>
            <w:noWrap/>
          </w:tcPr>
          <w:p w:rsidR="00B22578" w:rsidRPr="00713644" w:rsidRDefault="00B22578" w:rsidP="00DC0B97">
            <w:pPr>
              <w:pStyle w:val="Bezriadkovani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sk-SK" w:bidi="ar-SA"/>
              </w:rPr>
            </w:pPr>
          </w:p>
        </w:tc>
        <w:tc>
          <w:tcPr>
            <w:tcW w:w="9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834,41</w:t>
            </w:r>
          </w:p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784,04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lang w:eastAsia="sk-SK" w:bidi="ar-SA"/>
              </w:rPr>
            </w:pPr>
          </w:p>
        </w:tc>
        <w:tc>
          <w:tcPr>
            <w:tcW w:w="283" w:type="dxa"/>
            <w:vMerge w:val="restart"/>
            <w:tcBorders>
              <w:left w:val="none" w:sz="0" w:space="0" w:color="auto"/>
              <w:right w:val="none" w:sz="0" w:space="0" w:color="auto"/>
            </w:tcBorders>
            <w:noWrap/>
          </w:tcPr>
          <w:p w:rsidR="00B22578" w:rsidRPr="00713644" w:rsidRDefault="00B22578" w:rsidP="00DC0B97">
            <w:pPr>
              <w:pStyle w:val="Bezriadkovani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sk-SK" w:bidi="ar-SA"/>
              </w:rPr>
            </w:pPr>
          </w:p>
        </w:tc>
        <w:tc>
          <w:tcPr>
            <w:tcW w:w="108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875,23</w:t>
            </w:r>
          </w:p>
        </w:tc>
        <w:tc>
          <w:tcPr>
            <w:tcW w:w="878" w:type="dxa"/>
            <w:tcBorders>
              <w:left w:val="none" w:sz="0" w:space="0" w:color="auto"/>
              <w:right w:val="single" w:sz="18" w:space="0" w:color="000000" w:themeColor="text1"/>
            </w:tcBorders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683,35</w:t>
            </w:r>
          </w:p>
        </w:tc>
      </w:tr>
      <w:tr w:rsidR="00B22578" w:rsidRPr="00360306" w:rsidTr="00DC0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tcBorders>
              <w:left w:val="single" w:sz="18" w:space="0" w:color="000000" w:themeColor="text1"/>
              <w:right w:val="none" w:sz="0" w:space="0" w:color="auto"/>
            </w:tcBorders>
            <w:hideMark/>
          </w:tcPr>
          <w:p w:rsidR="00B22578" w:rsidRPr="00713644" w:rsidRDefault="00B22578" w:rsidP="00DC0B97">
            <w:pPr>
              <w:pStyle w:val="Bezriadkovania"/>
              <w:rPr>
                <w:sz w:val="20"/>
                <w:lang w:eastAsia="sk-SK" w:bidi="ar-SA"/>
              </w:rPr>
            </w:pPr>
          </w:p>
        </w:tc>
        <w:tc>
          <w:tcPr>
            <w:tcW w:w="1031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5,28</w:t>
            </w:r>
          </w:p>
        </w:tc>
        <w:tc>
          <w:tcPr>
            <w:tcW w:w="132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4,55</w:t>
            </w:r>
          </w:p>
        </w:tc>
        <w:tc>
          <w:tcPr>
            <w:tcW w:w="22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sk-SK" w:bidi="ar-SA"/>
              </w:rPr>
            </w:pPr>
          </w:p>
        </w:tc>
        <w:tc>
          <w:tcPr>
            <w:tcW w:w="340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sk-SK" w:bidi="ar-SA"/>
              </w:rPr>
            </w:pPr>
          </w:p>
        </w:tc>
        <w:tc>
          <w:tcPr>
            <w:tcW w:w="98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5,34</w:t>
            </w:r>
          </w:p>
        </w:tc>
        <w:tc>
          <w:tcPr>
            <w:tcW w:w="92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5,18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sk-SK" w:bidi="ar-SA"/>
              </w:rPr>
            </w:pPr>
          </w:p>
        </w:tc>
        <w:tc>
          <w:tcPr>
            <w:tcW w:w="28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sk-SK" w:bidi="ar-SA"/>
              </w:rPr>
            </w:pPr>
          </w:p>
        </w:tc>
        <w:tc>
          <w:tcPr>
            <w:tcW w:w="1087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5,24</w:t>
            </w:r>
          </w:p>
        </w:tc>
        <w:tc>
          <w:tcPr>
            <w:tcW w:w="878" w:type="dxa"/>
            <w:tcBorders>
              <w:left w:val="none" w:sz="0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4,25</w:t>
            </w:r>
          </w:p>
        </w:tc>
      </w:tr>
      <w:tr w:rsidR="00B22578" w:rsidRPr="00360306" w:rsidTr="00DC0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18" w:space="0" w:color="000000" w:themeColor="text1"/>
            </w:tcBorders>
            <w:noWrap/>
            <w:hideMark/>
          </w:tcPr>
          <w:p w:rsidR="00B22578" w:rsidRPr="00713644" w:rsidRDefault="00B22578" w:rsidP="00DC0B97">
            <w:pPr>
              <w:pStyle w:val="Bezriadkovania"/>
              <w:rPr>
                <w:b w:val="0"/>
                <w:sz w:val="20"/>
                <w:lang w:eastAsia="sk-SK" w:bidi="ar-SA"/>
              </w:rPr>
            </w:pPr>
            <w:r w:rsidRPr="00713644">
              <w:rPr>
                <w:b w:val="0"/>
                <w:sz w:val="20"/>
                <w:lang w:eastAsia="sk-SK" w:bidi="ar-SA"/>
              </w:rPr>
              <w:t>RMR</w:t>
            </w:r>
          </w:p>
        </w:tc>
        <w:tc>
          <w:tcPr>
            <w:tcW w:w="1031" w:type="dxa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22,33</w:t>
            </w:r>
            <w:r w:rsidR="005C794F">
              <w:rPr>
                <w:sz w:val="20"/>
                <w:lang w:eastAsia="sk-SK" w:bidi="ar-SA"/>
              </w:rPr>
              <w:t xml:space="preserve"> %</w:t>
            </w:r>
          </w:p>
        </w:tc>
        <w:tc>
          <w:tcPr>
            <w:tcW w:w="1322" w:type="dxa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18,69</w:t>
            </w:r>
            <w:r w:rsidR="005C794F">
              <w:rPr>
                <w:sz w:val="20"/>
                <w:lang w:eastAsia="sk-SK" w:bidi="ar-SA"/>
              </w:rPr>
              <w:t xml:space="preserve"> %</w:t>
            </w:r>
          </w:p>
        </w:tc>
        <w:tc>
          <w:tcPr>
            <w:tcW w:w="222" w:type="dxa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lang w:eastAsia="sk-SK" w:bidi="ar-SA"/>
              </w:rPr>
            </w:pPr>
          </w:p>
        </w:tc>
        <w:tc>
          <w:tcPr>
            <w:tcW w:w="340" w:type="dxa"/>
            <w:noWrap/>
          </w:tcPr>
          <w:p w:rsidR="00B22578" w:rsidRPr="00713644" w:rsidRDefault="00B22578" w:rsidP="00DC0B97">
            <w:pPr>
              <w:pStyle w:val="Bezriadkovani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sk-SK" w:bidi="ar-SA"/>
              </w:rPr>
            </w:pPr>
          </w:p>
        </w:tc>
        <w:tc>
          <w:tcPr>
            <w:tcW w:w="980" w:type="dxa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11,38</w:t>
            </w:r>
            <w:r w:rsidR="005C794F">
              <w:rPr>
                <w:sz w:val="20"/>
                <w:lang w:eastAsia="sk-SK" w:bidi="ar-SA"/>
              </w:rPr>
              <w:t xml:space="preserve"> %</w:t>
            </w:r>
          </w:p>
        </w:tc>
        <w:tc>
          <w:tcPr>
            <w:tcW w:w="924" w:type="dxa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2,67</w:t>
            </w:r>
            <w:r w:rsidR="005C794F">
              <w:rPr>
                <w:sz w:val="20"/>
                <w:lang w:eastAsia="sk-SK" w:bidi="ar-SA"/>
              </w:rPr>
              <w:t xml:space="preserve"> %</w:t>
            </w:r>
          </w:p>
        </w:tc>
        <w:tc>
          <w:tcPr>
            <w:tcW w:w="236" w:type="dxa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lang w:eastAsia="sk-SK" w:bidi="ar-SA"/>
              </w:rPr>
            </w:pPr>
          </w:p>
        </w:tc>
        <w:tc>
          <w:tcPr>
            <w:tcW w:w="283" w:type="dxa"/>
            <w:noWrap/>
          </w:tcPr>
          <w:p w:rsidR="00B22578" w:rsidRPr="00713644" w:rsidRDefault="00B22578" w:rsidP="00DC0B97">
            <w:pPr>
              <w:pStyle w:val="Bezriadkovani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sk-SK" w:bidi="ar-SA"/>
              </w:rPr>
            </w:pPr>
          </w:p>
        </w:tc>
        <w:tc>
          <w:tcPr>
            <w:tcW w:w="1087" w:type="dxa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22,68</w:t>
            </w:r>
            <w:r w:rsidR="005C794F">
              <w:rPr>
                <w:sz w:val="20"/>
                <w:lang w:eastAsia="sk-SK" w:bidi="ar-SA"/>
              </w:rPr>
              <w:t xml:space="preserve"> %</w:t>
            </w:r>
          </w:p>
        </w:tc>
        <w:tc>
          <w:tcPr>
            <w:tcW w:w="878" w:type="dxa"/>
            <w:tcBorders>
              <w:right w:val="single" w:sz="18" w:space="0" w:color="000000" w:themeColor="text1"/>
            </w:tcBorders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23,25</w:t>
            </w:r>
            <w:r w:rsidR="005C794F">
              <w:rPr>
                <w:sz w:val="20"/>
                <w:lang w:eastAsia="sk-SK" w:bidi="ar-SA"/>
              </w:rPr>
              <w:t xml:space="preserve"> %</w:t>
            </w:r>
          </w:p>
        </w:tc>
      </w:tr>
      <w:tr w:rsidR="00B22578" w:rsidRPr="00360306" w:rsidTr="00DC0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:rsidR="00B22578" w:rsidRPr="00713644" w:rsidRDefault="00B22578" w:rsidP="00DC0B97">
            <w:pPr>
              <w:pStyle w:val="Bezriadkovania"/>
              <w:rPr>
                <w:sz w:val="20"/>
                <w:lang w:eastAsia="sk-SK" w:bidi="ar-SA"/>
              </w:rPr>
            </w:pPr>
            <w:r w:rsidRPr="00713644">
              <w:rPr>
                <w:sz w:val="20"/>
                <w:lang w:eastAsia="sk-SK" w:bidi="ar-SA"/>
              </w:rPr>
              <w:t>RMR h</w:t>
            </w:r>
          </w:p>
        </w:tc>
        <w:tc>
          <w:tcPr>
            <w:tcW w:w="1031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eastAsia="sk-SK" w:bidi="ar-SA"/>
              </w:rPr>
            </w:pPr>
            <w:r w:rsidRPr="00713644">
              <w:rPr>
                <w:b/>
                <w:sz w:val="20"/>
                <w:lang w:eastAsia="sk-SK" w:bidi="ar-SA"/>
              </w:rPr>
              <w:t>17,77</w:t>
            </w:r>
            <w:r w:rsidR="005C794F">
              <w:rPr>
                <w:b/>
                <w:sz w:val="20"/>
                <w:lang w:eastAsia="sk-SK" w:bidi="ar-SA"/>
              </w:rPr>
              <w:t xml:space="preserve"> %</w:t>
            </w:r>
          </w:p>
        </w:tc>
        <w:tc>
          <w:tcPr>
            <w:tcW w:w="1322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eastAsia="sk-SK" w:bidi="ar-SA"/>
              </w:rPr>
            </w:pPr>
            <w:r w:rsidRPr="00713644">
              <w:rPr>
                <w:b/>
                <w:sz w:val="20"/>
                <w:lang w:eastAsia="sk-SK" w:bidi="ar-SA"/>
              </w:rPr>
              <w:t>15,68</w:t>
            </w:r>
            <w:r w:rsidR="005C794F">
              <w:rPr>
                <w:b/>
                <w:sz w:val="20"/>
                <w:lang w:eastAsia="sk-SK" w:bidi="ar-SA"/>
              </w:rPr>
              <w:t xml:space="preserve"> %</w:t>
            </w:r>
          </w:p>
        </w:tc>
        <w:tc>
          <w:tcPr>
            <w:tcW w:w="222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lang w:eastAsia="sk-SK" w:bidi="ar-SA"/>
              </w:rPr>
            </w:pPr>
          </w:p>
        </w:tc>
        <w:tc>
          <w:tcPr>
            <w:tcW w:w="340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noWrap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eastAsia="sk-SK" w:bidi="ar-SA"/>
              </w:rPr>
            </w:pPr>
          </w:p>
        </w:tc>
        <w:tc>
          <w:tcPr>
            <w:tcW w:w="980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eastAsia="sk-SK" w:bidi="ar-SA"/>
              </w:rPr>
            </w:pPr>
            <w:r w:rsidRPr="00713644">
              <w:rPr>
                <w:b/>
                <w:sz w:val="20"/>
                <w:lang w:eastAsia="sk-SK" w:bidi="ar-SA"/>
              </w:rPr>
              <w:t>8,68</w:t>
            </w:r>
            <w:r w:rsidR="005C794F">
              <w:rPr>
                <w:b/>
                <w:sz w:val="20"/>
                <w:lang w:eastAsia="sk-SK" w:bidi="ar-SA"/>
              </w:rPr>
              <w:t xml:space="preserve"> %</w:t>
            </w:r>
          </w:p>
        </w:tc>
        <w:tc>
          <w:tcPr>
            <w:tcW w:w="924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eastAsia="sk-SK" w:bidi="ar-SA"/>
              </w:rPr>
            </w:pPr>
            <w:r w:rsidRPr="00713644">
              <w:rPr>
                <w:b/>
                <w:sz w:val="20"/>
                <w:lang w:eastAsia="sk-SK" w:bidi="ar-SA"/>
              </w:rPr>
              <w:t>2,10</w:t>
            </w:r>
            <w:r w:rsidR="005C794F">
              <w:rPr>
                <w:b/>
                <w:sz w:val="20"/>
                <w:lang w:eastAsia="sk-SK" w:bidi="ar-SA"/>
              </w:rPr>
              <w:t xml:space="preserve"> %</w:t>
            </w:r>
          </w:p>
        </w:tc>
        <w:tc>
          <w:tcPr>
            <w:tcW w:w="236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lang w:eastAsia="sk-SK" w:bidi="ar-SA"/>
              </w:rPr>
            </w:pPr>
          </w:p>
        </w:tc>
        <w:tc>
          <w:tcPr>
            <w:tcW w:w="283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noWrap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eastAsia="sk-SK" w:bidi="ar-SA"/>
              </w:rPr>
            </w:pPr>
          </w:p>
        </w:tc>
        <w:tc>
          <w:tcPr>
            <w:tcW w:w="1087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eastAsia="sk-SK" w:bidi="ar-SA"/>
              </w:rPr>
            </w:pPr>
            <w:r w:rsidRPr="00713644">
              <w:rPr>
                <w:b/>
                <w:sz w:val="20"/>
                <w:lang w:eastAsia="sk-SK" w:bidi="ar-SA"/>
              </w:rPr>
              <w:t>19,30</w:t>
            </w:r>
            <w:r w:rsidR="005C794F">
              <w:rPr>
                <w:b/>
                <w:sz w:val="20"/>
                <w:lang w:eastAsia="sk-SK" w:bidi="ar-SA"/>
              </w:rPr>
              <w:t xml:space="preserve"> %</w:t>
            </w:r>
          </w:p>
        </w:tc>
        <w:tc>
          <w:tcPr>
            <w:tcW w:w="87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:rsidR="00B22578" w:rsidRPr="00713644" w:rsidRDefault="00B22578" w:rsidP="00DC0B97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eastAsia="sk-SK" w:bidi="ar-SA"/>
              </w:rPr>
            </w:pPr>
            <w:r w:rsidRPr="00713644">
              <w:rPr>
                <w:b/>
                <w:sz w:val="20"/>
                <w:lang w:eastAsia="sk-SK" w:bidi="ar-SA"/>
              </w:rPr>
              <w:t>21,36</w:t>
            </w:r>
            <w:r w:rsidR="005C794F">
              <w:rPr>
                <w:b/>
                <w:sz w:val="20"/>
                <w:lang w:eastAsia="sk-SK" w:bidi="ar-SA"/>
              </w:rPr>
              <w:t xml:space="preserve"> %</w:t>
            </w:r>
          </w:p>
        </w:tc>
      </w:tr>
    </w:tbl>
    <w:p w:rsidR="00B22578" w:rsidRPr="00A707FF" w:rsidRDefault="00B22578" w:rsidP="00B22578">
      <w:pPr>
        <w:pStyle w:val="Popis"/>
      </w:pPr>
      <w:r w:rsidRPr="00A707FF">
        <w:t xml:space="preserve">Zdroj: Trexima </w:t>
      </w:r>
    </w:p>
    <w:p w:rsidR="000114B5" w:rsidRPr="00713644" w:rsidRDefault="000114B5" w:rsidP="0017792F">
      <w:pPr>
        <w:pStyle w:val="Default"/>
      </w:pPr>
      <w:r w:rsidRPr="00713644">
        <w:t>Rodová štruktúra zamestnancov v oboch sektoroch vykazuje značné rozdiely, keď v nepodnikateľskom sektore predstavuje podiel žien 71</w:t>
      </w:r>
      <w:r w:rsidR="005C794F">
        <w:t xml:space="preserve"> %</w:t>
      </w:r>
      <w:r w:rsidRPr="00713644">
        <w:t>, kým v podnikateľskom iba 42</w:t>
      </w:r>
      <w:r w:rsidR="005C794F">
        <w:t xml:space="preserve"> %</w:t>
      </w:r>
      <w:r w:rsidRPr="00713644">
        <w:t>.</w:t>
      </w:r>
    </w:p>
    <w:p w:rsidR="00BE33BB" w:rsidRDefault="00BE33BB" w:rsidP="00BE33BB">
      <w:pPr>
        <w:pStyle w:val="Popis"/>
      </w:pPr>
      <w:r>
        <w:br/>
      </w:r>
      <w:r>
        <w:br/>
      </w:r>
    </w:p>
    <w:p w:rsidR="00BE33BB" w:rsidRDefault="00BE33BB" w:rsidP="00BE33BB">
      <w:pPr>
        <w:rPr>
          <w:color w:val="808080" w:themeColor="background1" w:themeShade="80"/>
          <w:spacing w:val="10"/>
          <w:sz w:val="18"/>
          <w:szCs w:val="18"/>
        </w:rPr>
      </w:pPr>
      <w:r>
        <w:br w:type="page"/>
      </w:r>
    </w:p>
    <w:p w:rsidR="00B22578" w:rsidRDefault="00BE33BB" w:rsidP="00BE33BB">
      <w:pPr>
        <w:pStyle w:val="Popis"/>
      </w:pPr>
      <w:r>
        <w:t xml:space="preserve">Tabuľka </w:t>
      </w:r>
      <w:r>
        <w:fldChar w:fldCharType="begin"/>
      </w:r>
      <w:r>
        <w:instrText xml:space="preserve"> SEQ Tabuľka \* ARABIC </w:instrText>
      </w:r>
      <w:r>
        <w:fldChar w:fldCharType="separate"/>
      </w:r>
      <w:r w:rsidR="004E53CF">
        <w:rPr>
          <w:noProof/>
        </w:rPr>
        <w:t>4</w:t>
      </w:r>
      <w:r>
        <w:fldChar w:fldCharType="end"/>
      </w:r>
      <w:r>
        <w:t xml:space="preserve"> </w:t>
      </w:r>
      <w:r w:rsidRPr="006B011F">
        <w:t>Medián, priemer hrubej mesačnej mzdy a vybrané zložky mzdy podľa pohlavia</w:t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906"/>
        <w:gridCol w:w="34"/>
        <w:gridCol w:w="940"/>
        <w:gridCol w:w="848"/>
        <w:gridCol w:w="848"/>
        <w:gridCol w:w="849"/>
        <w:gridCol w:w="796"/>
        <w:gridCol w:w="851"/>
        <w:gridCol w:w="992"/>
        <w:gridCol w:w="820"/>
        <w:gridCol w:w="881"/>
      </w:tblGrid>
      <w:tr w:rsidR="000F0D6C" w:rsidRPr="00713644" w:rsidTr="00B22578">
        <w:trPr>
          <w:trHeight w:val="20"/>
        </w:trPr>
        <w:tc>
          <w:tcPr>
            <w:tcW w:w="6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0F0D6C" w:rsidRPr="00713644" w:rsidRDefault="000F0D6C" w:rsidP="00713644">
            <w:pPr>
              <w:pStyle w:val="Bezriadkovania"/>
              <w:rPr>
                <w:sz w:val="14"/>
                <w:lang w:eastAsia="sk-SK" w:bidi="ar-SA"/>
              </w:rPr>
            </w:pPr>
            <w:r w:rsidRPr="00713644">
              <w:rPr>
                <w:sz w:val="14"/>
                <w:lang w:eastAsia="sk-SK" w:bidi="ar-SA"/>
              </w:rPr>
              <w:t> </w:t>
            </w:r>
          </w:p>
          <w:p w:rsidR="000F0D6C" w:rsidRPr="00713644" w:rsidRDefault="000F0D6C" w:rsidP="00713644">
            <w:pPr>
              <w:pStyle w:val="Bezriadkovania"/>
              <w:rPr>
                <w:color w:val="FFFFFF" w:themeColor="background1"/>
                <w:sz w:val="14"/>
                <w:lang w:eastAsia="sk-SK" w:bidi="ar-SA"/>
              </w:rPr>
            </w:pPr>
            <w:r w:rsidRPr="00713644">
              <w:rPr>
                <w:color w:val="FFFFFF" w:themeColor="background1"/>
                <w:sz w:val="14"/>
                <w:lang w:eastAsia="sk-SK" w:bidi="ar-SA"/>
              </w:rPr>
              <w:t> </w:t>
            </w:r>
          </w:p>
          <w:p w:rsidR="000F0D6C" w:rsidRPr="00713644" w:rsidRDefault="000F0D6C" w:rsidP="00713644">
            <w:pPr>
              <w:pStyle w:val="Bezriadkovania"/>
              <w:rPr>
                <w:sz w:val="14"/>
                <w:lang w:eastAsia="sk-SK" w:bidi="ar-SA"/>
              </w:rPr>
            </w:pPr>
            <w:r w:rsidRPr="00713644">
              <w:rPr>
                <w:color w:val="FFFFFF" w:themeColor="background1"/>
                <w:sz w:val="14"/>
                <w:lang w:eastAsia="sk-SK" w:bidi="ar-SA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0F0D6C" w:rsidRPr="00713644" w:rsidRDefault="000F0D6C" w:rsidP="00713644">
            <w:pPr>
              <w:pStyle w:val="Bezriadkovania"/>
              <w:rPr>
                <w:b/>
                <w:color w:val="FFFFFF" w:themeColor="background1"/>
                <w:sz w:val="14"/>
                <w:lang w:eastAsia="sk-SK" w:bidi="ar-SA"/>
              </w:rPr>
            </w:pPr>
            <w:r w:rsidRPr="00713644">
              <w:rPr>
                <w:b/>
                <w:color w:val="FFFFFF" w:themeColor="background1"/>
                <w:sz w:val="14"/>
                <w:lang w:eastAsia="sk-SK" w:bidi="ar-SA"/>
              </w:rPr>
              <w:t>Medián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0F0D6C" w:rsidRPr="00713644" w:rsidRDefault="000F0D6C" w:rsidP="00713644">
            <w:pPr>
              <w:pStyle w:val="Bezriadkovania"/>
              <w:rPr>
                <w:b/>
                <w:color w:val="FFFFFF" w:themeColor="background1"/>
                <w:sz w:val="14"/>
                <w:lang w:eastAsia="sk-SK" w:bidi="ar-SA"/>
              </w:rPr>
            </w:pPr>
            <w:r w:rsidRPr="00713644">
              <w:rPr>
                <w:b/>
                <w:color w:val="FFFFFF" w:themeColor="background1"/>
                <w:sz w:val="14"/>
                <w:lang w:eastAsia="sk-SK" w:bidi="ar-SA"/>
              </w:rPr>
              <w:t>Priemerná</w:t>
            </w:r>
          </w:p>
        </w:tc>
        <w:tc>
          <w:tcPr>
            <w:tcW w:w="419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0F0D6C" w:rsidRPr="00713644" w:rsidRDefault="000F0D6C" w:rsidP="00713644">
            <w:pPr>
              <w:pStyle w:val="Bezriadkovania"/>
              <w:rPr>
                <w:b/>
                <w:color w:val="FFFFFF" w:themeColor="background1"/>
                <w:sz w:val="14"/>
                <w:lang w:eastAsia="sk-SK" w:bidi="ar-SA"/>
              </w:rPr>
            </w:pPr>
            <w:r w:rsidRPr="00713644">
              <w:rPr>
                <w:b/>
                <w:color w:val="FFFFFF" w:themeColor="background1"/>
                <w:sz w:val="14"/>
                <w:lang w:eastAsia="sk-SK" w:bidi="ar-SA"/>
              </w:rPr>
              <w:t>z toho zložky priemernej mesačnej hrubej mzdy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0F0D6C" w:rsidRPr="00713644" w:rsidRDefault="000F0D6C" w:rsidP="00713644">
            <w:pPr>
              <w:pStyle w:val="Bezriadkovania"/>
              <w:rPr>
                <w:b/>
                <w:color w:val="FFFFFF" w:themeColor="background1"/>
                <w:sz w:val="14"/>
                <w:lang w:eastAsia="sk-SK" w:bidi="ar-SA"/>
              </w:rPr>
            </w:pPr>
            <w:r w:rsidRPr="00713644">
              <w:rPr>
                <w:b/>
                <w:color w:val="FFFFFF" w:themeColor="background1"/>
                <w:sz w:val="14"/>
                <w:lang w:eastAsia="sk-SK" w:bidi="ar-SA"/>
              </w:rPr>
              <w:t>Náhrady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0F0D6C" w:rsidRPr="00713644" w:rsidRDefault="000F0D6C" w:rsidP="00713644">
            <w:pPr>
              <w:pStyle w:val="Bezriadkovania"/>
              <w:rPr>
                <w:b/>
                <w:color w:val="FFFFFF" w:themeColor="background1"/>
                <w:sz w:val="14"/>
                <w:lang w:eastAsia="sk-SK" w:bidi="ar-SA"/>
              </w:rPr>
            </w:pPr>
            <w:r w:rsidRPr="00713644">
              <w:rPr>
                <w:b/>
                <w:color w:val="FFFFFF" w:themeColor="background1"/>
                <w:sz w:val="14"/>
                <w:lang w:eastAsia="sk-SK" w:bidi="ar-SA"/>
              </w:rPr>
              <w:t>Priemer.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0F0D6C" w:rsidRPr="00713644" w:rsidRDefault="000F0D6C" w:rsidP="00713644">
            <w:pPr>
              <w:pStyle w:val="Bezriadkovania"/>
              <w:rPr>
                <w:b/>
                <w:color w:val="FFFFFF" w:themeColor="background1"/>
                <w:sz w:val="14"/>
                <w:lang w:eastAsia="sk-SK" w:bidi="ar-SA"/>
              </w:rPr>
            </w:pPr>
            <w:r w:rsidRPr="00713644">
              <w:rPr>
                <w:b/>
                <w:color w:val="FFFFFF" w:themeColor="background1"/>
                <w:sz w:val="14"/>
                <w:lang w:eastAsia="sk-SK" w:bidi="ar-SA"/>
              </w:rPr>
              <w:t xml:space="preserve">Úhrada </w:t>
            </w:r>
          </w:p>
        </w:tc>
      </w:tr>
      <w:tr w:rsidR="000F0D6C" w:rsidRPr="00713644" w:rsidTr="00B22578">
        <w:trPr>
          <w:trHeight w:val="563"/>
        </w:trPr>
        <w:tc>
          <w:tcPr>
            <w:tcW w:w="60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0F0D6C" w:rsidRPr="00713644" w:rsidRDefault="000F0D6C" w:rsidP="00713644">
            <w:pPr>
              <w:pStyle w:val="Bezriadkovania"/>
              <w:rPr>
                <w:color w:val="FFFFFF" w:themeColor="background1"/>
                <w:sz w:val="14"/>
                <w:lang w:eastAsia="sk-SK" w:bidi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0F0D6C" w:rsidRPr="00713644" w:rsidRDefault="000F0D6C" w:rsidP="00713644">
            <w:pPr>
              <w:pStyle w:val="Bezriadkovania"/>
              <w:rPr>
                <w:b/>
                <w:color w:val="FFFFFF" w:themeColor="background1"/>
                <w:sz w:val="14"/>
                <w:lang w:eastAsia="sk-SK" w:bidi="ar-SA"/>
              </w:rPr>
            </w:pPr>
            <w:r w:rsidRPr="00713644">
              <w:rPr>
                <w:b/>
                <w:color w:val="FFFFFF" w:themeColor="background1"/>
                <w:sz w:val="14"/>
                <w:lang w:eastAsia="sk-SK" w:bidi="ar-SA"/>
              </w:rPr>
              <w:t>mesačnej</w:t>
            </w:r>
          </w:p>
          <w:p w:rsidR="000F0D6C" w:rsidRPr="00713644" w:rsidRDefault="000F0D6C" w:rsidP="00713644">
            <w:pPr>
              <w:pStyle w:val="Bezriadkovania"/>
              <w:rPr>
                <w:b/>
                <w:color w:val="FFFFFF" w:themeColor="background1"/>
                <w:sz w:val="14"/>
                <w:lang w:eastAsia="sk-SK" w:bidi="ar-SA"/>
              </w:rPr>
            </w:pPr>
            <w:r w:rsidRPr="00713644">
              <w:rPr>
                <w:b/>
                <w:color w:val="FFFFFF" w:themeColor="background1"/>
                <w:sz w:val="14"/>
                <w:lang w:eastAsia="sk-SK" w:bidi="ar-SA"/>
              </w:rPr>
              <w:t>hrubej</w:t>
            </w:r>
          </w:p>
          <w:p w:rsidR="000F0D6C" w:rsidRPr="00713644" w:rsidRDefault="000F0D6C" w:rsidP="00713644">
            <w:pPr>
              <w:pStyle w:val="Bezriadkovania"/>
              <w:rPr>
                <w:b/>
                <w:color w:val="FFFFFF" w:themeColor="background1"/>
                <w:sz w:val="14"/>
                <w:lang w:eastAsia="sk-SK" w:bidi="ar-SA"/>
              </w:rPr>
            </w:pPr>
            <w:r w:rsidRPr="00713644">
              <w:rPr>
                <w:b/>
                <w:color w:val="FFFFFF" w:themeColor="background1"/>
                <w:sz w:val="14"/>
                <w:lang w:eastAsia="sk-SK" w:bidi="ar-SA"/>
              </w:rPr>
              <w:t>mzdy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0F0D6C" w:rsidRPr="00713644" w:rsidRDefault="000F0D6C" w:rsidP="00713644">
            <w:pPr>
              <w:pStyle w:val="Bezriadkovania"/>
              <w:rPr>
                <w:b/>
                <w:color w:val="FFFFFF" w:themeColor="background1"/>
                <w:sz w:val="14"/>
                <w:lang w:eastAsia="sk-SK" w:bidi="ar-SA"/>
              </w:rPr>
            </w:pPr>
            <w:r w:rsidRPr="00713644">
              <w:rPr>
                <w:b/>
                <w:color w:val="FFFFFF" w:themeColor="background1"/>
                <w:sz w:val="14"/>
                <w:lang w:eastAsia="sk-SK" w:bidi="ar-SA"/>
              </w:rPr>
              <w:t>mesačná</w:t>
            </w:r>
          </w:p>
          <w:p w:rsidR="000F0D6C" w:rsidRPr="00713644" w:rsidRDefault="000F0D6C" w:rsidP="00713644">
            <w:pPr>
              <w:pStyle w:val="Bezriadkovania"/>
              <w:rPr>
                <w:b/>
                <w:color w:val="FFFFFF" w:themeColor="background1"/>
                <w:sz w:val="14"/>
                <w:lang w:eastAsia="sk-SK" w:bidi="ar-SA"/>
              </w:rPr>
            </w:pPr>
            <w:r w:rsidRPr="00713644">
              <w:rPr>
                <w:b/>
                <w:color w:val="FFFFFF" w:themeColor="background1"/>
                <w:sz w:val="14"/>
                <w:lang w:eastAsia="sk-SK" w:bidi="ar-SA"/>
              </w:rPr>
              <w:t>hrubá</w:t>
            </w:r>
          </w:p>
          <w:p w:rsidR="000F0D6C" w:rsidRPr="00713644" w:rsidRDefault="000F0D6C" w:rsidP="00713644">
            <w:pPr>
              <w:pStyle w:val="Bezriadkovania"/>
              <w:rPr>
                <w:b/>
                <w:color w:val="FFFFFF" w:themeColor="background1"/>
                <w:sz w:val="14"/>
                <w:lang w:eastAsia="sk-SK" w:bidi="ar-SA"/>
              </w:rPr>
            </w:pPr>
            <w:r w:rsidRPr="00713644">
              <w:rPr>
                <w:b/>
                <w:color w:val="FFFFFF" w:themeColor="background1"/>
                <w:sz w:val="14"/>
                <w:lang w:eastAsia="sk-SK" w:bidi="ar-SA"/>
              </w:rPr>
              <w:t>mzda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D6C" w:rsidRPr="00713644" w:rsidRDefault="000F0D6C" w:rsidP="00713644">
            <w:pPr>
              <w:pStyle w:val="Bezriadkovania"/>
              <w:rPr>
                <w:b/>
                <w:sz w:val="14"/>
                <w:lang w:eastAsia="sk-SK" w:bidi="ar-SA"/>
              </w:rPr>
            </w:pPr>
            <w:r w:rsidRPr="00713644">
              <w:rPr>
                <w:b/>
                <w:sz w:val="14"/>
                <w:lang w:eastAsia="sk-SK" w:bidi="ar-SA"/>
              </w:rPr>
              <w:t>základná</w:t>
            </w:r>
          </w:p>
          <w:p w:rsidR="000F0D6C" w:rsidRPr="00713644" w:rsidRDefault="000F0D6C" w:rsidP="00713644">
            <w:pPr>
              <w:pStyle w:val="Bezriadkovania"/>
              <w:rPr>
                <w:b/>
                <w:sz w:val="14"/>
                <w:lang w:eastAsia="sk-SK" w:bidi="ar-SA"/>
              </w:rPr>
            </w:pPr>
            <w:r w:rsidRPr="00713644">
              <w:rPr>
                <w:b/>
                <w:sz w:val="14"/>
                <w:lang w:eastAsia="sk-SK" w:bidi="ar-SA"/>
              </w:rPr>
              <w:t>mzda</w:t>
            </w:r>
          </w:p>
          <w:p w:rsidR="000F0D6C" w:rsidRPr="00713644" w:rsidRDefault="000F0D6C" w:rsidP="00713644">
            <w:pPr>
              <w:pStyle w:val="Bezriadkovania"/>
              <w:rPr>
                <w:b/>
                <w:sz w:val="14"/>
                <w:lang w:eastAsia="sk-SK" w:bidi="ar-SA"/>
              </w:rPr>
            </w:pPr>
            <w:r w:rsidRPr="00713644">
              <w:rPr>
                <w:b/>
                <w:sz w:val="14"/>
                <w:lang w:eastAsia="sk-SK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D6C" w:rsidRPr="00713644" w:rsidRDefault="000F0D6C" w:rsidP="00713644">
            <w:pPr>
              <w:pStyle w:val="Bezriadkovania"/>
              <w:rPr>
                <w:b/>
                <w:sz w:val="14"/>
                <w:lang w:eastAsia="sk-SK" w:bidi="ar-SA"/>
              </w:rPr>
            </w:pPr>
            <w:r w:rsidRPr="00713644">
              <w:rPr>
                <w:b/>
                <w:sz w:val="14"/>
                <w:lang w:eastAsia="sk-SK" w:bidi="ar-SA"/>
              </w:rPr>
              <w:t>prémie</w:t>
            </w:r>
          </w:p>
          <w:p w:rsidR="000F0D6C" w:rsidRPr="00713644" w:rsidRDefault="000F0D6C" w:rsidP="00713644">
            <w:pPr>
              <w:pStyle w:val="Bezriadkovania"/>
              <w:rPr>
                <w:b/>
                <w:sz w:val="14"/>
                <w:lang w:eastAsia="sk-SK" w:bidi="ar-SA"/>
              </w:rPr>
            </w:pPr>
            <w:r w:rsidRPr="00713644">
              <w:rPr>
                <w:b/>
                <w:sz w:val="14"/>
                <w:lang w:eastAsia="sk-SK" w:bidi="ar-SA"/>
              </w:rPr>
              <w:t>a</w:t>
            </w:r>
          </w:p>
          <w:p w:rsidR="000F0D6C" w:rsidRPr="00713644" w:rsidRDefault="000F0D6C" w:rsidP="00713644">
            <w:pPr>
              <w:pStyle w:val="Bezriadkovania"/>
              <w:rPr>
                <w:b/>
                <w:sz w:val="14"/>
                <w:lang w:eastAsia="sk-SK" w:bidi="ar-SA"/>
              </w:rPr>
            </w:pPr>
            <w:r w:rsidRPr="00713644">
              <w:rPr>
                <w:b/>
                <w:sz w:val="14"/>
                <w:lang w:eastAsia="sk-SK" w:bidi="ar-SA"/>
              </w:rPr>
              <w:t>odmeny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D6C" w:rsidRPr="00713644" w:rsidRDefault="000F0D6C" w:rsidP="00713644">
            <w:pPr>
              <w:pStyle w:val="Bezriadkovania"/>
              <w:rPr>
                <w:b/>
                <w:sz w:val="14"/>
                <w:lang w:eastAsia="sk-SK" w:bidi="ar-SA"/>
              </w:rPr>
            </w:pPr>
            <w:r w:rsidRPr="00713644">
              <w:rPr>
                <w:b/>
                <w:sz w:val="14"/>
                <w:lang w:eastAsia="sk-SK" w:bidi="ar-SA"/>
              </w:rPr>
              <w:t>príplatky</w:t>
            </w:r>
          </w:p>
          <w:p w:rsidR="000F0D6C" w:rsidRPr="00713644" w:rsidRDefault="000F0D6C" w:rsidP="00713644">
            <w:pPr>
              <w:pStyle w:val="Bezriadkovania"/>
              <w:rPr>
                <w:b/>
                <w:sz w:val="14"/>
                <w:lang w:eastAsia="sk-SK" w:bidi="ar-SA"/>
              </w:rPr>
            </w:pPr>
            <w:r w:rsidRPr="00713644">
              <w:rPr>
                <w:b/>
                <w:sz w:val="14"/>
                <w:lang w:eastAsia="sk-SK" w:bidi="ar-SA"/>
              </w:rPr>
              <w:t>a</w:t>
            </w:r>
          </w:p>
          <w:p w:rsidR="000F0D6C" w:rsidRPr="00713644" w:rsidRDefault="000F0D6C" w:rsidP="00713644">
            <w:pPr>
              <w:pStyle w:val="Bezriadkovania"/>
              <w:rPr>
                <w:b/>
                <w:sz w:val="14"/>
                <w:lang w:eastAsia="sk-SK" w:bidi="ar-SA"/>
              </w:rPr>
            </w:pPr>
            <w:r w:rsidRPr="00713644">
              <w:rPr>
                <w:b/>
                <w:sz w:val="14"/>
                <w:lang w:eastAsia="sk-SK" w:bidi="ar-SA"/>
              </w:rPr>
              <w:t>doplatky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D6C" w:rsidRPr="00713644" w:rsidRDefault="000F0D6C" w:rsidP="00713644">
            <w:pPr>
              <w:pStyle w:val="Bezriadkovania"/>
              <w:rPr>
                <w:b/>
                <w:sz w:val="14"/>
                <w:lang w:eastAsia="sk-SK" w:bidi="ar-SA"/>
              </w:rPr>
            </w:pPr>
            <w:r w:rsidRPr="00713644">
              <w:rPr>
                <w:b/>
                <w:sz w:val="14"/>
                <w:lang w:eastAsia="sk-SK" w:bidi="ar-SA"/>
              </w:rPr>
              <w:t>náhrady</w:t>
            </w:r>
          </w:p>
          <w:p w:rsidR="000F0D6C" w:rsidRPr="00713644" w:rsidRDefault="000F0D6C" w:rsidP="00713644">
            <w:pPr>
              <w:pStyle w:val="Bezriadkovania"/>
              <w:rPr>
                <w:b/>
                <w:sz w:val="14"/>
                <w:lang w:eastAsia="sk-SK" w:bidi="ar-SA"/>
              </w:rPr>
            </w:pPr>
            <w:r w:rsidRPr="00713644">
              <w:rPr>
                <w:b/>
                <w:sz w:val="14"/>
                <w:lang w:eastAsia="sk-SK" w:bidi="ar-SA"/>
              </w:rPr>
              <w:t>mzdy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D6C" w:rsidRPr="00713644" w:rsidRDefault="000F0D6C" w:rsidP="00713644">
            <w:pPr>
              <w:pStyle w:val="Bezriadkovania"/>
              <w:rPr>
                <w:b/>
                <w:sz w:val="14"/>
                <w:lang w:eastAsia="sk-SK" w:bidi="ar-SA"/>
              </w:rPr>
            </w:pPr>
            <w:r w:rsidRPr="00713644">
              <w:rPr>
                <w:b/>
                <w:sz w:val="14"/>
                <w:lang w:eastAsia="sk-SK" w:bidi="ar-SA"/>
              </w:rPr>
              <w:t>ostatné</w:t>
            </w:r>
          </w:p>
          <w:p w:rsidR="000F0D6C" w:rsidRPr="00713644" w:rsidRDefault="000F0D6C" w:rsidP="00713644">
            <w:pPr>
              <w:pStyle w:val="Bezriadkovania"/>
              <w:rPr>
                <w:b/>
                <w:sz w:val="14"/>
                <w:lang w:eastAsia="sk-SK" w:bidi="ar-SA"/>
              </w:rPr>
            </w:pPr>
            <w:r w:rsidRPr="00713644">
              <w:rPr>
                <w:b/>
                <w:sz w:val="14"/>
                <w:lang w:eastAsia="sk-SK" w:bidi="ar-SA"/>
              </w:rPr>
              <w:t>mzdové</w:t>
            </w:r>
          </w:p>
          <w:p w:rsidR="000F0D6C" w:rsidRPr="00713644" w:rsidRDefault="000F0D6C" w:rsidP="00713644">
            <w:pPr>
              <w:pStyle w:val="Bezriadkovania"/>
              <w:rPr>
                <w:b/>
                <w:sz w:val="14"/>
                <w:lang w:eastAsia="sk-SK" w:bidi="ar-SA"/>
              </w:rPr>
            </w:pPr>
            <w:r w:rsidRPr="00713644">
              <w:rPr>
                <w:b/>
                <w:sz w:val="14"/>
                <w:lang w:eastAsia="sk-SK" w:bidi="ar-SA"/>
              </w:rPr>
              <w:t>zložky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0F0D6C" w:rsidRPr="00713644" w:rsidRDefault="000F0D6C" w:rsidP="00713644">
            <w:pPr>
              <w:pStyle w:val="Bezriadkovania"/>
              <w:rPr>
                <w:b/>
                <w:color w:val="FFFFFF" w:themeColor="background1"/>
                <w:sz w:val="14"/>
                <w:lang w:eastAsia="sk-SK" w:bidi="ar-SA"/>
              </w:rPr>
            </w:pPr>
            <w:r w:rsidRPr="00713644">
              <w:rPr>
                <w:b/>
                <w:color w:val="FFFFFF" w:themeColor="background1"/>
                <w:sz w:val="14"/>
                <w:lang w:eastAsia="sk-SK" w:bidi="ar-SA"/>
              </w:rPr>
              <w:t>za prac.</w:t>
            </w:r>
          </w:p>
          <w:p w:rsidR="000F0D6C" w:rsidRPr="00713644" w:rsidRDefault="000F0D6C" w:rsidP="00713644">
            <w:pPr>
              <w:pStyle w:val="Bezriadkovania"/>
              <w:rPr>
                <w:b/>
                <w:color w:val="FFFFFF" w:themeColor="background1"/>
                <w:sz w:val="14"/>
                <w:lang w:eastAsia="sk-SK" w:bidi="ar-SA"/>
              </w:rPr>
            </w:pPr>
            <w:r w:rsidRPr="00713644">
              <w:rPr>
                <w:b/>
                <w:color w:val="FFFFFF" w:themeColor="background1"/>
                <w:sz w:val="14"/>
                <w:lang w:eastAsia="sk-SK" w:bidi="ar-SA"/>
              </w:rPr>
              <w:t> pohotovosť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0F0D6C" w:rsidRPr="00713644" w:rsidRDefault="000F0D6C" w:rsidP="00713644">
            <w:pPr>
              <w:pStyle w:val="Bezriadkovania"/>
              <w:rPr>
                <w:b/>
                <w:color w:val="FFFFFF" w:themeColor="background1"/>
                <w:sz w:val="14"/>
                <w:lang w:eastAsia="sk-SK" w:bidi="ar-SA"/>
              </w:rPr>
            </w:pPr>
            <w:r w:rsidRPr="00713644">
              <w:rPr>
                <w:b/>
                <w:color w:val="FFFFFF" w:themeColor="background1"/>
                <w:sz w:val="14"/>
                <w:lang w:eastAsia="sk-SK" w:bidi="ar-SA"/>
              </w:rPr>
              <w:t>mesačná</w:t>
            </w:r>
          </w:p>
          <w:p w:rsidR="000F0D6C" w:rsidRPr="00713644" w:rsidRDefault="000F0D6C" w:rsidP="00713644">
            <w:pPr>
              <w:pStyle w:val="Bezriadkovania"/>
              <w:rPr>
                <w:b/>
                <w:color w:val="FFFFFF" w:themeColor="background1"/>
                <w:sz w:val="14"/>
                <w:lang w:eastAsia="sk-SK" w:bidi="ar-SA"/>
              </w:rPr>
            </w:pPr>
            <w:r w:rsidRPr="00713644">
              <w:rPr>
                <w:b/>
                <w:color w:val="FFFFFF" w:themeColor="background1"/>
                <w:sz w:val="14"/>
                <w:lang w:eastAsia="sk-SK" w:bidi="ar-SA"/>
              </w:rPr>
              <w:t>čistá</w:t>
            </w:r>
          </w:p>
          <w:p w:rsidR="000F0D6C" w:rsidRPr="00713644" w:rsidRDefault="000F0D6C" w:rsidP="00713644">
            <w:pPr>
              <w:pStyle w:val="Bezriadkovania"/>
              <w:rPr>
                <w:b/>
                <w:color w:val="FFFFFF" w:themeColor="background1"/>
                <w:sz w:val="14"/>
                <w:lang w:eastAsia="sk-SK" w:bidi="ar-SA"/>
              </w:rPr>
            </w:pPr>
            <w:r w:rsidRPr="00713644">
              <w:rPr>
                <w:b/>
                <w:color w:val="FFFFFF" w:themeColor="background1"/>
                <w:sz w:val="14"/>
                <w:lang w:eastAsia="sk-SK" w:bidi="ar-SA"/>
              </w:rPr>
              <w:t>mzda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0F0D6C" w:rsidRPr="00713644" w:rsidRDefault="000F0D6C" w:rsidP="00713644">
            <w:pPr>
              <w:pStyle w:val="Bezriadkovania"/>
              <w:rPr>
                <w:b/>
                <w:color w:val="FFFFFF" w:themeColor="background1"/>
                <w:sz w:val="14"/>
                <w:lang w:eastAsia="sk-SK" w:bidi="ar-SA"/>
              </w:rPr>
            </w:pPr>
            <w:r w:rsidRPr="00713644">
              <w:rPr>
                <w:b/>
                <w:color w:val="FFFFFF" w:themeColor="background1"/>
                <w:sz w:val="14"/>
                <w:lang w:eastAsia="sk-SK" w:bidi="ar-SA"/>
              </w:rPr>
              <w:t>poistenia</w:t>
            </w:r>
          </w:p>
          <w:p w:rsidR="000F0D6C" w:rsidRPr="00713644" w:rsidRDefault="000F0D6C" w:rsidP="00713644">
            <w:pPr>
              <w:pStyle w:val="Bezriadkovania"/>
              <w:rPr>
                <w:b/>
                <w:color w:val="FFFFFF" w:themeColor="background1"/>
                <w:sz w:val="14"/>
                <w:lang w:eastAsia="sk-SK" w:bidi="ar-SA"/>
              </w:rPr>
            </w:pPr>
            <w:r w:rsidRPr="00713644">
              <w:rPr>
                <w:b/>
                <w:color w:val="FFFFFF" w:themeColor="background1"/>
                <w:sz w:val="14"/>
                <w:lang w:eastAsia="sk-SK" w:bidi="ar-SA"/>
              </w:rPr>
              <w:t>a daní</w:t>
            </w:r>
          </w:p>
          <w:p w:rsidR="000F0D6C" w:rsidRPr="00713644" w:rsidRDefault="000F0D6C" w:rsidP="00713644">
            <w:pPr>
              <w:pStyle w:val="Bezriadkovania"/>
              <w:rPr>
                <w:b/>
                <w:color w:val="FFFFFF" w:themeColor="background1"/>
                <w:sz w:val="14"/>
                <w:lang w:eastAsia="sk-SK" w:bidi="ar-SA"/>
              </w:rPr>
            </w:pPr>
            <w:r w:rsidRPr="00713644">
              <w:rPr>
                <w:b/>
                <w:color w:val="FFFFFF" w:themeColor="background1"/>
                <w:sz w:val="14"/>
                <w:lang w:eastAsia="sk-SK" w:bidi="ar-SA"/>
              </w:rPr>
              <w:t> </w:t>
            </w:r>
          </w:p>
        </w:tc>
      </w:tr>
      <w:tr w:rsidR="000F0D6C" w:rsidRPr="00713644" w:rsidTr="00B22578">
        <w:trPr>
          <w:trHeight w:val="31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6872" w:rsidRPr="00713644" w:rsidRDefault="00026872" w:rsidP="00713644">
            <w:pPr>
              <w:pStyle w:val="Bezriadkovania"/>
              <w:rPr>
                <w:b/>
                <w:sz w:val="18"/>
                <w:lang w:eastAsia="sk-SK" w:bidi="ar-SA"/>
              </w:rPr>
            </w:pPr>
            <w:r w:rsidRPr="00713644">
              <w:rPr>
                <w:b/>
                <w:sz w:val="18"/>
                <w:lang w:eastAsia="sk-SK" w:bidi="ar-SA"/>
              </w:rPr>
              <w:t>Spolu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6872" w:rsidRPr="00713644" w:rsidRDefault="00026872" w:rsidP="00713644">
            <w:pPr>
              <w:pStyle w:val="Bezriadkovania"/>
              <w:rPr>
                <w:sz w:val="18"/>
                <w:lang w:eastAsia="sk-SK" w:bidi="ar-SA"/>
              </w:rPr>
            </w:pPr>
            <w:r w:rsidRPr="00713644">
              <w:rPr>
                <w:sz w:val="18"/>
                <w:lang w:eastAsia="sk-SK" w:bidi="ar-SA"/>
              </w:rPr>
              <w:t>765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6872" w:rsidRPr="00713644" w:rsidRDefault="00026872" w:rsidP="00713644">
            <w:pPr>
              <w:pStyle w:val="Bezriadkovania"/>
              <w:rPr>
                <w:b/>
                <w:sz w:val="18"/>
                <w:lang w:eastAsia="sk-SK" w:bidi="ar-SA"/>
              </w:rPr>
            </w:pPr>
            <w:r w:rsidRPr="00713644">
              <w:rPr>
                <w:b/>
                <w:sz w:val="18"/>
                <w:lang w:eastAsia="sk-SK" w:bidi="ar-SA"/>
              </w:rPr>
              <w:t>987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6872" w:rsidRPr="00713644" w:rsidRDefault="00026872" w:rsidP="00713644">
            <w:pPr>
              <w:pStyle w:val="Bezriadkovania"/>
              <w:rPr>
                <w:sz w:val="18"/>
                <w:lang w:eastAsia="sk-SK" w:bidi="ar-SA"/>
              </w:rPr>
            </w:pPr>
            <w:r w:rsidRPr="00713644">
              <w:rPr>
                <w:sz w:val="18"/>
                <w:lang w:eastAsia="sk-SK" w:bidi="ar-SA"/>
              </w:rPr>
              <w:t>656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6872" w:rsidRPr="00713644" w:rsidRDefault="00026872" w:rsidP="00713644">
            <w:pPr>
              <w:pStyle w:val="Bezriadkovania"/>
              <w:rPr>
                <w:sz w:val="18"/>
                <w:lang w:eastAsia="sk-SK" w:bidi="ar-SA"/>
              </w:rPr>
            </w:pPr>
            <w:r w:rsidRPr="00713644">
              <w:rPr>
                <w:sz w:val="18"/>
                <w:lang w:eastAsia="sk-SK" w:bidi="ar-SA"/>
              </w:rPr>
              <w:t>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6872" w:rsidRPr="00713644" w:rsidRDefault="00026872" w:rsidP="00713644">
            <w:pPr>
              <w:pStyle w:val="Bezriadkovania"/>
              <w:rPr>
                <w:sz w:val="18"/>
                <w:lang w:eastAsia="sk-SK" w:bidi="ar-SA"/>
              </w:rPr>
            </w:pPr>
            <w:r w:rsidRPr="00713644">
              <w:rPr>
                <w:sz w:val="18"/>
                <w:lang w:eastAsia="sk-SK" w:bidi="ar-SA"/>
              </w:rPr>
              <w:t>67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6872" w:rsidRPr="00713644" w:rsidRDefault="00026872" w:rsidP="00713644">
            <w:pPr>
              <w:pStyle w:val="Bezriadkovania"/>
              <w:rPr>
                <w:sz w:val="18"/>
                <w:lang w:eastAsia="sk-SK" w:bidi="ar-SA"/>
              </w:rPr>
            </w:pPr>
            <w:r w:rsidRPr="00713644">
              <w:rPr>
                <w:sz w:val="18"/>
                <w:lang w:eastAsia="sk-SK" w:bidi="ar-SA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6872" w:rsidRPr="00713644" w:rsidRDefault="00026872" w:rsidP="00713644">
            <w:pPr>
              <w:pStyle w:val="Bezriadkovania"/>
              <w:rPr>
                <w:sz w:val="18"/>
                <w:lang w:eastAsia="sk-SK" w:bidi="ar-SA"/>
              </w:rPr>
            </w:pPr>
            <w:r w:rsidRPr="00713644">
              <w:rPr>
                <w:sz w:val="18"/>
                <w:lang w:eastAsia="sk-SK" w:bidi="ar-SA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6872" w:rsidRPr="00713644" w:rsidRDefault="00026872" w:rsidP="00713644">
            <w:pPr>
              <w:pStyle w:val="Bezriadkovania"/>
              <w:rPr>
                <w:sz w:val="18"/>
                <w:lang w:eastAsia="sk-SK" w:bidi="ar-SA"/>
              </w:rPr>
            </w:pPr>
            <w:r w:rsidRPr="00713644">
              <w:rPr>
                <w:sz w:val="18"/>
                <w:lang w:eastAsia="sk-SK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6872" w:rsidRPr="00713644" w:rsidRDefault="00026872" w:rsidP="00713644">
            <w:pPr>
              <w:pStyle w:val="Bezriadkovania"/>
              <w:rPr>
                <w:sz w:val="18"/>
                <w:lang w:eastAsia="sk-SK" w:bidi="ar-SA"/>
              </w:rPr>
            </w:pPr>
            <w:r w:rsidRPr="00713644">
              <w:rPr>
                <w:sz w:val="18"/>
                <w:lang w:eastAsia="sk-SK" w:bidi="ar-SA"/>
              </w:rPr>
              <w:t>758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6872" w:rsidRPr="00713644" w:rsidRDefault="00026872" w:rsidP="00713644">
            <w:pPr>
              <w:pStyle w:val="Bezriadkovania"/>
              <w:rPr>
                <w:sz w:val="18"/>
                <w:lang w:eastAsia="sk-SK" w:bidi="ar-SA"/>
              </w:rPr>
            </w:pPr>
            <w:r w:rsidRPr="00713644">
              <w:rPr>
                <w:sz w:val="18"/>
                <w:lang w:eastAsia="sk-SK" w:bidi="ar-SA"/>
              </w:rPr>
              <w:t>230</w:t>
            </w:r>
          </w:p>
        </w:tc>
      </w:tr>
      <w:tr w:rsidR="000F0D6C" w:rsidRPr="00713644" w:rsidTr="00B22578">
        <w:trPr>
          <w:trHeight w:val="300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872" w:rsidRPr="00713644" w:rsidRDefault="00026872" w:rsidP="00713644">
            <w:pPr>
              <w:pStyle w:val="Bezriadkovania"/>
              <w:rPr>
                <w:b/>
                <w:sz w:val="18"/>
                <w:lang w:eastAsia="sk-SK" w:bidi="ar-SA"/>
              </w:rPr>
            </w:pPr>
            <w:r w:rsidRPr="00713644">
              <w:rPr>
                <w:b/>
                <w:sz w:val="18"/>
                <w:lang w:eastAsia="sk-SK" w:bidi="ar-SA"/>
              </w:rPr>
              <w:t>Muži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72" w:rsidRPr="00713644" w:rsidRDefault="00026872" w:rsidP="00713644">
            <w:pPr>
              <w:pStyle w:val="Bezriadkovania"/>
              <w:rPr>
                <w:sz w:val="18"/>
                <w:lang w:eastAsia="sk-SK" w:bidi="ar-SA"/>
              </w:rPr>
            </w:pPr>
            <w:r w:rsidRPr="00713644">
              <w:rPr>
                <w:sz w:val="18"/>
                <w:lang w:eastAsia="sk-SK" w:bidi="ar-SA"/>
              </w:rPr>
              <w:t>826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72" w:rsidRPr="00713644" w:rsidRDefault="00026872" w:rsidP="00713644">
            <w:pPr>
              <w:pStyle w:val="Bezriadkovania"/>
              <w:rPr>
                <w:b/>
                <w:sz w:val="18"/>
                <w:lang w:eastAsia="sk-SK" w:bidi="ar-SA"/>
              </w:rPr>
            </w:pPr>
            <w:r w:rsidRPr="00713644">
              <w:rPr>
                <w:b/>
                <w:sz w:val="18"/>
                <w:lang w:eastAsia="sk-SK" w:bidi="ar-SA"/>
              </w:rPr>
              <w:t>1 108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72" w:rsidRPr="00713644" w:rsidRDefault="00026872" w:rsidP="00713644">
            <w:pPr>
              <w:pStyle w:val="Bezriadkovania"/>
              <w:rPr>
                <w:sz w:val="18"/>
                <w:lang w:eastAsia="sk-SK" w:bidi="ar-SA"/>
              </w:rPr>
            </w:pPr>
            <w:r w:rsidRPr="00713644">
              <w:rPr>
                <w:sz w:val="18"/>
                <w:lang w:eastAsia="sk-SK" w:bidi="ar-SA"/>
              </w:rPr>
              <w:t>723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72" w:rsidRPr="00713644" w:rsidRDefault="00026872" w:rsidP="00713644">
            <w:pPr>
              <w:pStyle w:val="Bezriadkovania"/>
              <w:rPr>
                <w:sz w:val="18"/>
                <w:lang w:eastAsia="sk-SK" w:bidi="ar-SA"/>
              </w:rPr>
            </w:pPr>
            <w:r w:rsidRPr="00713644">
              <w:rPr>
                <w:sz w:val="18"/>
                <w:lang w:eastAsia="sk-SK" w:bidi="ar-SA"/>
              </w:rPr>
              <w:t>145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72" w:rsidRPr="00713644" w:rsidRDefault="00026872" w:rsidP="00713644">
            <w:pPr>
              <w:pStyle w:val="Bezriadkovania"/>
              <w:rPr>
                <w:sz w:val="18"/>
                <w:lang w:eastAsia="sk-SK" w:bidi="ar-SA"/>
              </w:rPr>
            </w:pPr>
            <w:r w:rsidRPr="00713644">
              <w:rPr>
                <w:sz w:val="18"/>
                <w:lang w:eastAsia="sk-SK" w:bidi="ar-SA"/>
              </w:rPr>
              <w:t>72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72" w:rsidRPr="00713644" w:rsidRDefault="00026872" w:rsidP="00713644">
            <w:pPr>
              <w:pStyle w:val="Bezriadkovania"/>
              <w:rPr>
                <w:sz w:val="18"/>
                <w:lang w:eastAsia="sk-SK" w:bidi="ar-SA"/>
              </w:rPr>
            </w:pPr>
            <w:r w:rsidRPr="00713644">
              <w:rPr>
                <w:sz w:val="18"/>
                <w:lang w:eastAsia="sk-SK" w:bidi="ar-SA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72" w:rsidRPr="00713644" w:rsidRDefault="00026872" w:rsidP="00713644">
            <w:pPr>
              <w:pStyle w:val="Bezriadkovania"/>
              <w:rPr>
                <w:sz w:val="18"/>
                <w:lang w:eastAsia="sk-SK" w:bidi="ar-SA"/>
              </w:rPr>
            </w:pPr>
            <w:r w:rsidRPr="00713644">
              <w:rPr>
                <w:sz w:val="18"/>
                <w:lang w:eastAsia="sk-SK" w:bidi="ar-SA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72" w:rsidRPr="00713644" w:rsidRDefault="00026872" w:rsidP="00713644">
            <w:pPr>
              <w:pStyle w:val="Bezriadkovania"/>
              <w:rPr>
                <w:sz w:val="18"/>
                <w:lang w:eastAsia="sk-SK" w:bidi="ar-SA"/>
              </w:rPr>
            </w:pPr>
            <w:r w:rsidRPr="00713644">
              <w:rPr>
                <w:sz w:val="18"/>
                <w:lang w:eastAsia="sk-SK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72" w:rsidRPr="00713644" w:rsidRDefault="00026872" w:rsidP="00713644">
            <w:pPr>
              <w:pStyle w:val="Bezriadkovania"/>
              <w:rPr>
                <w:sz w:val="18"/>
                <w:lang w:eastAsia="sk-SK" w:bidi="ar-SA"/>
              </w:rPr>
            </w:pPr>
            <w:r w:rsidRPr="00713644">
              <w:rPr>
                <w:sz w:val="18"/>
                <w:lang w:eastAsia="sk-SK" w:bidi="ar-SA"/>
              </w:rPr>
              <w:t>844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872" w:rsidRPr="00713644" w:rsidRDefault="00026872" w:rsidP="00713644">
            <w:pPr>
              <w:pStyle w:val="Bezriadkovania"/>
              <w:rPr>
                <w:sz w:val="18"/>
                <w:lang w:eastAsia="sk-SK" w:bidi="ar-SA"/>
              </w:rPr>
            </w:pPr>
            <w:r w:rsidRPr="00713644">
              <w:rPr>
                <w:sz w:val="18"/>
                <w:lang w:eastAsia="sk-SK" w:bidi="ar-SA"/>
              </w:rPr>
              <w:t>264</w:t>
            </w:r>
          </w:p>
        </w:tc>
      </w:tr>
      <w:tr w:rsidR="00A634C9" w:rsidRPr="00713644" w:rsidTr="00B22578">
        <w:trPr>
          <w:trHeight w:val="3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6872" w:rsidRPr="00713644" w:rsidRDefault="00026872" w:rsidP="00713644">
            <w:pPr>
              <w:pStyle w:val="Bezriadkovania"/>
              <w:rPr>
                <w:b/>
                <w:sz w:val="18"/>
                <w:lang w:eastAsia="sk-SK" w:bidi="ar-SA"/>
              </w:rPr>
            </w:pPr>
            <w:r w:rsidRPr="00713644">
              <w:rPr>
                <w:b/>
                <w:sz w:val="18"/>
                <w:lang w:eastAsia="sk-SK" w:bidi="ar-SA"/>
              </w:rPr>
              <w:t>Ženy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6872" w:rsidRPr="00713644" w:rsidRDefault="00026872" w:rsidP="00713644">
            <w:pPr>
              <w:pStyle w:val="Bezriadkovania"/>
              <w:rPr>
                <w:sz w:val="18"/>
                <w:lang w:eastAsia="sk-SK" w:bidi="ar-SA"/>
              </w:rPr>
            </w:pPr>
            <w:r w:rsidRPr="00713644">
              <w:rPr>
                <w:sz w:val="18"/>
                <w:lang w:eastAsia="sk-SK" w:bidi="ar-SA"/>
              </w:rPr>
              <w:t>706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6872" w:rsidRPr="00713644" w:rsidRDefault="00026872" w:rsidP="00713644">
            <w:pPr>
              <w:pStyle w:val="Bezriadkovania"/>
              <w:rPr>
                <w:b/>
                <w:sz w:val="18"/>
                <w:lang w:eastAsia="sk-SK" w:bidi="ar-SA"/>
              </w:rPr>
            </w:pPr>
            <w:r w:rsidRPr="00713644">
              <w:rPr>
                <w:b/>
                <w:sz w:val="18"/>
                <w:lang w:eastAsia="sk-SK" w:bidi="ar-SA"/>
              </w:rPr>
              <w:t>861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6872" w:rsidRPr="00713644" w:rsidRDefault="00026872" w:rsidP="00713644">
            <w:pPr>
              <w:pStyle w:val="Bezriadkovania"/>
              <w:rPr>
                <w:sz w:val="18"/>
                <w:lang w:eastAsia="sk-SK" w:bidi="ar-SA"/>
              </w:rPr>
            </w:pPr>
            <w:r w:rsidRPr="00713644">
              <w:rPr>
                <w:sz w:val="18"/>
                <w:lang w:eastAsia="sk-SK" w:bidi="ar-SA"/>
              </w:rPr>
              <w:t>586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6872" w:rsidRPr="00713644" w:rsidRDefault="00026872" w:rsidP="00713644">
            <w:pPr>
              <w:pStyle w:val="Bezriadkovania"/>
              <w:rPr>
                <w:sz w:val="18"/>
                <w:lang w:eastAsia="sk-SK" w:bidi="ar-SA"/>
              </w:rPr>
            </w:pPr>
            <w:r w:rsidRPr="00713644">
              <w:rPr>
                <w:sz w:val="18"/>
                <w:lang w:eastAsia="sk-SK" w:bidi="ar-SA"/>
              </w:rPr>
              <w:t>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6872" w:rsidRPr="00713644" w:rsidRDefault="00026872" w:rsidP="00713644">
            <w:pPr>
              <w:pStyle w:val="Bezriadkovania"/>
              <w:rPr>
                <w:sz w:val="18"/>
                <w:lang w:eastAsia="sk-SK" w:bidi="ar-SA"/>
              </w:rPr>
            </w:pPr>
            <w:r w:rsidRPr="00713644">
              <w:rPr>
                <w:sz w:val="18"/>
                <w:lang w:eastAsia="sk-SK" w:bidi="ar-SA"/>
              </w:rPr>
              <w:t>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6872" w:rsidRPr="00713644" w:rsidRDefault="00026872" w:rsidP="00713644">
            <w:pPr>
              <w:pStyle w:val="Bezriadkovania"/>
              <w:rPr>
                <w:sz w:val="18"/>
                <w:lang w:eastAsia="sk-SK" w:bidi="ar-SA"/>
              </w:rPr>
            </w:pPr>
            <w:r w:rsidRPr="00713644">
              <w:rPr>
                <w:sz w:val="18"/>
                <w:lang w:eastAsia="sk-SK" w:bidi="ar-SA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6872" w:rsidRPr="00713644" w:rsidRDefault="00026872" w:rsidP="00713644">
            <w:pPr>
              <w:pStyle w:val="Bezriadkovania"/>
              <w:rPr>
                <w:sz w:val="18"/>
                <w:lang w:eastAsia="sk-SK" w:bidi="ar-SA"/>
              </w:rPr>
            </w:pPr>
            <w:r w:rsidRPr="00713644">
              <w:rPr>
                <w:sz w:val="18"/>
                <w:lang w:eastAsia="sk-SK" w:bidi="ar-SA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6872" w:rsidRPr="00713644" w:rsidRDefault="00026872" w:rsidP="00713644">
            <w:pPr>
              <w:pStyle w:val="Bezriadkovania"/>
              <w:rPr>
                <w:sz w:val="18"/>
                <w:lang w:eastAsia="sk-SK" w:bidi="ar-SA"/>
              </w:rPr>
            </w:pPr>
            <w:r w:rsidRPr="00713644">
              <w:rPr>
                <w:sz w:val="18"/>
                <w:lang w:eastAsia="sk-SK" w:bidi="ar-SA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6872" w:rsidRPr="00713644" w:rsidRDefault="00026872" w:rsidP="00713644">
            <w:pPr>
              <w:pStyle w:val="Bezriadkovania"/>
              <w:rPr>
                <w:sz w:val="18"/>
                <w:lang w:eastAsia="sk-SK" w:bidi="ar-SA"/>
              </w:rPr>
            </w:pPr>
            <w:r w:rsidRPr="00713644">
              <w:rPr>
                <w:sz w:val="18"/>
                <w:lang w:eastAsia="sk-SK" w:bidi="ar-SA"/>
              </w:rPr>
              <w:t>667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6872" w:rsidRPr="00713644" w:rsidRDefault="00026872" w:rsidP="00713644">
            <w:pPr>
              <w:pStyle w:val="Bezriadkovania"/>
              <w:rPr>
                <w:sz w:val="18"/>
                <w:lang w:eastAsia="sk-SK" w:bidi="ar-SA"/>
              </w:rPr>
            </w:pPr>
            <w:r w:rsidRPr="00713644">
              <w:rPr>
                <w:sz w:val="18"/>
                <w:lang w:eastAsia="sk-SK" w:bidi="ar-SA"/>
              </w:rPr>
              <w:t>194</w:t>
            </w:r>
          </w:p>
        </w:tc>
      </w:tr>
    </w:tbl>
    <w:p w:rsidR="00B22578" w:rsidRPr="00A707FF" w:rsidRDefault="00B22578" w:rsidP="00B22578">
      <w:pPr>
        <w:pStyle w:val="Popis"/>
      </w:pPr>
      <w:r w:rsidRPr="00A707FF">
        <w:t xml:space="preserve">Zdroj: Trexima </w:t>
      </w:r>
      <w:r w:rsidR="00591485">
        <w:t>Informačný systém ceny práce (ďalej len „</w:t>
      </w:r>
      <w:r w:rsidRPr="0061402E">
        <w:t>ISCP</w:t>
      </w:r>
      <w:r w:rsidR="00591485">
        <w:t>“)</w:t>
      </w:r>
      <w:r w:rsidRPr="0061402E">
        <w:t xml:space="preserve"> - ISPZ</w:t>
      </w:r>
      <w:r w:rsidRPr="0061402E">
        <w:tab/>
        <w:t>4. štvrťrok 2015</w:t>
      </w:r>
    </w:p>
    <w:p w:rsidR="006F5C86" w:rsidRDefault="006F5C86" w:rsidP="0017792F">
      <w:pPr>
        <w:pStyle w:val="Default"/>
      </w:pPr>
      <w:r>
        <w:t>Rodový mzdový rozdiel sa začína prejavovať zhruba v 25 roku života a pretrváva až do dôchodku. Je teda zjavné, že niekoľko mesačný resp. ročný výpadok žien kvôli materskej a rodičovskej dovolenke predstavuje pre ženy znevýhodnenie, ktoré ovplyvňuj</w:t>
      </w:r>
      <w:r w:rsidR="00620092">
        <w:t>e</w:t>
      </w:r>
      <w:r>
        <w:t xml:space="preserve"> ich príjem počas celej kariéry a zákonite aj na dôchodku. </w:t>
      </w:r>
    </w:p>
    <w:p w:rsidR="006F5C86" w:rsidRDefault="006F5C86" w:rsidP="006F5C86">
      <w:pPr>
        <w:rPr>
          <w:noProof/>
          <w:lang w:eastAsia="sk-SK" w:bidi="ar-SA"/>
        </w:rPr>
      </w:pPr>
      <w:r>
        <w:rPr>
          <w:noProof/>
          <w:lang w:eastAsia="sk-SK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9CA631" wp14:editId="4AA06A0F">
                <wp:simplePos x="0" y="0"/>
                <wp:positionH relativeFrom="column">
                  <wp:posOffset>-635</wp:posOffset>
                </wp:positionH>
                <wp:positionV relativeFrom="line">
                  <wp:posOffset>83820</wp:posOffset>
                </wp:positionV>
                <wp:extent cx="5288280" cy="251460"/>
                <wp:effectExtent l="0" t="0" r="7620" b="0"/>
                <wp:wrapSquare wrapText="bothSides"/>
                <wp:docPr id="1" name="Blok text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8280" cy="2514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54C0" w:rsidRPr="004F7275" w:rsidRDefault="00D554C0" w:rsidP="006F5C86">
                            <w:pPr>
                              <w:pStyle w:val="Popis"/>
                              <w:rPr>
                                <w:noProof/>
                              </w:rPr>
                            </w:pPr>
                            <w:r w:rsidRPr="004F7275">
                              <w:t xml:space="preserve">Graf </w:t>
                            </w:r>
                            <w:r>
                              <w:t>2</w:t>
                            </w:r>
                            <w:r w:rsidRPr="004F7275">
                              <w:t xml:space="preserve"> </w:t>
                            </w:r>
                            <w:r>
                              <w:t>Rodový mzdový rozdiel podľa vekových skupín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8" o:spid="_x0000_s1026" type="#_x0000_t202" style="position:absolute;left:0;text-align:left;margin-left:-.05pt;margin-top:6.6pt;width:416.4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" stroked="f">
                <v:path arrowok="t"/>
                <v:textbox inset="0,0,0,0">
                  <w:txbxContent>
                    <w:p w:rsidR="00D554C0" w:rsidRPr="004F7275" w:rsidRDefault="00D554C0" w:rsidP="006F5C86">
                      <w:pPr>
                        <w:pStyle w:val="Popis"/>
                        <w:rPr>
                          <w:noProof/>
                        </w:rPr>
                      </w:pPr>
                      <w:r w:rsidRPr="004F7275">
                        <w:t xml:space="preserve">Graf </w:t>
                      </w:r>
                      <w:r>
                        <w:t>2</w:t>
                      </w:r>
                      <w:r w:rsidRPr="004F7275">
                        <w:t xml:space="preserve"> </w:t>
                      </w:r>
                      <w:r>
                        <w:t>Rodový mzdový rozdiel podľa vekových skupín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:rsidR="006F5C86" w:rsidRDefault="006F5C86" w:rsidP="006F5C86">
      <w:pPr>
        <w:rPr>
          <w:noProof/>
          <w:lang w:eastAsia="sk-SK" w:bidi="ar-SA"/>
        </w:rPr>
      </w:pPr>
      <w:r>
        <w:rPr>
          <w:noProof/>
          <w:lang w:eastAsia="sk-SK" w:bidi="ar-SA"/>
        </w:rPr>
        <w:drawing>
          <wp:inline distT="0" distB="0" distL="0" distR="0" wp14:anchorId="0711AD80" wp14:editId="4C39B821">
            <wp:extent cx="5760720" cy="3599378"/>
            <wp:effectExtent l="0" t="0" r="11430" b="2032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F5C86" w:rsidRDefault="006F5C86" w:rsidP="006F5C86">
      <w:pPr>
        <w:pStyle w:val="Popis"/>
        <w:rPr>
          <w:noProof/>
          <w:lang w:eastAsia="sk-SK" w:bidi="ar-SA"/>
        </w:rPr>
      </w:pPr>
      <w:r>
        <w:t xml:space="preserve">Zdroj: Trexima </w:t>
      </w:r>
      <w:r w:rsidR="00B22578" w:rsidRPr="0061402E">
        <w:t>ISCP - ISPZ</w:t>
      </w:r>
      <w:r w:rsidR="00B22578" w:rsidRPr="0061402E">
        <w:tab/>
        <w:t>4. štvrťrok 2015</w:t>
      </w:r>
    </w:p>
    <w:p w:rsidR="006F5C86" w:rsidRDefault="006F5C86" w:rsidP="0017792F">
      <w:pPr>
        <w:pStyle w:val="Default"/>
        <w:rPr>
          <w:i/>
        </w:rPr>
      </w:pPr>
      <w:r>
        <w:t xml:space="preserve">Tu sa výrazne prejavujú </w:t>
      </w:r>
      <w:r w:rsidRPr="00536332">
        <w:rPr>
          <w:b/>
        </w:rPr>
        <w:t xml:space="preserve">nerovnosti v zodpovednosti za chod domácnosti a rodiny </w:t>
      </w:r>
      <w:r w:rsidRPr="003E2B9E">
        <w:t>– ženy trávia nepomerne viac času v neplatenej (ale i platenej) práci zameranej na starostlivosť o deti, členov rodiny a</w:t>
      </w:r>
      <w:r>
        <w:t> </w:t>
      </w:r>
      <w:r w:rsidRPr="003E2B9E">
        <w:t>domácnosť</w:t>
      </w:r>
      <w:r>
        <w:t>.</w:t>
      </w:r>
    </w:p>
    <w:p w:rsidR="006F5C86" w:rsidRPr="00FA216B" w:rsidRDefault="006F5C86" w:rsidP="0017792F">
      <w:pPr>
        <w:pStyle w:val="Default"/>
      </w:pPr>
      <w:r w:rsidRPr="00FA216B">
        <w:t>Štúdie ďalej dokazujú, že vydaj sa pre ženy prejavuje negatívne na zárobkoch. Kým ženatí muži zarábajú v priemere o 4,5</w:t>
      </w:r>
      <w:r w:rsidR="005C794F">
        <w:t xml:space="preserve"> %</w:t>
      </w:r>
      <w:r w:rsidRPr="00FA216B">
        <w:t xml:space="preserve"> viac ako ich slobodní kolegovia, u vydatých žien je to naopak - zarábajú 3,7</w:t>
      </w:r>
      <w:r w:rsidR="005C794F">
        <w:t xml:space="preserve"> %</w:t>
      </w:r>
      <w:r w:rsidRPr="00FA216B">
        <w:t xml:space="preserve"> menej ako slobodné. To jasne poukazuje na predsudky </w:t>
      </w:r>
      <w:r w:rsidRPr="00FA216B">
        <w:lastRenderedPageBreak/>
        <w:t xml:space="preserve">zamestnávateľov voči vydatým ženám (matkám) a naopak, na vyzdvihovanie </w:t>
      </w:r>
      <w:r w:rsidR="002D0FBE">
        <w:t>ženatých</w:t>
      </w:r>
      <w:r w:rsidRPr="00FA216B">
        <w:t xml:space="preserve"> mužov, otcov rodín, od ktorých sa očakáva väčšia stabilita.</w:t>
      </w:r>
      <w:r>
        <w:t xml:space="preserve"> </w:t>
      </w:r>
    </w:p>
    <w:p w:rsidR="006F5C86" w:rsidRDefault="006F5C86" w:rsidP="0017792F">
      <w:pPr>
        <w:pStyle w:val="Default"/>
      </w:pPr>
      <w:r w:rsidRPr="00B91C83">
        <w:rPr>
          <w:b/>
        </w:rPr>
        <w:t>Z hľadiska vzdelania</w:t>
      </w:r>
      <w:r>
        <w:t xml:space="preserve"> prevláda na Slovensku lepšia vzdelanostná úroveň žien. Táto sa však neodráža v úrovni ich zárobkov, naopak. Najvyšší ro</w:t>
      </w:r>
      <w:r w:rsidR="00620092">
        <w:t>dový mzdový rozdiel sa prejavuje</w:t>
      </w:r>
      <w:r>
        <w:t xml:space="preserve"> pri vysokoškolsky vzdelaných mužoch a ženách, a to hlavne v podnikateľskej sfére, kde tento rozdiel predstavuje </w:t>
      </w:r>
      <w:r w:rsidR="00620092">
        <w:t xml:space="preserve">o </w:t>
      </w:r>
      <w:r>
        <w:t xml:space="preserve">štvrtinu nižší priemerný zárobok pre ženy. Tento rozdiel poukazuje na fakt, že investícia do vzdelania - ľudského </w:t>
      </w:r>
      <w:r w:rsidRPr="00304509">
        <w:rPr>
          <w:color w:val="000000"/>
        </w:rPr>
        <w:t xml:space="preserve">kapitálu sa lepšie vypláca a zhodnocuje u mužov ako u žien. </w:t>
      </w:r>
      <w:r>
        <w:t xml:space="preserve">Rodový mzdový rozdiel u vysokoškolsky vzdelaných odráža najmä horizontálnu segregáciu sektorov založenú na stereotypných predstavách </w:t>
      </w:r>
      <w:r w:rsidRPr="00536332">
        <w:t>o </w:t>
      </w:r>
      <w:r>
        <w:t xml:space="preserve"> </w:t>
      </w:r>
      <w:r w:rsidRPr="00536332">
        <w:t xml:space="preserve">„práci vhodnej pre ženy“, ktoré sa odrážajú pri výbere študijných odborov. </w:t>
      </w:r>
      <w:r>
        <w:t>V</w:t>
      </w:r>
      <w:r w:rsidRPr="002A6B38">
        <w:t>ychádzajúc z historického vývoja a</w:t>
      </w:r>
      <w:r>
        <w:t> </w:t>
      </w:r>
      <w:r w:rsidRPr="002A6B38">
        <w:t xml:space="preserve">stereotypného prístupu, práca vykonávaná ženami </w:t>
      </w:r>
      <w:r>
        <w:t xml:space="preserve">sa spravidla považuje za prácu </w:t>
      </w:r>
      <w:r w:rsidRPr="002A6B38">
        <w:t>nižšej hodnoty</w:t>
      </w:r>
      <w:r>
        <w:t xml:space="preserve">, čo sa odráža na výške zárobkov v dominantne feminizovaných odvetviach. </w:t>
      </w:r>
      <w:r w:rsidRPr="00536332">
        <w:t xml:space="preserve">Napriek </w:t>
      </w:r>
      <w:r>
        <w:t xml:space="preserve">teda </w:t>
      </w:r>
      <w:r w:rsidRPr="00536332">
        <w:t>veľmi dobrej vzdelanostnej úrovne žien nevedie táto k vyrovnávaniu zárobkov</w:t>
      </w:r>
      <w:r>
        <w:t xml:space="preserve">, respektíve len k veľmi pomalému poklesu tohto rozdielu. </w:t>
      </w:r>
    </w:p>
    <w:p w:rsidR="006F5C86" w:rsidRDefault="006F5C86" w:rsidP="0017792F">
      <w:pPr>
        <w:pStyle w:val="Default"/>
      </w:pPr>
      <w:r>
        <w:t>Nasledujúca tabuľka uvádza najvyššie rodové mzdové rozdiely a potvrdzuje predchádzajúce zistenia, že najvyšší rozdiel je pri vysoko kvalifikovaných prácach s vysokoškolským vzdelaním.</w:t>
      </w:r>
      <w:r w:rsidR="00B67735">
        <w:t xml:space="preserve"> Najväčšie rozdiely sú už dlhodobo vo finančnom a poisťovacom sektore, ale i v silne feminizovanej oblasti ako je zdravotníctvo a sociálna pomoc.</w:t>
      </w:r>
    </w:p>
    <w:p w:rsidR="006F5C86" w:rsidRDefault="006F5C86" w:rsidP="006F5C86">
      <w:pPr>
        <w:pStyle w:val="Popis"/>
      </w:pPr>
      <w:r w:rsidRPr="004F7275">
        <w:t xml:space="preserve">Tabuľka </w:t>
      </w:r>
      <w:r w:rsidR="009F7A61">
        <w:fldChar w:fldCharType="begin"/>
      </w:r>
      <w:r w:rsidR="009F7A61">
        <w:instrText xml:space="preserve"> SEQ Tabuľka \* ARABIC </w:instrText>
      </w:r>
      <w:r w:rsidR="009F7A61">
        <w:fldChar w:fldCharType="separate"/>
      </w:r>
      <w:r w:rsidR="004E53CF">
        <w:rPr>
          <w:noProof/>
        </w:rPr>
        <w:t>5</w:t>
      </w:r>
      <w:r w:rsidR="009F7A61">
        <w:rPr>
          <w:noProof/>
        </w:rPr>
        <w:fldChar w:fldCharType="end"/>
      </w:r>
      <w:r>
        <w:t xml:space="preserve"> </w:t>
      </w:r>
      <w:r w:rsidRPr="000114B5">
        <w:t>Priemerný hodinový zárobok podľa pohlavia a</w:t>
      </w:r>
      <w:r w:rsidR="00C56C00">
        <w:t> hlavnej triedy ISCO v podnikateľskej sfére</w:t>
      </w:r>
      <w:r w:rsidRPr="000114B5">
        <w:t xml:space="preserve"> </w:t>
      </w:r>
      <w:r>
        <w:t>v eur/hod</w:t>
      </w:r>
    </w:p>
    <w:tbl>
      <w:tblPr>
        <w:tblStyle w:val="Strednpodfarbenie1"/>
        <w:tblW w:w="8729" w:type="dxa"/>
        <w:tblLayout w:type="fixed"/>
        <w:tblLook w:val="04A0" w:firstRow="1" w:lastRow="0" w:firstColumn="1" w:lastColumn="0" w:noHBand="0" w:noVBand="1"/>
      </w:tblPr>
      <w:tblGrid>
        <w:gridCol w:w="3083"/>
        <w:gridCol w:w="851"/>
        <w:gridCol w:w="708"/>
        <w:gridCol w:w="853"/>
        <w:gridCol w:w="709"/>
        <w:gridCol w:w="850"/>
        <w:gridCol w:w="708"/>
        <w:gridCol w:w="940"/>
        <w:gridCol w:w="27"/>
      </w:tblGrid>
      <w:tr w:rsidR="00C56C00" w:rsidRPr="00C56C00" w:rsidTr="00C56C0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7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vMerge w:val="restart"/>
            <w:noWrap/>
            <w:hideMark/>
          </w:tcPr>
          <w:p w:rsidR="00C56C00" w:rsidRDefault="00C56C00" w:rsidP="00C56C00">
            <w:pPr>
              <w:shd w:val="clear" w:color="auto" w:fill="auto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</w:p>
          <w:p w:rsidR="00C56C00" w:rsidRDefault="00C56C00" w:rsidP="00C56C00">
            <w:pPr>
              <w:shd w:val="clear" w:color="auto" w:fill="auto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 xml:space="preserve">Hlavná trieda </w:t>
            </w:r>
          </w:p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SK ISCO-08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Spolu</w:t>
            </w:r>
          </w:p>
        </w:tc>
        <w:tc>
          <w:tcPr>
            <w:tcW w:w="3120" w:type="dxa"/>
            <w:gridSpan w:val="4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Pohlavie</w:t>
            </w:r>
          </w:p>
        </w:tc>
        <w:tc>
          <w:tcPr>
            <w:tcW w:w="940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Podiel</w:t>
            </w:r>
          </w:p>
        </w:tc>
      </w:tr>
      <w:tr w:rsidR="00C56C00" w:rsidRPr="00C56C00" w:rsidTr="00C56C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vMerge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</w:p>
        </w:tc>
        <w:tc>
          <w:tcPr>
            <w:tcW w:w="1562" w:type="dxa"/>
            <w:gridSpan w:val="2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muži</w:t>
            </w:r>
          </w:p>
        </w:tc>
        <w:tc>
          <w:tcPr>
            <w:tcW w:w="1558" w:type="dxa"/>
            <w:gridSpan w:val="2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ženy</w:t>
            </w:r>
          </w:p>
        </w:tc>
        <w:tc>
          <w:tcPr>
            <w:tcW w:w="940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priemeru</w:t>
            </w:r>
          </w:p>
        </w:tc>
      </w:tr>
      <w:tr w:rsidR="00C56C00" w:rsidRPr="00C56C00" w:rsidTr="00C56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vMerge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</w:p>
        </w:tc>
        <w:tc>
          <w:tcPr>
            <w:tcW w:w="851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priemer</w:t>
            </w:r>
          </w:p>
        </w:tc>
        <w:tc>
          <w:tcPr>
            <w:tcW w:w="708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ind w:right="-11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medián</w:t>
            </w:r>
          </w:p>
        </w:tc>
        <w:tc>
          <w:tcPr>
            <w:tcW w:w="853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ind w:right="-250" w:hanging="10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priemer</w:t>
            </w:r>
          </w:p>
        </w:tc>
        <w:tc>
          <w:tcPr>
            <w:tcW w:w="709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medián</w:t>
            </w:r>
          </w:p>
        </w:tc>
        <w:tc>
          <w:tcPr>
            <w:tcW w:w="850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ind w:right="-10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priemer</w:t>
            </w:r>
          </w:p>
        </w:tc>
        <w:tc>
          <w:tcPr>
            <w:tcW w:w="708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ind w:right="-1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medián</w:t>
            </w:r>
          </w:p>
        </w:tc>
        <w:tc>
          <w:tcPr>
            <w:tcW w:w="967" w:type="dxa"/>
            <w:gridSpan w:val="2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ženy/</w:t>
            </w:r>
          </w:p>
        </w:tc>
      </w:tr>
      <w:tr w:rsidR="00C56C00" w:rsidRPr="00C56C00" w:rsidTr="00C5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vMerge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eastAsia="sk-SK" w:bidi="ar-SA"/>
              </w:rPr>
            </w:pPr>
            <w:r w:rsidRPr="00C56C00">
              <w:rPr>
                <w:rFonts w:asciiTheme="majorHAnsi" w:hAnsiTheme="majorHAnsi"/>
                <w:sz w:val="16"/>
                <w:szCs w:val="16"/>
                <w:lang w:eastAsia="sk-SK" w:bidi="ar-SA"/>
              </w:rPr>
              <w:t>[EUR/hod]</w:t>
            </w:r>
          </w:p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eastAsia="sk-SK" w:bidi="ar-SA"/>
              </w:rPr>
            </w:pPr>
          </w:p>
        </w:tc>
        <w:tc>
          <w:tcPr>
            <w:tcW w:w="1562" w:type="dxa"/>
            <w:gridSpan w:val="2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eastAsia="sk-SK" w:bidi="ar-SA"/>
              </w:rPr>
            </w:pPr>
            <w:r w:rsidRPr="00C56C00">
              <w:rPr>
                <w:rFonts w:asciiTheme="majorHAnsi" w:hAnsiTheme="majorHAnsi"/>
                <w:sz w:val="16"/>
                <w:szCs w:val="16"/>
                <w:lang w:eastAsia="sk-SK" w:bidi="ar-SA"/>
              </w:rPr>
              <w:t>[EUR/hod]</w:t>
            </w:r>
          </w:p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eastAsia="sk-SK" w:bidi="ar-SA"/>
              </w:rPr>
            </w:pPr>
          </w:p>
        </w:tc>
        <w:tc>
          <w:tcPr>
            <w:tcW w:w="1558" w:type="dxa"/>
            <w:gridSpan w:val="2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eastAsia="sk-SK" w:bidi="ar-SA"/>
              </w:rPr>
            </w:pPr>
            <w:r w:rsidRPr="00C56C00">
              <w:rPr>
                <w:rFonts w:asciiTheme="majorHAnsi" w:hAnsiTheme="majorHAnsi"/>
                <w:sz w:val="16"/>
                <w:szCs w:val="16"/>
                <w:lang w:eastAsia="sk-SK" w:bidi="ar-SA"/>
              </w:rPr>
              <w:t>[EUR/hod]</w:t>
            </w:r>
          </w:p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eastAsia="sk-SK" w:bidi="ar-SA"/>
              </w:rPr>
            </w:pPr>
          </w:p>
        </w:tc>
        <w:tc>
          <w:tcPr>
            <w:tcW w:w="967" w:type="dxa"/>
            <w:gridSpan w:val="2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muži</w:t>
            </w:r>
          </w:p>
        </w:tc>
      </w:tr>
      <w:tr w:rsidR="00C56C00" w:rsidRPr="00C56C00" w:rsidTr="00C56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Spolu</w:t>
            </w:r>
          </w:p>
        </w:tc>
        <w:tc>
          <w:tcPr>
            <w:tcW w:w="851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5,97</w:t>
            </w:r>
          </w:p>
        </w:tc>
        <w:tc>
          <w:tcPr>
            <w:tcW w:w="708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4,70</w:t>
            </w:r>
          </w:p>
        </w:tc>
        <w:tc>
          <w:tcPr>
            <w:tcW w:w="853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6,50</w:t>
            </w:r>
          </w:p>
        </w:tc>
        <w:tc>
          <w:tcPr>
            <w:tcW w:w="709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5,08</w:t>
            </w:r>
          </w:p>
        </w:tc>
        <w:tc>
          <w:tcPr>
            <w:tcW w:w="850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5,24</w:t>
            </w:r>
          </w:p>
        </w:tc>
        <w:tc>
          <w:tcPr>
            <w:tcW w:w="708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4,22</w:t>
            </w:r>
          </w:p>
        </w:tc>
        <w:tc>
          <w:tcPr>
            <w:tcW w:w="967" w:type="dxa"/>
            <w:gridSpan w:val="2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b/>
                <w:sz w:val="18"/>
                <w:szCs w:val="18"/>
                <w:lang w:eastAsia="sk-SK" w:bidi="ar-SA"/>
              </w:rPr>
              <w:t>0,81</w:t>
            </w:r>
          </w:p>
        </w:tc>
      </w:tr>
      <w:tr w:rsidR="00C56C00" w:rsidRPr="00C56C00" w:rsidTr="00B6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noWrap/>
            <w:hideMark/>
          </w:tcPr>
          <w:p w:rsidR="00C56C00" w:rsidRPr="00B67735" w:rsidRDefault="00C56C00" w:rsidP="00C56C00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B67735">
              <w:rPr>
                <w:rFonts w:asciiTheme="majorHAnsi" w:hAnsiTheme="majorHAnsi"/>
                <w:sz w:val="18"/>
                <w:szCs w:val="18"/>
                <w:lang w:eastAsia="sk-SK" w:bidi="ar-SA"/>
              </w:rPr>
              <w:t>1 Zákonodarcovia, riadiaci pracovníci</w:t>
            </w:r>
          </w:p>
        </w:tc>
        <w:tc>
          <w:tcPr>
            <w:tcW w:w="851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13,96</w:t>
            </w:r>
          </w:p>
        </w:tc>
        <w:tc>
          <w:tcPr>
            <w:tcW w:w="708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9,65</w:t>
            </w:r>
          </w:p>
        </w:tc>
        <w:tc>
          <w:tcPr>
            <w:tcW w:w="853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15,32</w:t>
            </w:r>
          </w:p>
        </w:tc>
        <w:tc>
          <w:tcPr>
            <w:tcW w:w="709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10,59</w:t>
            </w:r>
          </w:p>
        </w:tc>
        <w:tc>
          <w:tcPr>
            <w:tcW w:w="850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11,16</w:t>
            </w:r>
          </w:p>
        </w:tc>
        <w:tc>
          <w:tcPr>
            <w:tcW w:w="708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7,90</w:t>
            </w:r>
          </w:p>
        </w:tc>
        <w:tc>
          <w:tcPr>
            <w:tcW w:w="967" w:type="dxa"/>
            <w:gridSpan w:val="2"/>
            <w:shd w:val="clear" w:color="auto" w:fill="FFFF00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b/>
                <w:sz w:val="18"/>
                <w:szCs w:val="18"/>
                <w:lang w:eastAsia="sk-SK" w:bidi="ar-SA"/>
              </w:rPr>
              <w:t>0,73</w:t>
            </w:r>
          </w:p>
        </w:tc>
      </w:tr>
      <w:tr w:rsidR="00C56C00" w:rsidRPr="00C56C00" w:rsidTr="00C56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noWrap/>
            <w:hideMark/>
          </w:tcPr>
          <w:p w:rsidR="00C56C00" w:rsidRPr="00B67735" w:rsidRDefault="00C56C00" w:rsidP="00C56C00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B67735">
              <w:rPr>
                <w:rFonts w:asciiTheme="majorHAnsi" w:hAnsiTheme="majorHAnsi"/>
                <w:sz w:val="18"/>
                <w:szCs w:val="18"/>
                <w:lang w:eastAsia="sk-SK" w:bidi="ar-SA"/>
              </w:rPr>
              <w:t>2 Špecialisti</w:t>
            </w:r>
          </w:p>
        </w:tc>
        <w:tc>
          <w:tcPr>
            <w:tcW w:w="851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9,49</w:t>
            </w:r>
          </w:p>
        </w:tc>
        <w:tc>
          <w:tcPr>
            <w:tcW w:w="708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8,13</w:t>
            </w:r>
          </w:p>
        </w:tc>
        <w:tc>
          <w:tcPr>
            <w:tcW w:w="853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10,62</w:t>
            </w:r>
          </w:p>
        </w:tc>
        <w:tc>
          <w:tcPr>
            <w:tcW w:w="709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9,13</w:t>
            </w:r>
          </w:p>
        </w:tc>
        <w:tc>
          <w:tcPr>
            <w:tcW w:w="850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8,23</w:t>
            </w:r>
          </w:p>
        </w:tc>
        <w:tc>
          <w:tcPr>
            <w:tcW w:w="708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7,19</w:t>
            </w:r>
          </w:p>
        </w:tc>
        <w:tc>
          <w:tcPr>
            <w:tcW w:w="967" w:type="dxa"/>
            <w:gridSpan w:val="2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b/>
                <w:sz w:val="18"/>
                <w:szCs w:val="18"/>
                <w:lang w:eastAsia="sk-SK" w:bidi="ar-SA"/>
              </w:rPr>
              <w:t>0,77</w:t>
            </w:r>
          </w:p>
        </w:tc>
      </w:tr>
      <w:tr w:rsidR="00C56C00" w:rsidRPr="00C56C00" w:rsidTr="00C5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noWrap/>
            <w:hideMark/>
          </w:tcPr>
          <w:p w:rsidR="00C56C00" w:rsidRPr="00B67735" w:rsidRDefault="00C56C00" w:rsidP="00C56C00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B67735">
              <w:rPr>
                <w:rFonts w:asciiTheme="majorHAnsi" w:hAnsiTheme="majorHAnsi"/>
                <w:sz w:val="18"/>
                <w:szCs w:val="18"/>
                <w:lang w:eastAsia="sk-SK" w:bidi="ar-SA"/>
              </w:rPr>
              <w:t>3 Technici a odborní pracovníci</w:t>
            </w:r>
          </w:p>
        </w:tc>
        <w:tc>
          <w:tcPr>
            <w:tcW w:w="851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6,95</w:t>
            </w:r>
          </w:p>
        </w:tc>
        <w:tc>
          <w:tcPr>
            <w:tcW w:w="708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6,17</w:t>
            </w:r>
          </w:p>
        </w:tc>
        <w:tc>
          <w:tcPr>
            <w:tcW w:w="853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7,65</w:t>
            </w:r>
          </w:p>
        </w:tc>
        <w:tc>
          <w:tcPr>
            <w:tcW w:w="709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6,74</w:t>
            </w:r>
          </w:p>
        </w:tc>
        <w:tc>
          <w:tcPr>
            <w:tcW w:w="850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6,23</w:t>
            </w:r>
          </w:p>
        </w:tc>
        <w:tc>
          <w:tcPr>
            <w:tcW w:w="708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5,61</w:t>
            </w:r>
          </w:p>
        </w:tc>
        <w:tc>
          <w:tcPr>
            <w:tcW w:w="967" w:type="dxa"/>
            <w:gridSpan w:val="2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b/>
                <w:sz w:val="18"/>
                <w:szCs w:val="18"/>
                <w:lang w:eastAsia="sk-SK" w:bidi="ar-SA"/>
              </w:rPr>
              <w:t>0,81</w:t>
            </w:r>
          </w:p>
        </w:tc>
      </w:tr>
      <w:tr w:rsidR="00C56C00" w:rsidRPr="00C56C00" w:rsidTr="00C56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noWrap/>
            <w:hideMark/>
          </w:tcPr>
          <w:p w:rsidR="00C56C00" w:rsidRPr="00B67735" w:rsidRDefault="00C56C00" w:rsidP="00C56C00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B67735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 Administratívni pracovníci</w:t>
            </w:r>
          </w:p>
        </w:tc>
        <w:tc>
          <w:tcPr>
            <w:tcW w:w="851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5,01</w:t>
            </w:r>
          </w:p>
        </w:tc>
        <w:tc>
          <w:tcPr>
            <w:tcW w:w="708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4,47</w:t>
            </w:r>
          </w:p>
        </w:tc>
        <w:tc>
          <w:tcPr>
            <w:tcW w:w="853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5,33</w:t>
            </w:r>
          </w:p>
        </w:tc>
        <w:tc>
          <w:tcPr>
            <w:tcW w:w="709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4,71</w:t>
            </w:r>
          </w:p>
        </w:tc>
        <w:tc>
          <w:tcPr>
            <w:tcW w:w="850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4,86</w:t>
            </w:r>
          </w:p>
        </w:tc>
        <w:tc>
          <w:tcPr>
            <w:tcW w:w="708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4,36</w:t>
            </w:r>
          </w:p>
        </w:tc>
        <w:tc>
          <w:tcPr>
            <w:tcW w:w="967" w:type="dxa"/>
            <w:gridSpan w:val="2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b/>
                <w:sz w:val="18"/>
                <w:szCs w:val="18"/>
                <w:lang w:eastAsia="sk-SK" w:bidi="ar-SA"/>
              </w:rPr>
              <w:t>0,91</w:t>
            </w:r>
          </w:p>
        </w:tc>
      </w:tr>
      <w:tr w:rsidR="00C56C00" w:rsidRPr="00C56C00" w:rsidTr="00C5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noWrap/>
            <w:hideMark/>
          </w:tcPr>
          <w:p w:rsidR="00C56C00" w:rsidRPr="00B67735" w:rsidRDefault="00C56C00" w:rsidP="00C56C00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B67735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 Pracovníci v službách a obchode</w:t>
            </w:r>
          </w:p>
        </w:tc>
        <w:tc>
          <w:tcPr>
            <w:tcW w:w="851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3,87</w:t>
            </w:r>
          </w:p>
        </w:tc>
        <w:tc>
          <w:tcPr>
            <w:tcW w:w="708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3,41</w:t>
            </w:r>
          </w:p>
        </w:tc>
        <w:tc>
          <w:tcPr>
            <w:tcW w:w="853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4,20</w:t>
            </w:r>
          </w:p>
        </w:tc>
        <w:tc>
          <w:tcPr>
            <w:tcW w:w="709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3,61</w:t>
            </w:r>
          </w:p>
        </w:tc>
        <w:tc>
          <w:tcPr>
            <w:tcW w:w="850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3,66</w:t>
            </w:r>
          </w:p>
        </w:tc>
        <w:tc>
          <w:tcPr>
            <w:tcW w:w="708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3,34</w:t>
            </w:r>
          </w:p>
        </w:tc>
        <w:tc>
          <w:tcPr>
            <w:tcW w:w="967" w:type="dxa"/>
            <w:gridSpan w:val="2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b/>
                <w:sz w:val="18"/>
                <w:szCs w:val="18"/>
                <w:lang w:eastAsia="sk-SK" w:bidi="ar-SA"/>
              </w:rPr>
              <w:t>0,87</w:t>
            </w:r>
          </w:p>
        </w:tc>
      </w:tr>
      <w:tr w:rsidR="00C56C00" w:rsidRPr="00C56C00" w:rsidTr="00C56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noWrap/>
            <w:hideMark/>
          </w:tcPr>
          <w:p w:rsidR="00C56C00" w:rsidRPr="00B67735" w:rsidRDefault="00C56C00" w:rsidP="00C56C00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B67735">
              <w:rPr>
                <w:rFonts w:asciiTheme="majorHAnsi" w:hAnsiTheme="majorHAnsi"/>
                <w:sz w:val="18"/>
                <w:szCs w:val="18"/>
                <w:lang w:eastAsia="sk-SK" w:bidi="ar-SA"/>
              </w:rPr>
              <w:t xml:space="preserve">6 Kvalifikovaní prac. v </w:t>
            </w:r>
            <w:proofErr w:type="spellStart"/>
            <w:r w:rsidRPr="00B67735">
              <w:rPr>
                <w:rFonts w:asciiTheme="majorHAnsi" w:hAnsiTheme="majorHAnsi"/>
                <w:sz w:val="18"/>
                <w:szCs w:val="18"/>
                <w:lang w:eastAsia="sk-SK" w:bidi="ar-SA"/>
              </w:rPr>
              <w:t>poľnohosp</w:t>
            </w:r>
            <w:proofErr w:type="spellEnd"/>
            <w:r w:rsidRPr="00B67735">
              <w:rPr>
                <w:rFonts w:asciiTheme="majorHAnsi" w:hAnsiTheme="majorHAnsi"/>
                <w:sz w:val="18"/>
                <w:szCs w:val="18"/>
                <w:lang w:eastAsia="sk-SK" w:bidi="ar-SA"/>
              </w:rPr>
              <w:t xml:space="preserve">., lesníctve a </w:t>
            </w:r>
            <w:proofErr w:type="spellStart"/>
            <w:r w:rsidRPr="00B67735">
              <w:rPr>
                <w:rFonts w:asciiTheme="majorHAnsi" w:hAnsiTheme="majorHAnsi"/>
                <w:sz w:val="18"/>
                <w:szCs w:val="18"/>
                <w:lang w:eastAsia="sk-SK" w:bidi="ar-SA"/>
              </w:rPr>
              <w:t>rybárst</w:t>
            </w:r>
            <w:proofErr w:type="spellEnd"/>
            <w:r w:rsidRPr="00B67735">
              <w:rPr>
                <w:rFonts w:asciiTheme="majorHAnsi" w:hAnsiTheme="majorHAnsi"/>
                <w:sz w:val="18"/>
                <w:szCs w:val="18"/>
                <w:lang w:eastAsia="sk-SK" w:bidi="ar-SA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3,99</w:t>
            </w:r>
          </w:p>
        </w:tc>
        <w:tc>
          <w:tcPr>
            <w:tcW w:w="708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3,74</w:t>
            </w:r>
          </w:p>
        </w:tc>
        <w:tc>
          <w:tcPr>
            <w:tcW w:w="853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4,25</w:t>
            </w:r>
          </w:p>
        </w:tc>
        <w:tc>
          <w:tcPr>
            <w:tcW w:w="709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4,00</w:t>
            </w:r>
          </w:p>
        </w:tc>
        <w:tc>
          <w:tcPr>
            <w:tcW w:w="850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3,57</w:t>
            </w:r>
          </w:p>
        </w:tc>
        <w:tc>
          <w:tcPr>
            <w:tcW w:w="708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3,41</w:t>
            </w:r>
          </w:p>
        </w:tc>
        <w:tc>
          <w:tcPr>
            <w:tcW w:w="967" w:type="dxa"/>
            <w:gridSpan w:val="2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b/>
                <w:sz w:val="18"/>
                <w:szCs w:val="18"/>
                <w:lang w:eastAsia="sk-SK" w:bidi="ar-SA"/>
              </w:rPr>
              <w:t>0,84</w:t>
            </w:r>
          </w:p>
        </w:tc>
      </w:tr>
      <w:tr w:rsidR="00C56C00" w:rsidRPr="00C56C00" w:rsidTr="00B6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noWrap/>
            <w:hideMark/>
          </w:tcPr>
          <w:p w:rsidR="00C56C00" w:rsidRPr="00B67735" w:rsidRDefault="00C56C00" w:rsidP="00C56C00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B67735">
              <w:rPr>
                <w:rFonts w:asciiTheme="majorHAnsi" w:hAnsiTheme="majorHAnsi"/>
                <w:sz w:val="18"/>
                <w:szCs w:val="18"/>
                <w:lang w:eastAsia="sk-SK" w:bidi="ar-SA"/>
              </w:rPr>
              <w:t>7 Kvalifikovaní pracovníci a remeselníci</w:t>
            </w:r>
          </w:p>
        </w:tc>
        <w:tc>
          <w:tcPr>
            <w:tcW w:w="851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5,20</w:t>
            </w:r>
          </w:p>
        </w:tc>
        <w:tc>
          <w:tcPr>
            <w:tcW w:w="708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4,80</w:t>
            </w:r>
          </w:p>
        </w:tc>
        <w:tc>
          <w:tcPr>
            <w:tcW w:w="853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5,49</w:t>
            </w:r>
          </w:p>
        </w:tc>
        <w:tc>
          <w:tcPr>
            <w:tcW w:w="709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5,08</w:t>
            </w:r>
          </w:p>
        </w:tc>
        <w:tc>
          <w:tcPr>
            <w:tcW w:w="850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4,04</w:t>
            </w:r>
          </w:p>
        </w:tc>
        <w:tc>
          <w:tcPr>
            <w:tcW w:w="708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3,71</w:t>
            </w:r>
          </w:p>
        </w:tc>
        <w:tc>
          <w:tcPr>
            <w:tcW w:w="967" w:type="dxa"/>
            <w:gridSpan w:val="2"/>
            <w:shd w:val="clear" w:color="auto" w:fill="FFFF00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b/>
                <w:sz w:val="18"/>
                <w:szCs w:val="18"/>
                <w:lang w:eastAsia="sk-SK" w:bidi="ar-SA"/>
              </w:rPr>
              <w:t>0,74</w:t>
            </w:r>
          </w:p>
        </w:tc>
      </w:tr>
      <w:tr w:rsidR="00C56C00" w:rsidRPr="00C56C00" w:rsidTr="00C56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noWrap/>
            <w:hideMark/>
          </w:tcPr>
          <w:p w:rsidR="00C56C00" w:rsidRPr="00B67735" w:rsidRDefault="00C56C00" w:rsidP="00C56C00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B67735">
              <w:rPr>
                <w:rFonts w:asciiTheme="majorHAnsi" w:hAnsiTheme="majorHAnsi"/>
                <w:sz w:val="18"/>
                <w:szCs w:val="18"/>
                <w:lang w:eastAsia="sk-SK" w:bidi="ar-SA"/>
              </w:rPr>
              <w:t>8 Operátori a montéri strojov a zariadení</w:t>
            </w:r>
          </w:p>
        </w:tc>
        <w:tc>
          <w:tcPr>
            <w:tcW w:w="851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4,78</w:t>
            </w:r>
          </w:p>
        </w:tc>
        <w:tc>
          <w:tcPr>
            <w:tcW w:w="708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4,43</w:t>
            </w:r>
          </w:p>
        </w:tc>
        <w:tc>
          <w:tcPr>
            <w:tcW w:w="853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5,04</w:t>
            </w:r>
          </w:p>
        </w:tc>
        <w:tc>
          <w:tcPr>
            <w:tcW w:w="709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4,68</w:t>
            </w:r>
          </w:p>
        </w:tc>
        <w:tc>
          <w:tcPr>
            <w:tcW w:w="850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4,08</w:t>
            </w:r>
          </w:p>
        </w:tc>
        <w:tc>
          <w:tcPr>
            <w:tcW w:w="708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3,86</w:t>
            </w:r>
          </w:p>
        </w:tc>
        <w:tc>
          <w:tcPr>
            <w:tcW w:w="967" w:type="dxa"/>
            <w:gridSpan w:val="2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b/>
                <w:sz w:val="18"/>
                <w:szCs w:val="18"/>
                <w:lang w:eastAsia="sk-SK" w:bidi="ar-SA"/>
              </w:rPr>
              <w:t>0,81</w:t>
            </w:r>
          </w:p>
        </w:tc>
      </w:tr>
      <w:tr w:rsidR="00C56C00" w:rsidRPr="00C56C00" w:rsidTr="00C5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3" w:type="dxa"/>
            <w:noWrap/>
            <w:hideMark/>
          </w:tcPr>
          <w:p w:rsidR="00C56C00" w:rsidRPr="00B67735" w:rsidRDefault="00C56C00" w:rsidP="00C56C00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B67735">
              <w:rPr>
                <w:rFonts w:asciiTheme="majorHAnsi" w:hAnsiTheme="majorHAnsi"/>
                <w:sz w:val="18"/>
                <w:szCs w:val="18"/>
                <w:lang w:eastAsia="sk-SK" w:bidi="ar-SA"/>
              </w:rPr>
              <w:t>9 Pomocní a nekvalifikovaní pracovníci</w:t>
            </w:r>
          </w:p>
        </w:tc>
        <w:tc>
          <w:tcPr>
            <w:tcW w:w="851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3,63</w:t>
            </w:r>
          </w:p>
        </w:tc>
        <w:tc>
          <w:tcPr>
            <w:tcW w:w="708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3,29</w:t>
            </w:r>
          </w:p>
        </w:tc>
        <w:tc>
          <w:tcPr>
            <w:tcW w:w="853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3,94</w:t>
            </w:r>
          </w:p>
        </w:tc>
        <w:tc>
          <w:tcPr>
            <w:tcW w:w="709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3,68</w:t>
            </w:r>
          </w:p>
        </w:tc>
        <w:tc>
          <w:tcPr>
            <w:tcW w:w="850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3,28</w:t>
            </w:r>
          </w:p>
        </w:tc>
        <w:tc>
          <w:tcPr>
            <w:tcW w:w="708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2,99</w:t>
            </w:r>
          </w:p>
        </w:tc>
        <w:tc>
          <w:tcPr>
            <w:tcW w:w="967" w:type="dxa"/>
            <w:gridSpan w:val="2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b/>
                <w:sz w:val="18"/>
                <w:szCs w:val="18"/>
                <w:lang w:eastAsia="sk-SK" w:bidi="ar-SA"/>
              </w:rPr>
              <w:t>0,83</w:t>
            </w:r>
          </w:p>
        </w:tc>
      </w:tr>
    </w:tbl>
    <w:p w:rsidR="00C56C00" w:rsidRDefault="00C56C00" w:rsidP="00C56C00">
      <w:pPr>
        <w:pStyle w:val="Popis"/>
        <w:rPr>
          <w:noProof/>
          <w:lang w:eastAsia="sk-SK" w:bidi="ar-SA"/>
        </w:rPr>
      </w:pPr>
      <w:r>
        <w:t xml:space="preserve">Zdroj: Trexima </w:t>
      </w:r>
      <w:r w:rsidRPr="0061402E">
        <w:t>ISCP - ISPZ</w:t>
      </w:r>
      <w:r w:rsidRPr="0061402E">
        <w:tab/>
        <w:t>4. štvrťrok 2015</w:t>
      </w:r>
    </w:p>
    <w:p w:rsidR="00BD1C83" w:rsidRDefault="00BD1C83">
      <w:r>
        <w:rPr>
          <w:b/>
          <w:bCs/>
        </w:rPr>
        <w:br w:type="page"/>
      </w:r>
    </w:p>
    <w:tbl>
      <w:tblPr>
        <w:tblStyle w:val="Strednpodfarbenie1"/>
        <w:tblW w:w="9809" w:type="dxa"/>
        <w:tblLook w:val="04A0" w:firstRow="1" w:lastRow="0" w:firstColumn="1" w:lastColumn="0" w:noHBand="0" w:noVBand="1"/>
      </w:tblPr>
      <w:tblGrid>
        <w:gridCol w:w="3085"/>
        <w:gridCol w:w="964"/>
        <w:gridCol w:w="964"/>
        <w:gridCol w:w="964"/>
        <w:gridCol w:w="964"/>
        <w:gridCol w:w="964"/>
        <w:gridCol w:w="964"/>
        <w:gridCol w:w="940"/>
      </w:tblGrid>
      <w:tr w:rsidR="00DC0B97" w:rsidRPr="00DC0B97" w:rsidTr="00B6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22"/>
                <w:szCs w:val="18"/>
                <w:lang w:eastAsia="sk-SK" w:bidi="ar-SA"/>
              </w:rPr>
              <w:lastRenderedPageBreak/>
              <w:t>Sekcia SK NACE Rev. 2</w:t>
            </w:r>
          </w:p>
        </w:tc>
        <w:tc>
          <w:tcPr>
            <w:tcW w:w="1928" w:type="dxa"/>
            <w:gridSpan w:val="2"/>
            <w:vMerge w:val="restart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Spolu</w:t>
            </w:r>
          </w:p>
        </w:tc>
        <w:tc>
          <w:tcPr>
            <w:tcW w:w="3856" w:type="dxa"/>
            <w:gridSpan w:val="4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Pohlavie</w:t>
            </w:r>
          </w:p>
        </w:tc>
        <w:tc>
          <w:tcPr>
            <w:tcW w:w="940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Podiel</w:t>
            </w:r>
          </w:p>
        </w:tc>
      </w:tr>
      <w:tr w:rsidR="00DC0B97" w:rsidRPr="00DC0B97" w:rsidTr="00B6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</w:p>
        </w:tc>
        <w:tc>
          <w:tcPr>
            <w:tcW w:w="1928" w:type="dxa"/>
            <w:gridSpan w:val="2"/>
            <w:vMerge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</w:p>
        </w:tc>
        <w:tc>
          <w:tcPr>
            <w:tcW w:w="1928" w:type="dxa"/>
            <w:gridSpan w:val="2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muži</w:t>
            </w:r>
          </w:p>
        </w:tc>
        <w:tc>
          <w:tcPr>
            <w:tcW w:w="1928" w:type="dxa"/>
            <w:gridSpan w:val="2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ženy</w:t>
            </w:r>
          </w:p>
        </w:tc>
        <w:tc>
          <w:tcPr>
            <w:tcW w:w="940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priemeru</w:t>
            </w:r>
          </w:p>
        </w:tc>
      </w:tr>
      <w:tr w:rsidR="00DC0B97" w:rsidRPr="00DC0B97" w:rsidTr="00B67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priemer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medián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priemer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medián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priemer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medián</w:t>
            </w:r>
          </w:p>
        </w:tc>
        <w:tc>
          <w:tcPr>
            <w:tcW w:w="940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ženy/</w:t>
            </w:r>
          </w:p>
        </w:tc>
      </w:tr>
      <w:tr w:rsidR="00DC0B97" w:rsidRPr="00DC0B97" w:rsidTr="00B6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eastAsia="sk-SK" w:bidi="ar-SA"/>
              </w:rPr>
            </w:pPr>
            <w:r w:rsidRPr="00DC0B97">
              <w:rPr>
                <w:rFonts w:asciiTheme="majorHAnsi" w:hAnsiTheme="majorHAnsi"/>
                <w:sz w:val="16"/>
                <w:szCs w:val="16"/>
                <w:lang w:eastAsia="sk-SK" w:bidi="ar-SA"/>
              </w:rPr>
              <w:t>[EUR/hod]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eastAsia="sk-SK" w:bidi="ar-SA"/>
              </w:rPr>
            </w:pPr>
            <w:r w:rsidRPr="00DC0B97">
              <w:rPr>
                <w:rFonts w:asciiTheme="majorHAnsi" w:hAnsiTheme="majorHAnsi"/>
                <w:sz w:val="16"/>
                <w:szCs w:val="16"/>
                <w:lang w:eastAsia="sk-SK" w:bidi="ar-SA"/>
              </w:rPr>
              <w:t>[EUR/hod]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eastAsia="sk-SK" w:bidi="ar-SA"/>
              </w:rPr>
            </w:pPr>
            <w:r w:rsidRPr="00DC0B97">
              <w:rPr>
                <w:rFonts w:asciiTheme="majorHAnsi" w:hAnsiTheme="majorHAnsi"/>
                <w:sz w:val="16"/>
                <w:szCs w:val="16"/>
                <w:lang w:eastAsia="sk-SK" w:bidi="ar-SA"/>
              </w:rPr>
              <w:t>[EUR/hod]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eastAsia="sk-SK" w:bidi="ar-SA"/>
              </w:rPr>
            </w:pPr>
            <w:r w:rsidRPr="00DC0B97">
              <w:rPr>
                <w:rFonts w:asciiTheme="majorHAnsi" w:hAnsiTheme="majorHAnsi"/>
                <w:sz w:val="16"/>
                <w:szCs w:val="16"/>
                <w:lang w:eastAsia="sk-SK" w:bidi="ar-SA"/>
              </w:rPr>
              <w:t>[EUR/hod]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eastAsia="sk-SK" w:bidi="ar-SA"/>
              </w:rPr>
            </w:pPr>
            <w:r w:rsidRPr="00DC0B97">
              <w:rPr>
                <w:rFonts w:asciiTheme="majorHAnsi" w:hAnsiTheme="majorHAnsi"/>
                <w:sz w:val="16"/>
                <w:szCs w:val="16"/>
                <w:lang w:eastAsia="sk-SK" w:bidi="ar-SA"/>
              </w:rPr>
              <w:t>[EUR/hod]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eastAsia="sk-SK" w:bidi="ar-SA"/>
              </w:rPr>
            </w:pPr>
            <w:r w:rsidRPr="00DC0B97">
              <w:rPr>
                <w:rFonts w:asciiTheme="majorHAnsi" w:hAnsiTheme="majorHAnsi"/>
                <w:sz w:val="16"/>
                <w:szCs w:val="16"/>
                <w:lang w:eastAsia="sk-SK" w:bidi="ar-SA"/>
              </w:rPr>
              <w:t>[EUR/hod]</w:t>
            </w:r>
          </w:p>
        </w:tc>
        <w:tc>
          <w:tcPr>
            <w:tcW w:w="940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muži</w:t>
            </w:r>
          </w:p>
        </w:tc>
      </w:tr>
      <w:tr w:rsidR="00DC0B97" w:rsidRPr="00DC0B97" w:rsidTr="00B67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Spolu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5,97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4,70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6,50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5,08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5,24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4,22</w:t>
            </w:r>
          </w:p>
        </w:tc>
        <w:tc>
          <w:tcPr>
            <w:tcW w:w="940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0,81</w:t>
            </w:r>
          </w:p>
        </w:tc>
      </w:tr>
      <w:tr w:rsidR="00DC0B97" w:rsidRPr="00DC0B97" w:rsidTr="00B6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A Poľnohospodárstvo, lesníctvo a rybolov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4,65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4,12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4,81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4,26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4,24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3,70</w:t>
            </w:r>
          </w:p>
        </w:tc>
        <w:tc>
          <w:tcPr>
            <w:tcW w:w="940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0,88</w:t>
            </w:r>
          </w:p>
        </w:tc>
      </w:tr>
      <w:tr w:rsidR="00DC0B97" w:rsidRPr="00DC0B97" w:rsidTr="00B67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B Ťažba a dobývanie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6,52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5,71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6,68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5,83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5,58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4,90</w:t>
            </w:r>
          </w:p>
        </w:tc>
        <w:tc>
          <w:tcPr>
            <w:tcW w:w="940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0,84</w:t>
            </w:r>
          </w:p>
        </w:tc>
      </w:tr>
      <w:tr w:rsidR="00DC0B97" w:rsidRPr="00B67735" w:rsidTr="00B6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 xml:space="preserve">C Priemyselná výroba 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5,99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4,95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6,66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5,55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4,83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4,11</w:t>
            </w:r>
          </w:p>
        </w:tc>
        <w:tc>
          <w:tcPr>
            <w:tcW w:w="940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0,72</w:t>
            </w:r>
          </w:p>
        </w:tc>
      </w:tr>
      <w:tr w:rsidR="00DC0B97" w:rsidRPr="00DC0B97" w:rsidTr="00B67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D Dodávka elektriny, plynu, pary a studeného vzduchu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9,02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7,79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9,14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7,87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8,63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7,51</w:t>
            </w:r>
          </w:p>
        </w:tc>
        <w:tc>
          <w:tcPr>
            <w:tcW w:w="940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0,94</w:t>
            </w:r>
          </w:p>
        </w:tc>
      </w:tr>
      <w:tr w:rsidR="00DC0B97" w:rsidRPr="00DC0B97" w:rsidTr="00B6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 xml:space="preserve">E Dodávka vody; odvod odpad. vôd, </w:t>
            </w:r>
            <w:proofErr w:type="spellStart"/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odstraň</w:t>
            </w:r>
            <w:proofErr w:type="spellEnd"/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. odpadov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5,56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4,77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5,47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4,68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5,87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5,23</w:t>
            </w:r>
          </w:p>
        </w:tc>
        <w:tc>
          <w:tcPr>
            <w:tcW w:w="940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1,07</w:t>
            </w:r>
          </w:p>
        </w:tc>
      </w:tr>
      <w:tr w:rsidR="00DC0B97" w:rsidRPr="00DC0B97" w:rsidTr="00B67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F Stavebníctvo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5,28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4,53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5,29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4,53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5,24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4,52</w:t>
            </w:r>
          </w:p>
        </w:tc>
        <w:tc>
          <w:tcPr>
            <w:tcW w:w="940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0,99</w:t>
            </w:r>
          </w:p>
        </w:tc>
      </w:tr>
      <w:tr w:rsidR="00DC0B97" w:rsidRPr="00DC0B97" w:rsidTr="00B6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 xml:space="preserve">G Veľkoobchod a maloobchod; oprava motor. vozidiel 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5,58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4,34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6,50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4,99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4,81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3,88</w:t>
            </w:r>
          </w:p>
        </w:tc>
        <w:tc>
          <w:tcPr>
            <w:tcW w:w="940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0,74</w:t>
            </w:r>
          </w:p>
        </w:tc>
      </w:tr>
      <w:tr w:rsidR="00DC0B97" w:rsidRPr="00DC0B97" w:rsidTr="00B67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H Doprava a skladovanie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5,35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4,65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5,39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4,68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5,25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4,60</w:t>
            </w:r>
          </w:p>
        </w:tc>
        <w:tc>
          <w:tcPr>
            <w:tcW w:w="940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0,97</w:t>
            </w:r>
          </w:p>
        </w:tc>
      </w:tr>
      <w:tr w:rsidR="00DC0B97" w:rsidRPr="00DC0B97" w:rsidTr="00B6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I Ubytovacie a stravovacie služby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3,58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2,93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3,85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2,94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3,38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2,93</w:t>
            </w:r>
          </w:p>
        </w:tc>
        <w:tc>
          <w:tcPr>
            <w:tcW w:w="940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0,88</w:t>
            </w:r>
          </w:p>
        </w:tc>
      </w:tr>
      <w:tr w:rsidR="00DC0B97" w:rsidRPr="00DC0B97" w:rsidTr="00B67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J Informácie a komunikácia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10,70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8,36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11,76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9,32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8,48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6,89</w:t>
            </w:r>
          </w:p>
        </w:tc>
        <w:tc>
          <w:tcPr>
            <w:tcW w:w="940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0,72</w:t>
            </w:r>
          </w:p>
        </w:tc>
      </w:tr>
      <w:tr w:rsidR="00DC0B97" w:rsidRPr="00DC0B97" w:rsidTr="00B6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K Finančné a poisťovacie činnosti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10,36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7,84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14,34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10,47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8,67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7,09</w:t>
            </w:r>
          </w:p>
        </w:tc>
        <w:tc>
          <w:tcPr>
            <w:tcW w:w="940" w:type="dxa"/>
            <w:shd w:val="clear" w:color="auto" w:fill="FFFF00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b/>
                <w:sz w:val="18"/>
                <w:szCs w:val="18"/>
                <w:lang w:eastAsia="sk-SK" w:bidi="ar-SA"/>
              </w:rPr>
              <w:t>0,60</w:t>
            </w:r>
          </w:p>
        </w:tc>
      </w:tr>
      <w:tr w:rsidR="00DC0B97" w:rsidRPr="00DC0B97" w:rsidTr="00B67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L Činnosti v oblasti nehnuteľností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5,93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4,61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6,82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4,88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5,10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4,39</w:t>
            </w:r>
          </w:p>
        </w:tc>
        <w:tc>
          <w:tcPr>
            <w:tcW w:w="940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0,75</w:t>
            </w:r>
          </w:p>
        </w:tc>
      </w:tr>
      <w:tr w:rsidR="00DC0B97" w:rsidRPr="00DC0B97" w:rsidTr="00B6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M Odborné, vedecké a technické činnosti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7,49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5,79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8,15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6,09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6,80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5,58</w:t>
            </w:r>
          </w:p>
        </w:tc>
        <w:tc>
          <w:tcPr>
            <w:tcW w:w="940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0,83</w:t>
            </w:r>
          </w:p>
        </w:tc>
      </w:tr>
      <w:tr w:rsidR="00DC0B97" w:rsidRPr="00DC0B97" w:rsidTr="00B67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N Administratívne a podporné služby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4,31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3,40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4,42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3,42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4,14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3,38</w:t>
            </w:r>
          </w:p>
        </w:tc>
        <w:tc>
          <w:tcPr>
            <w:tcW w:w="940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0,94</w:t>
            </w:r>
          </w:p>
        </w:tc>
      </w:tr>
      <w:tr w:rsidR="00DC0B97" w:rsidRPr="00DC0B97" w:rsidTr="00B6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 xml:space="preserve">O Verejná správa a obrana; povinné sociálne </w:t>
            </w:r>
            <w:proofErr w:type="spellStart"/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zabezp</w:t>
            </w:r>
            <w:proofErr w:type="spellEnd"/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.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8,42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7,04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8,74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6,72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8,26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7,11</w:t>
            </w:r>
          </w:p>
        </w:tc>
        <w:tc>
          <w:tcPr>
            <w:tcW w:w="940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0,94</w:t>
            </w:r>
          </w:p>
        </w:tc>
      </w:tr>
      <w:tr w:rsidR="00DC0B97" w:rsidRPr="00DC0B97" w:rsidTr="00B67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P Vzdelávanie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4,92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4,15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5,23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4,18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4,68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4,13</w:t>
            </w:r>
          </w:p>
        </w:tc>
        <w:tc>
          <w:tcPr>
            <w:tcW w:w="940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0,90</w:t>
            </w:r>
          </w:p>
        </w:tc>
      </w:tr>
      <w:tr w:rsidR="00DC0B97" w:rsidRPr="00DC0B97" w:rsidTr="00B6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Q Zdravotníctvo a sociálna pomoc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6,08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4,61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7,78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4,66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5,56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4,59</w:t>
            </w:r>
          </w:p>
        </w:tc>
        <w:tc>
          <w:tcPr>
            <w:tcW w:w="940" w:type="dxa"/>
            <w:shd w:val="clear" w:color="auto" w:fill="FFFF00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b/>
                <w:sz w:val="18"/>
                <w:szCs w:val="18"/>
                <w:lang w:eastAsia="sk-SK" w:bidi="ar-SA"/>
              </w:rPr>
              <w:t>0,71</w:t>
            </w:r>
          </w:p>
        </w:tc>
      </w:tr>
      <w:tr w:rsidR="00DC0B97" w:rsidRPr="00DC0B97" w:rsidTr="00B67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 xml:space="preserve">R Umenie, zábava a rekreácia 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4,69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3,48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5,89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4,35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3,97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3,27</w:t>
            </w:r>
          </w:p>
        </w:tc>
        <w:tc>
          <w:tcPr>
            <w:tcW w:w="940" w:type="dxa"/>
            <w:shd w:val="clear" w:color="auto" w:fill="FFFF00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b/>
                <w:sz w:val="18"/>
                <w:szCs w:val="18"/>
                <w:lang w:eastAsia="sk-SK" w:bidi="ar-SA"/>
              </w:rPr>
              <w:t>0,67</w:t>
            </w:r>
          </w:p>
        </w:tc>
      </w:tr>
      <w:tr w:rsidR="00DC0B97" w:rsidRPr="00DC0B97" w:rsidTr="00B6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S Ostatné činnosti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4,93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4,31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5,13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4,34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4,74</w:t>
            </w:r>
          </w:p>
        </w:tc>
        <w:tc>
          <w:tcPr>
            <w:tcW w:w="964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4,31</w:t>
            </w:r>
          </w:p>
        </w:tc>
        <w:tc>
          <w:tcPr>
            <w:tcW w:w="940" w:type="dxa"/>
            <w:noWrap/>
            <w:hideMark/>
          </w:tcPr>
          <w:p w:rsidR="00DC0B97" w:rsidRPr="00DC0B97" w:rsidRDefault="00DC0B97" w:rsidP="00DC0B97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DC0B97">
              <w:rPr>
                <w:rFonts w:asciiTheme="majorHAnsi" w:hAnsiTheme="majorHAnsi"/>
                <w:sz w:val="18"/>
                <w:szCs w:val="18"/>
                <w:lang w:eastAsia="sk-SK" w:bidi="ar-SA"/>
              </w:rPr>
              <w:t>0,92</w:t>
            </w:r>
          </w:p>
        </w:tc>
      </w:tr>
    </w:tbl>
    <w:p w:rsidR="00B67735" w:rsidRDefault="00B67735" w:rsidP="00B67735">
      <w:pPr>
        <w:pStyle w:val="Popis"/>
        <w:rPr>
          <w:noProof/>
          <w:lang w:eastAsia="sk-SK" w:bidi="ar-SA"/>
        </w:rPr>
      </w:pPr>
      <w:r>
        <w:t xml:space="preserve">Zdroj: Trexima </w:t>
      </w:r>
      <w:r w:rsidRPr="0061402E">
        <w:t>ISCP - ISPZ</w:t>
      </w:r>
      <w:r w:rsidRPr="0061402E">
        <w:tab/>
        <w:t>4. štvrťrok 2015</w:t>
      </w:r>
    </w:p>
    <w:p w:rsidR="006F5C86" w:rsidRDefault="006F5C86" w:rsidP="0017792F">
      <w:pPr>
        <w:pStyle w:val="Default"/>
        <w:rPr>
          <w:b/>
          <w:caps/>
          <w:spacing w:val="10"/>
          <w:sz w:val="18"/>
          <w:szCs w:val="18"/>
        </w:rPr>
      </w:pPr>
      <w:r w:rsidRPr="005A0558">
        <w:rPr>
          <w:b/>
        </w:rPr>
        <w:t>Regionálne rozdiely</w:t>
      </w:r>
      <w:r>
        <w:t xml:space="preserve"> pri rodovom mzdovom zárobku naznačujú, že najmenší rozdiel je v regiónoch  najnižšími priemernými mzdami. Hoci nemáme bližšiu analýzu podľa sektorov zamestnanosti v jednotlivých regiónoch, je zjavné</w:t>
      </w:r>
      <w:r w:rsidR="00620092">
        <w:t>,</w:t>
      </w:r>
      <w:r>
        <w:t xml:space="preserve"> že najvyšší rozdiel vykazujú samosprávne kraje s priemyselnou štruktúrou najmä automobilového a strojárskeho priemyslu, ktorý na seba viaže typicky mužské pracovné miesta. Rodový mzdový rozdiel v Bratislavskom regióne je v podstate rovnaký  ako priemer z celého Slovenska, pričom priemerné mzdy v absolútnej hodnote sú podstatne vyššie.</w:t>
      </w:r>
    </w:p>
    <w:p w:rsidR="00B67735" w:rsidRDefault="00B67735">
      <w:pPr>
        <w:shd w:val="clear" w:color="auto" w:fill="auto"/>
        <w:spacing w:after="0" w:line="240" w:lineRule="auto"/>
        <w:jc w:val="left"/>
        <w:rPr>
          <w:b/>
          <w:caps/>
          <w:color w:val="808080" w:themeColor="background1" w:themeShade="80"/>
          <w:spacing w:val="10"/>
          <w:sz w:val="18"/>
          <w:szCs w:val="18"/>
        </w:rPr>
      </w:pPr>
      <w:r>
        <w:br w:type="page"/>
      </w:r>
    </w:p>
    <w:p w:rsidR="006F5C86" w:rsidRPr="000114B5" w:rsidRDefault="006F5C86" w:rsidP="006F5C86">
      <w:pPr>
        <w:pStyle w:val="Popis"/>
        <w:rPr>
          <w:i/>
        </w:rPr>
      </w:pPr>
      <w:r w:rsidRPr="000114B5">
        <w:lastRenderedPageBreak/>
        <w:t>Tabuľka 5 Priemerný hodinový zárobok podľa pohlavia a kraja v podnikateľskej sfére</w:t>
      </w:r>
    </w:p>
    <w:tbl>
      <w:tblPr>
        <w:tblStyle w:val="Strednpodfarbenie1"/>
        <w:tblW w:w="9288" w:type="dxa"/>
        <w:tblLook w:val="04A0" w:firstRow="1" w:lastRow="0" w:firstColumn="1" w:lastColumn="0" w:noHBand="0" w:noVBand="1"/>
      </w:tblPr>
      <w:tblGrid>
        <w:gridCol w:w="2690"/>
        <w:gridCol w:w="946"/>
        <w:gridCol w:w="946"/>
        <w:gridCol w:w="946"/>
        <w:gridCol w:w="946"/>
        <w:gridCol w:w="946"/>
        <w:gridCol w:w="946"/>
        <w:gridCol w:w="922"/>
      </w:tblGrid>
      <w:tr w:rsidR="00C56C00" w:rsidRPr="00C56C00" w:rsidTr="00C56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Merge w:val="restart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center"/>
              <w:rPr>
                <w:rFonts w:asciiTheme="majorHAnsi" w:hAnsiTheme="majorHAnsi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Cs w:val="18"/>
                <w:lang w:eastAsia="sk-SK" w:bidi="ar-SA"/>
              </w:rPr>
              <w:t>Kraj</w:t>
            </w:r>
          </w:p>
        </w:tc>
        <w:tc>
          <w:tcPr>
            <w:tcW w:w="1873" w:type="dxa"/>
            <w:gridSpan w:val="2"/>
            <w:vMerge w:val="restart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Cs w:val="18"/>
                <w:lang w:eastAsia="sk-SK" w:bidi="ar-SA"/>
              </w:rPr>
              <w:t>Spolu</w:t>
            </w:r>
          </w:p>
        </w:tc>
        <w:tc>
          <w:tcPr>
            <w:tcW w:w="3748" w:type="dxa"/>
            <w:gridSpan w:val="4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Pohlavie</w:t>
            </w:r>
          </w:p>
        </w:tc>
        <w:tc>
          <w:tcPr>
            <w:tcW w:w="914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Podiel</w:t>
            </w:r>
          </w:p>
        </w:tc>
      </w:tr>
      <w:tr w:rsidR="00C56C00" w:rsidRPr="00C56C00" w:rsidTr="00C5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Merge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</w:p>
        </w:tc>
        <w:tc>
          <w:tcPr>
            <w:tcW w:w="1874" w:type="dxa"/>
            <w:gridSpan w:val="2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muži</w:t>
            </w:r>
          </w:p>
        </w:tc>
        <w:tc>
          <w:tcPr>
            <w:tcW w:w="1874" w:type="dxa"/>
            <w:gridSpan w:val="2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ženy</w:t>
            </w:r>
          </w:p>
        </w:tc>
        <w:tc>
          <w:tcPr>
            <w:tcW w:w="914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priemeru</w:t>
            </w:r>
          </w:p>
        </w:tc>
      </w:tr>
      <w:tr w:rsidR="00C56C00" w:rsidRPr="00C56C00" w:rsidTr="00C56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Merge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</w:p>
        </w:tc>
        <w:tc>
          <w:tcPr>
            <w:tcW w:w="936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priemer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medián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priemer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medián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priemer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medián</w:t>
            </w:r>
          </w:p>
        </w:tc>
        <w:tc>
          <w:tcPr>
            <w:tcW w:w="914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ženy/</w:t>
            </w:r>
          </w:p>
        </w:tc>
      </w:tr>
      <w:tr w:rsidR="00C56C00" w:rsidRPr="00C56C00" w:rsidTr="00C5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vMerge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</w:p>
        </w:tc>
        <w:tc>
          <w:tcPr>
            <w:tcW w:w="936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eastAsia="sk-SK" w:bidi="ar-SA"/>
              </w:rPr>
            </w:pPr>
            <w:r w:rsidRPr="00C56C00">
              <w:rPr>
                <w:rFonts w:asciiTheme="majorHAnsi" w:hAnsiTheme="majorHAnsi"/>
                <w:sz w:val="16"/>
                <w:szCs w:val="16"/>
                <w:lang w:eastAsia="sk-SK" w:bidi="ar-SA"/>
              </w:rPr>
              <w:t>[EUR/hod]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eastAsia="sk-SK" w:bidi="ar-SA"/>
              </w:rPr>
            </w:pPr>
            <w:r w:rsidRPr="00C56C00">
              <w:rPr>
                <w:rFonts w:asciiTheme="majorHAnsi" w:hAnsiTheme="majorHAnsi"/>
                <w:sz w:val="16"/>
                <w:szCs w:val="16"/>
                <w:lang w:eastAsia="sk-SK" w:bidi="ar-SA"/>
              </w:rPr>
              <w:t>[EUR/hod]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eastAsia="sk-SK" w:bidi="ar-SA"/>
              </w:rPr>
            </w:pPr>
            <w:r w:rsidRPr="00C56C00">
              <w:rPr>
                <w:rFonts w:asciiTheme="majorHAnsi" w:hAnsiTheme="majorHAnsi"/>
                <w:sz w:val="16"/>
                <w:szCs w:val="16"/>
                <w:lang w:eastAsia="sk-SK" w:bidi="ar-SA"/>
              </w:rPr>
              <w:t>[EUR/hod]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eastAsia="sk-SK" w:bidi="ar-SA"/>
              </w:rPr>
            </w:pPr>
            <w:r w:rsidRPr="00C56C00">
              <w:rPr>
                <w:rFonts w:asciiTheme="majorHAnsi" w:hAnsiTheme="majorHAnsi"/>
                <w:sz w:val="16"/>
                <w:szCs w:val="16"/>
                <w:lang w:eastAsia="sk-SK" w:bidi="ar-SA"/>
              </w:rPr>
              <w:t>[EUR/hod]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eastAsia="sk-SK" w:bidi="ar-SA"/>
              </w:rPr>
            </w:pPr>
            <w:r w:rsidRPr="00C56C00">
              <w:rPr>
                <w:rFonts w:asciiTheme="majorHAnsi" w:hAnsiTheme="majorHAnsi"/>
                <w:sz w:val="16"/>
                <w:szCs w:val="16"/>
                <w:lang w:eastAsia="sk-SK" w:bidi="ar-SA"/>
              </w:rPr>
              <w:t>[EUR/hod]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eastAsia="sk-SK" w:bidi="ar-SA"/>
              </w:rPr>
            </w:pPr>
            <w:r w:rsidRPr="00C56C00">
              <w:rPr>
                <w:rFonts w:asciiTheme="majorHAnsi" w:hAnsiTheme="majorHAnsi"/>
                <w:sz w:val="16"/>
                <w:szCs w:val="16"/>
                <w:lang w:eastAsia="sk-SK" w:bidi="ar-SA"/>
              </w:rPr>
              <w:t>[EUR/hod]</w:t>
            </w:r>
          </w:p>
        </w:tc>
        <w:tc>
          <w:tcPr>
            <w:tcW w:w="914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muži</w:t>
            </w:r>
          </w:p>
        </w:tc>
      </w:tr>
      <w:tr w:rsidR="00C56C00" w:rsidRPr="00C56C00" w:rsidTr="00C56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Spolu</w:t>
            </w:r>
          </w:p>
        </w:tc>
        <w:tc>
          <w:tcPr>
            <w:tcW w:w="936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5,97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4,70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6,50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5,08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5,24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4,22</w:t>
            </w:r>
          </w:p>
        </w:tc>
        <w:tc>
          <w:tcPr>
            <w:tcW w:w="914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0,81</w:t>
            </w:r>
          </w:p>
        </w:tc>
      </w:tr>
      <w:tr w:rsidR="00C56C00" w:rsidRPr="00C56C00" w:rsidTr="00C5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1 Bratislavský</w:t>
            </w:r>
          </w:p>
        </w:tc>
        <w:tc>
          <w:tcPr>
            <w:tcW w:w="936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7,85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5,91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8,55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6,25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6,96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5,58</w:t>
            </w:r>
          </w:p>
        </w:tc>
        <w:tc>
          <w:tcPr>
            <w:tcW w:w="914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0,81</w:t>
            </w:r>
          </w:p>
        </w:tc>
      </w:tr>
      <w:tr w:rsidR="00C56C00" w:rsidRPr="00C56C00" w:rsidTr="00C56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2 Trnavský</w:t>
            </w:r>
          </w:p>
        </w:tc>
        <w:tc>
          <w:tcPr>
            <w:tcW w:w="936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5,53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4,64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6,14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5,14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4,67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3,97</w:t>
            </w:r>
          </w:p>
        </w:tc>
        <w:tc>
          <w:tcPr>
            <w:tcW w:w="914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0,76</w:t>
            </w:r>
          </w:p>
        </w:tc>
      </w:tr>
      <w:tr w:rsidR="00C56C00" w:rsidRPr="00C56C00" w:rsidTr="00C5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3 Trenčiansky</w:t>
            </w:r>
          </w:p>
        </w:tc>
        <w:tc>
          <w:tcPr>
            <w:tcW w:w="936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5,44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4,54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6,09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5,10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4,55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3,94</w:t>
            </w:r>
          </w:p>
        </w:tc>
        <w:tc>
          <w:tcPr>
            <w:tcW w:w="914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0,75</w:t>
            </w:r>
          </w:p>
        </w:tc>
      </w:tr>
      <w:tr w:rsidR="00C56C00" w:rsidRPr="00C56C00" w:rsidTr="00C56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 Nitriansky</w:t>
            </w:r>
          </w:p>
        </w:tc>
        <w:tc>
          <w:tcPr>
            <w:tcW w:w="936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5,10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4,21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5,51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4,53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4,50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3,83</w:t>
            </w:r>
          </w:p>
        </w:tc>
        <w:tc>
          <w:tcPr>
            <w:tcW w:w="914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0,82</w:t>
            </w:r>
          </w:p>
        </w:tc>
      </w:tr>
      <w:tr w:rsidR="00C56C00" w:rsidRPr="00C56C00" w:rsidTr="00C5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 Žilinský</w:t>
            </w:r>
          </w:p>
        </w:tc>
        <w:tc>
          <w:tcPr>
            <w:tcW w:w="936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5,53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4,65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6,13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5,13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4,70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4,03</w:t>
            </w:r>
          </w:p>
        </w:tc>
        <w:tc>
          <w:tcPr>
            <w:tcW w:w="914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0,77</w:t>
            </w:r>
          </w:p>
        </w:tc>
      </w:tr>
      <w:tr w:rsidR="00C56C00" w:rsidRPr="00C56C00" w:rsidTr="00C56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6 Banskobystrický</w:t>
            </w:r>
          </w:p>
        </w:tc>
        <w:tc>
          <w:tcPr>
            <w:tcW w:w="936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5,10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4,36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5,46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4,64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4,56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3,86</w:t>
            </w:r>
          </w:p>
        </w:tc>
        <w:tc>
          <w:tcPr>
            <w:tcW w:w="914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0,83</w:t>
            </w:r>
          </w:p>
        </w:tc>
      </w:tr>
      <w:tr w:rsidR="00C56C00" w:rsidRPr="00C56C00" w:rsidTr="00C5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7 Prešovský</w:t>
            </w:r>
          </w:p>
        </w:tc>
        <w:tc>
          <w:tcPr>
            <w:tcW w:w="936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4,58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3,86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4,86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4,10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4,19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3,56</w:t>
            </w:r>
          </w:p>
        </w:tc>
        <w:tc>
          <w:tcPr>
            <w:tcW w:w="914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0,86</w:t>
            </w:r>
          </w:p>
        </w:tc>
      </w:tr>
      <w:tr w:rsidR="00C56C00" w:rsidRPr="00C56C00" w:rsidTr="00C56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8 Košický</w:t>
            </w:r>
          </w:p>
        </w:tc>
        <w:tc>
          <w:tcPr>
            <w:tcW w:w="936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5,72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4,64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6,22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5,07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4,95</w:t>
            </w:r>
          </w:p>
        </w:tc>
        <w:tc>
          <w:tcPr>
            <w:tcW w:w="937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4,10</w:t>
            </w:r>
          </w:p>
        </w:tc>
        <w:tc>
          <w:tcPr>
            <w:tcW w:w="914" w:type="dxa"/>
            <w:noWrap/>
            <w:hideMark/>
          </w:tcPr>
          <w:p w:rsidR="00C56C00" w:rsidRPr="00C56C00" w:rsidRDefault="00C56C00" w:rsidP="00C56C00">
            <w:pPr>
              <w:shd w:val="clear" w:color="auto" w:fill="auto"/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sk-SK" w:bidi="ar-SA"/>
              </w:rPr>
            </w:pPr>
            <w:r w:rsidRPr="00C56C00">
              <w:rPr>
                <w:rFonts w:asciiTheme="majorHAnsi" w:hAnsiTheme="majorHAnsi"/>
                <w:sz w:val="18"/>
                <w:szCs w:val="18"/>
                <w:lang w:eastAsia="sk-SK" w:bidi="ar-SA"/>
              </w:rPr>
              <w:t>0,80</w:t>
            </w:r>
          </w:p>
        </w:tc>
      </w:tr>
    </w:tbl>
    <w:p w:rsidR="00C56C00" w:rsidRDefault="00C56C00" w:rsidP="00C56C00">
      <w:pPr>
        <w:pStyle w:val="Popis"/>
      </w:pPr>
      <w:r>
        <w:t xml:space="preserve">Zdroj: Trexima </w:t>
      </w:r>
      <w:r w:rsidRPr="0061402E">
        <w:t>ISCP - ISPZ</w:t>
      </w:r>
      <w:r w:rsidRPr="0061402E">
        <w:tab/>
        <w:t>4. štvrťrok 2015</w:t>
      </w:r>
    </w:p>
    <w:p w:rsidR="00520351" w:rsidRPr="00520351" w:rsidRDefault="00520351" w:rsidP="00520351">
      <w:pPr>
        <w:pStyle w:val="Popis"/>
        <w:rPr>
          <w:i/>
        </w:rPr>
      </w:pPr>
      <w:r>
        <w:t xml:space="preserve">Graf </w:t>
      </w:r>
      <w:r w:rsidR="009F7A61">
        <w:fldChar w:fldCharType="begin"/>
      </w:r>
      <w:r w:rsidR="009F7A61">
        <w:instrText xml:space="preserve"> SEQ Graf \* ARABIC </w:instrText>
      </w:r>
      <w:r w:rsidR="009F7A61">
        <w:fldChar w:fldCharType="separate"/>
      </w:r>
      <w:r w:rsidR="004E53CF">
        <w:rPr>
          <w:noProof/>
        </w:rPr>
        <w:t>2</w:t>
      </w:r>
      <w:r w:rsidR="009F7A61">
        <w:rPr>
          <w:noProof/>
        </w:rPr>
        <w:fldChar w:fldCharType="end"/>
      </w:r>
      <w:r>
        <w:t xml:space="preserve"> </w:t>
      </w:r>
      <w:r w:rsidRPr="000114B5">
        <w:t>Priemerný hodinový zárobok podľa pohlavia a kraja v podnikateľskej sfére</w:t>
      </w:r>
    </w:p>
    <w:p w:rsidR="006F5C86" w:rsidRDefault="00520351" w:rsidP="006F5C86">
      <w:r>
        <w:rPr>
          <w:noProof/>
          <w:lang w:eastAsia="sk-SK" w:bidi="ar-SA"/>
        </w:rPr>
        <w:drawing>
          <wp:inline distT="0" distB="0" distL="0" distR="0" wp14:anchorId="11A8C437" wp14:editId="127C2BC1">
            <wp:extent cx="5890260" cy="2415540"/>
            <wp:effectExtent l="0" t="0" r="15240" b="2286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20351" w:rsidRDefault="00520351" w:rsidP="00520351">
      <w:pPr>
        <w:pStyle w:val="Popis"/>
      </w:pPr>
      <w:r>
        <w:t xml:space="preserve">Zdroj: Trexima </w:t>
      </w:r>
      <w:r w:rsidRPr="0061402E">
        <w:t>ISCP - ISPZ</w:t>
      </w:r>
      <w:r w:rsidRPr="0061402E">
        <w:tab/>
        <w:t>4. štvrťrok 2015</w:t>
      </w:r>
    </w:p>
    <w:p w:rsidR="00DA23D9" w:rsidRDefault="00DA23D9">
      <w:pPr>
        <w:shd w:val="clear" w:color="auto" w:fill="auto"/>
        <w:spacing w:after="0" w:line="240" w:lineRule="auto"/>
        <w:jc w:val="left"/>
        <w:rPr>
          <w:caps/>
          <w:color w:val="000000"/>
          <w:sz w:val="28"/>
          <w:szCs w:val="24"/>
        </w:rPr>
      </w:pPr>
    </w:p>
    <w:p w:rsidR="00DA23D9" w:rsidRDefault="00DA23D9">
      <w:pPr>
        <w:shd w:val="clear" w:color="auto" w:fill="auto"/>
        <w:spacing w:after="0" w:line="240" w:lineRule="auto"/>
        <w:jc w:val="left"/>
      </w:pPr>
      <w:r>
        <w:br w:type="page"/>
      </w:r>
    </w:p>
    <w:p w:rsidR="00F31B3D" w:rsidRPr="00713644" w:rsidRDefault="00F31B3D" w:rsidP="00F31B3D">
      <w:pPr>
        <w:pStyle w:val="Nadpis2"/>
        <w:numPr>
          <w:ilvl w:val="0"/>
          <w:numId w:val="8"/>
        </w:numPr>
      </w:pPr>
      <w:bookmarkStart w:id="15" w:name="_Toc451508613"/>
      <w:r w:rsidRPr="00713644">
        <w:lastRenderedPageBreak/>
        <w:t>Príčiny rodového mzdového rozdielu</w:t>
      </w:r>
      <w:bookmarkEnd w:id="15"/>
    </w:p>
    <w:p w:rsidR="00F31B3D" w:rsidRPr="009319A6" w:rsidRDefault="00F31B3D" w:rsidP="00F31B3D">
      <w:pPr>
        <w:pStyle w:val="Nadpis3"/>
        <w:rPr>
          <w:lang w:eastAsia="sk-SK" w:bidi="ar-SA"/>
        </w:rPr>
      </w:pPr>
      <w:bookmarkStart w:id="16" w:name="_Toc451508614"/>
      <w:r w:rsidRPr="009319A6">
        <w:rPr>
          <w:lang w:eastAsia="sk-SK" w:bidi="ar-SA"/>
        </w:rPr>
        <w:t xml:space="preserve">Teória ľudského kapitálu alebo </w:t>
      </w:r>
      <w:r>
        <w:rPr>
          <w:lang w:eastAsia="sk-SK" w:bidi="ar-SA"/>
        </w:rPr>
        <w:t>„</w:t>
      </w:r>
      <w:r w:rsidRPr="009319A6">
        <w:rPr>
          <w:lang w:eastAsia="sk-SK" w:bidi="ar-SA"/>
        </w:rPr>
        <w:t>teória</w:t>
      </w:r>
      <w:r>
        <w:rPr>
          <w:lang w:eastAsia="sk-SK" w:bidi="ar-SA"/>
        </w:rPr>
        <w:t xml:space="preserve"> </w:t>
      </w:r>
      <w:r w:rsidRPr="009319A6">
        <w:rPr>
          <w:lang w:eastAsia="sk-SK" w:bidi="ar-SA"/>
        </w:rPr>
        <w:t>voľby“</w:t>
      </w:r>
      <w:bookmarkEnd w:id="16"/>
    </w:p>
    <w:p w:rsidR="00F31B3D" w:rsidRPr="009319A6" w:rsidRDefault="00F31B3D" w:rsidP="0017792F">
      <w:pPr>
        <w:pStyle w:val="Default"/>
        <w:rPr>
          <w:lang w:eastAsia="sk-SK" w:bidi="ar-SA"/>
        </w:rPr>
      </w:pPr>
      <w:r w:rsidRPr="009319A6">
        <w:rPr>
          <w:lang w:eastAsia="sk-SK" w:bidi="ar-SA"/>
        </w:rPr>
        <w:t>Teóriu ľudského kapitálu (</w:t>
      </w:r>
      <w:proofErr w:type="spellStart"/>
      <w:r w:rsidRPr="009319A6">
        <w:rPr>
          <w:lang w:eastAsia="sk-SK" w:bidi="ar-SA"/>
        </w:rPr>
        <w:t>Human</w:t>
      </w:r>
      <w:proofErr w:type="spellEnd"/>
      <w:r w:rsidRPr="009319A6">
        <w:rPr>
          <w:lang w:eastAsia="sk-SK" w:bidi="ar-SA"/>
        </w:rPr>
        <w:t xml:space="preserve"> </w:t>
      </w:r>
      <w:proofErr w:type="spellStart"/>
      <w:r w:rsidRPr="009319A6">
        <w:rPr>
          <w:lang w:eastAsia="sk-SK" w:bidi="ar-SA"/>
        </w:rPr>
        <w:t>Capital</w:t>
      </w:r>
      <w:proofErr w:type="spellEnd"/>
      <w:r w:rsidRPr="009319A6">
        <w:rPr>
          <w:lang w:eastAsia="sk-SK" w:bidi="ar-SA"/>
        </w:rPr>
        <w:t xml:space="preserve"> </w:t>
      </w:r>
      <w:proofErr w:type="spellStart"/>
      <w:r w:rsidRPr="009319A6">
        <w:rPr>
          <w:lang w:eastAsia="sk-SK" w:bidi="ar-SA"/>
        </w:rPr>
        <w:t>Theory</w:t>
      </w:r>
      <w:proofErr w:type="spellEnd"/>
      <w:r w:rsidRPr="009319A6">
        <w:rPr>
          <w:lang w:eastAsia="sk-SK" w:bidi="ar-SA"/>
        </w:rPr>
        <w:t>) vypracoval nositeľ No</w:t>
      </w:r>
      <w:r>
        <w:rPr>
          <w:lang w:eastAsia="sk-SK" w:bidi="ar-SA"/>
        </w:rPr>
        <w:t xml:space="preserve">belovej ceny za ekonómiu </w:t>
      </w:r>
      <w:proofErr w:type="spellStart"/>
      <w:r>
        <w:rPr>
          <w:lang w:eastAsia="sk-SK" w:bidi="ar-SA"/>
        </w:rPr>
        <w:t>Gary</w:t>
      </w:r>
      <w:proofErr w:type="spellEnd"/>
      <w:r>
        <w:rPr>
          <w:lang w:eastAsia="sk-SK" w:bidi="ar-SA"/>
        </w:rPr>
        <w:t xml:space="preserve"> </w:t>
      </w:r>
      <w:proofErr w:type="spellStart"/>
      <w:r>
        <w:rPr>
          <w:lang w:eastAsia="sk-SK" w:bidi="ar-SA"/>
        </w:rPr>
        <w:t>Becker</w:t>
      </w:r>
      <w:proofErr w:type="spellEnd"/>
      <w:r w:rsidRPr="009319A6">
        <w:rPr>
          <w:lang w:eastAsia="sk-SK" w:bidi="ar-SA"/>
        </w:rPr>
        <w:t>. "</w:t>
      </w:r>
      <w:r w:rsidRPr="0017792F">
        <w:rPr>
          <w:i/>
          <w:lang w:eastAsia="sk-SK" w:bidi="ar-SA"/>
        </w:rPr>
        <w:t xml:space="preserve">Analýza ľudského kapitálu vychádza z predpokladu, že sa jednotlivci rozhodujú o svojom vzdelaní, pracovnej príprave, lekárskej starostlivosti a o ostatných doplňujúcich vedomostiach a zdraví na základe porovnania výnosov a nákladov. Výnosy zahrnujú vedľa zlepšenia zárobkov a zamestnania kultúrne i ostatné zisky, zatiaľ čo náklady obvykle závisia na </w:t>
      </w:r>
      <w:proofErr w:type="spellStart"/>
      <w:r w:rsidRPr="0017792F">
        <w:rPr>
          <w:i/>
          <w:lang w:eastAsia="sk-SK" w:bidi="ar-SA"/>
        </w:rPr>
        <w:t>ušlej</w:t>
      </w:r>
      <w:proofErr w:type="spellEnd"/>
      <w:r w:rsidRPr="0017792F">
        <w:rPr>
          <w:i/>
          <w:lang w:eastAsia="sk-SK" w:bidi="ar-SA"/>
        </w:rPr>
        <w:t xml:space="preserve"> hodnote času stráveného získavaním týchto investícií</w:t>
      </w:r>
      <w:r w:rsidRPr="009319A6">
        <w:rPr>
          <w:lang w:eastAsia="sk-SK" w:bidi="ar-SA"/>
        </w:rPr>
        <w:t>."</w:t>
      </w:r>
      <w:r w:rsidRPr="009319A6">
        <w:rPr>
          <w:vertAlign w:val="superscript"/>
          <w:lang w:eastAsia="sk-SK" w:bidi="ar-SA"/>
        </w:rPr>
        <w:endnoteReference w:id="31"/>
      </w:r>
      <w:r w:rsidRPr="009319A6">
        <w:rPr>
          <w:lang w:eastAsia="sk-SK" w:bidi="ar-SA"/>
        </w:rPr>
        <w:t xml:space="preserve"> </w:t>
      </w:r>
    </w:p>
    <w:p w:rsidR="00F31B3D" w:rsidRPr="009319A6" w:rsidRDefault="00F31B3D" w:rsidP="0017792F">
      <w:pPr>
        <w:pStyle w:val="Default"/>
        <w:rPr>
          <w:lang w:eastAsia="sk-SK" w:bidi="ar-SA"/>
        </w:rPr>
      </w:pPr>
      <w:r w:rsidRPr="009319A6">
        <w:rPr>
          <w:lang w:eastAsia="sk-SK" w:bidi="ar-SA"/>
        </w:rPr>
        <w:t xml:space="preserve">Podľa tejto teórie je nižší zárobok žien výsledkom ich voľby, podmienenej rôznymi prioritami žien a mužov pri výbere povolania a zamestnania. Ženy okrem toho investujú do ľudského kapitálu – vzdelania a skúseností – v oblastiach, ktoré ich uspokojujú, ale nevyznačujú vysokou návratnosťou investície, kým muži uvažujú opačne. </w:t>
      </w:r>
      <w:proofErr w:type="spellStart"/>
      <w:r w:rsidRPr="009319A6">
        <w:rPr>
          <w:lang w:eastAsia="sk-SK" w:bidi="ar-SA"/>
        </w:rPr>
        <w:t>Becker</w:t>
      </w:r>
      <w:proofErr w:type="spellEnd"/>
      <w:r w:rsidRPr="009319A6">
        <w:rPr>
          <w:lang w:eastAsia="sk-SK" w:bidi="ar-SA"/>
        </w:rPr>
        <w:t xml:space="preserve"> argumentuje, že záujem žien je primárne venovať sa rodine a domácnosti a preto si vyberajú nenáročné povolania, ktoré vyžadujú menšie investície do vzdelania a schopností.</w:t>
      </w:r>
      <w:r w:rsidRPr="009319A6">
        <w:rPr>
          <w:vertAlign w:val="superscript"/>
          <w:lang w:eastAsia="sk-SK" w:bidi="ar-SA"/>
        </w:rPr>
        <w:endnoteReference w:id="32"/>
      </w:r>
      <w:r w:rsidRPr="009319A6">
        <w:rPr>
          <w:vertAlign w:val="superscript"/>
          <w:lang w:eastAsia="sk-SK" w:bidi="ar-SA"/>
        </w:rPr>
        <w:t xml:space="preserve"> </w:t>
      </w:r>
      <w:r w:rsidRPr="009319A6">
        <w:rPr>
          <w:lang w:eastAsia="sk-SK" w:bidi="ar-SA"/>
        </w:rPr>
        <w:t xml:space="preserve">Podľa neho je na konkurenčnom pracovnom trhu samotná diskriminácia iracionálna a preto nepravdepodobná. </w:t>
      </w:r>
    </w:p>
    <w:p w:rsidR="00F31B3D" w:rsidRDefault="00F31B3D" w:rsidP="0017792F">
      <w:pPr>
        <w:pStyle w:val="Default"/>
        <w:rPr>
          <w:lang w:eastAsia="sk-SK" w:bidi="ar-SA"/>
        </w:rPr>
      </w:pPr>
      <w:r w:rsidRPr="009319A6">
        <w:rPr>
          <w:lang w:eastAsia="sk-SK" w:bidi="ar-SA"/>
        </w:rPr>
        <w:t>Hoci samotný autor uznáva, že teória ľudského kapitálu nemusí vysvetliť celý rozdiel v zárobku a  diskriminácia môže hrať svoju rolu,</w:t>
      </w:r>
      <w:r w:rsidRPr="009319A6">
        <w:rPr>
          <w:vertAlign w:val="superscript"/>
          <w:lang w:eastAsia="sk-SK" w:bidi="ar-SA"/>
        </w:rPr>
        <w:endnoteReference w:id="33"/>
      </w:r>
      <w:r w:rsidRPr="009319A6">
        <w:rPr>
          <w:lang w:eastAsia="sk-SK" w:bidi="ar-SA"/>
        </w:rPr>
        <w:t xml:space="preserve"> mnoho </w:t>
      </w:r>
      <w:r>
        <w:rPr>
          <w:lang w:eastAsia="sk-SK" w:bidi="ar-SA"/>
        </w:rPr>
        <w:t>teoretikov</w:t>
      </w:r>
      <w:r w:rsidRPr="009319A6">
        <w:rPr>
          <w:lang w:eastAsia="sk-SK" w:bidi="ar-SA"/>
        </w:rPr>
        <w:t> používa teóriu ľudského kapitálu ako univerzálne vysvetlenie a argument proti akýmkoľvek štátnym zásahom.</w:t>
      </w:r>
    </w:p>
    <w:p w:rsidR="00F31B3D" w:rsidRPr="009319A6" w:rsidRDefault="00F31B3D" w:rsidP="0017792F">
      <w:pPr>
        <w:pStyle w:val="Default"/>
        <w:rPr>
          <w:lang w:eastAsia="sk-SK" w:bidi="ar-SA"/>
        </w:rPr>
      </w:pPr>
      <w:r>
        <w:rPr>
          <w:lang w:eastAsia="sk-SK" w:bidi="ar-SA"/>
        </w:rPr>
        <w:t>Iné</w:t>
      </w:r>
      <w:r w:rsidRPr="009319A6">
        <w:rPr>
          <w:lang w:eastAsia="sk-SK" w:bidi="ar-SA"/>
        </w:rPr>
        <w:t xml:space="preserve"> akademické výskumy (</w:t>
      </w:r>
      <w:proofErr w:type="spellStart"/>
      <w:r w:rsidRPr="009319A6">
        <w:rPr>
          <w:lang w:eastAsia="sk-SK" w:bidi="ar-SA"/>
        </w:rPr>
        <w:t>Blau</w:t>
      </w:r>
      <w:proofErr w:type="spellEnd"/>
      <w:r w:rsidRPr="009319A6">
        <w:rPr>
          <w:lang w:eastAsia="sk-SK" w:bidi="ar-SA"/>
        </w:rPr>
        <w:t xml:space="preserve"> a </w:t>
      </w:r>
      <w:proofErr w:type="spellStart"/>
      <w:r w:rsidRPr="009319A6">
        <w:rPr>
          <w:lang w:eastAsia="sk-SK" w:bidi="ar-SA"/>
        </w:rPr>
        <w:t>Kahn</w:t>
      </w:r>
      <w:proofErr w:type="spellEnd"/>
      <w:r w:rsidRPr="009319A6">
        <w:rPr>
          <w:lang w:eastAsia="sk-SK" w:bidi="ar-SA"/>
        </w:rPr>
        <w:t xml:space="preserve"> 1997</w:t>
      </w:r>
      <w:r w:rsidRPr="009319A6">
        <w:rPr>
          <w:vertAlign w:val="superscript"/>
          <w:lang w:eastAsia="sk-SK" w:bidi="ar-SA"/>
        </w:rPr>
        <w:endnoteReference w:id="34"/>
      </w:r>
      <w:r w:rsidRPr="009319A6">
        <w:rPr>
          <w:lang w:eastAsia="sk-SK" w:bidi="ar-SA"/>
        </w:rPr>
        <w:t xml:space="preserve">, </w:t>
      </w:r>
      <w:proofErr w:type="spellStart"/>
      <w:r w:rsidRPr="009319A6">
        <w:rPr>
          <w:lang w:eastAsia="sk-SK" w:bidi="ar-SA"/>
        </w:rPr>
        <w:t>Wood</w:t>
      </w:r>
      <w:proofErr w:type="spellEnd"/>
      <w:r w:rsidRPr="009319A6">
        <w:rPr>
          <w:lang w:eastAsia="sk-SK" w:bidi="ar-SA"/>
        </w:rPr>
        <w:t xml:space="preserve"> 1993</w:t>
      </w:r>
      <w:r w:rsidRPr="009319A6">
        <w:rPr>
          <w:vertAlign w:val="superscript"/>
          <w:lang w:eastAsia="sk-SK" w:bidi="ar-SA"/>
        </w:rPr>
        <w:endnoteReference w:id="35"/>
      </w:r>
      <w:r w:rsidRPr="009319A6">
        <w:rPr>
          <w:lang w:eastAsia="sk-SK" w:bidi="ar-SA"/>
        </w:rPr>
        <w:t xml:space="preserve">) </w:t>
      </w:r>
      <w:r>
        <w:rPr>
          <w:lang w:eastAsia="sk-SK" w:bidi="ar-SA"/>
        </w:rPr>
        <w:t>však</w:t>
      </w:r>
      <w:r w:rsidRPr="009319A6">
        <w:rPr>
          <w:lang w:eastAsia="sk-SK" w:bidi="ar-SA"/>
        </w:rPr>
        <w:t xml:space="preserve"> zistili, že i pri zarátaní faktorov ako rodinný stav či materstvo, vzdelanie, skúsenosť a iné </w:t>
      </w:r>
      <w:r w:rsidRPr="00F31B3D">
        <w:rPr>
          <w:b/>
          <w:lang w:eastAsia="sk-SK" w:bidi="ar-SA"/>
        </w:rPr>
        <w:t xml:space="preserve">stále zostáva </w:t>
      </w:r>
      <w:proofErr w:type="spellStart"/>
      <w:r w:rsidRPr="00F31B3D">
        <w:rPr>
          <w:b/>
          <w:lang w:eastAsia="sk-SK" w:bidi="ar-SA"/>
        </w:rPr>
        <w:t>signifikantný</w:t>
      </w:r>
      <w:proofErr w:type="spellEnd"/>
      <w:r w:rsidRPr="00F31B3D">
        <w:rPr>
          <w:b/>
          <w:lang w:eastAsia="sk-SK" w:bidi="ar-SA"/>
        </w:rPr>
        <w:t xml:space="preserve"> rozdiel v prospech mužov</w:t>
      </w:r>
      <w:r w:rsidRPr="009319A6">
        <w:rPr>
          <w:lang w:eastAsia="sk-SK" w:bidi="ar-SA"/>
        </w:rPr>
        <w:t xml:space="preserve">. Pri konceptualizácii </w:t>
      </w:r>
      <w:r>
        <w:rPr>
          <w:lang w:eastAsia="sk-SK" w:bidi="ar-SA"/>
        </w:rPr>
        <w:t>rodového mzdového rozdielu</w:t>
      </w:r>
      <w:r w:rsidRPr="009319A6">
        <w:rPr>
          <w:lang w:eastAsia="sk-SK" w:bidi="ar-SA"/>
        </w:rPr>
        <w:t xml:space="preserve"> došiel výskumný tím z Veľkej Británie</w:t>
      </w:r>
      <w:r w:rsidRPr="009319A6">
        <w:rPr>
          <w:vertAlign w:val="superscript"/>
          <w:lang w:eastAsia="sk-SK" w:bidi="ar-SA"/>
        </w:rPr>
        <w:endnoteReference w:id="36"/>
      </w:r>
      <w:r w:rsidRPr="009319A6">
        <w:rPr>
          <w:lang w:eastAsia="sk-SK" w:bidi="ar-SA"/>
        </w:rPr>
        <w:t xml:space="preserve"> k záveru, že dichotómia ľudský kapitál/diskriminácia je prekonaná, pretože ženy sú znevýhodňované aj pri získavaní samotného ľudského kapitálu (prístup k vzdelaniu, ďalšie tréningy a získavanie praktických skúseností v závislostí na pracovnej pozícii atď.)</w:t>
      </w:r>
    </w:p>
    <w:p w:rsidR="00F31B3D" w:rsidRPr="009319A6" w:rsidRDefault="00F31B3D" w:rsidP="0017792F">
      <w:pPr>
        <w:pStyle w:val="Default"/>
        <w:rPr>
          <w:lang w:eastAsia="sk-SK" w:bidi="ar-SA"/>
        </w:rPr>
      </w:pPr>
      <w:r w:rsidRPr="009319A6">
        <w:rPr>
          <w:lang w:eastAsia="sk-SK" w:bidi="ar-SA"/>
        </w:rPr>
        <w:t xml:space="preserve">Štatistické dáta </w:t>
      </w:r>
      <w:r>
        <w:rPr>
          <w:lang w:eastAsia="sk-SK" w:bidi="ar-SA"/>
        </w:rPr>
        <w:t>aj v SR</w:t>
      </w:r>
      <w:r w:rsidRPr="009319A6">
        <w:rPr>
          <w:lang w:eastAsia="sk-SK" w:bidi="ar-SA"/>
        </w:rPr>
        <w:t xml:space="preserve"> dokazujú, že </w:t>
      </w:r>
      <w:r>
        <w:rPr>
          <w:lang w:eastAsia="sk-SK" w:bidi="ar-SA"/>
        </w:rPr>
        <w:t>podstatná časť</w:t>
      </w:r>
      <w:r w:rsidRPr="009319A6">
        <w:rPr>
          <w:lang w:eastAsia="sk-SK" w:bidi="ar-SA"/>
        </w:rPr>
        <w:t xml:space="preserve"> rozdielu v platoch sa nedá vysvetliť pomocou teórie ľudského kapitálu. Podobné závery vyplynuli aj z porovnávajúcej štúdie o situácii vo Švédsku a USA</w:t>
      </w:r>
      <w:r w:rsidRPr="009319A6">
        <w:rPr>
          <w:vertAlign w:val="superscript"/>
          <w:lang w:eastAsia="sk-SK" w:bidi="ar-SA"/>
        </w:rPr>
        <w:endnoteReference w:id="37"/>
      </w:r>
      <w:r w:rsidRPr="009319A6">
        <w:rPr>
          <w:lang w:eastAsia="sk-SK" w:bidi="ar-SA"/>
        </w:rPr>
        <w:t xml:space="preserve">. </w:t>
      </w:r>
    </w:p>
    <w:p w:rsidR="00F31B3D" w:rsidRPr="009319A6" w:rsidRDefault="00F31B3D" w:rsidP="0017792F">
      <w:pPr>
        <w:pStyle w:val="Default"/>
        <w:rPr>
          <w:lang w:eastAsia="sk-SK" w:bidi="ar-SA"/>
        </w:rPr>
      </w:pPr>
      <w:r w:rsidRPr="009319A6">
        <w:rPr>
          <w:lang w:eastAsia="sk-SK" w:bidi="ar-SA"/>
        </w:rPr>
        <w:t>Nakoniec, k obdobným záverom situácie na Slovensku dospela aj analýza Svetovej banky</w:t>
      </w:r>
      <w:r w:rsidRPr="009319A6">
        <w:rPr>
          <w:vertAlign w:val="superscript"/>
          <w:lang w:eastAsia="sk-SK" w:bidi="ar-SA"/>
        </w:rPr>
        <w:endnoteReference w:id="38"/>
      </w:r>
      <w:r w:rsidRPr="009319A6">
        <w:rPr>
          <w:lang w:eastAsia="sk-SK" w:bidi="ar-SA"/>
        </w:rPr>
        <w:t>: „</w:t>
      </w:r>
      <w:r w:rsidRPr="0017792F">
        <w:rPr>
          <w:i/>
          <w:lang w:eastAsia="sk-SK" w:bidi="ar-SA"/>
        </w:rPr>
        <w:t xml:space="preserve">Existuje </w:t>
      </w:r>
      <w:proofErr w:type="spellStart"/>
      <w:r w:rsidRPr="0017792F">
        <w:rPr>
          <w:i/>
          <w:lang w:eastAsia="sk-SK" w:bidi="ar-SA"/>
        </w:rPr>
        <w:t>signifikantný</w:t>
      </w:r>
      <w:proofErr w:type="spellEnd"/>
      <w:r w:rsidRPr="0017792F">
        <w:rPr>
          <w:i/>
          <w:lang w:eastAsia="sk-SK" w:bidi="ar-SA"/>
        </w:rPr>
        <w:t xml:space="preserve"> hrubý rodový rozdiel v zárobkoch 24 až 27 percent, ktorý ostáva stabilný počas analyzovanej doby..... Ak zvážime vysvetliteľné okolnosti, hrubý rodový rozdiel sa zníži na 18</w:t>
      </w:r>
      <w:r w:rsidR="005C794F">
        <w:rPr>
          <w:i/>
          <w:lang w:eastAsia="sk-SK" w:bidi="ar-SA"/>
        </w:rPr>
        <w:t xml:space="preserve"> %</w:t>
      </w:r>
      <w:r w:rsidRPr="0017792F">
        <w:rPr>
          <w:i/>
          <w:lang w:eastAsia="sk-SK" w:bidi="ar-SA"/>
        </w:rPr>
        <w:t>.“,</w:t>
      </w:r>
      <w:r w:rsidRPr="009319A6">
        <w:rPr>
          <w:lang w:eastAsia="sk-SK" w:bidi="ar-SA"/>
        </w:rPr>
        <w:t xml:space="preserve"> píše autorka štúdie.  Teória ľudského kapitálu so zohľadnením veku, vzdelania a skúseností ako i charakteristika vykonávanej práce síce vysvetľuje časť rozdielu, ale len nepodstatnú. „</w:t>
      </w:r>
      <w:r w:rsidRPr="00F31B3D">
        <w:rPr>
          <w:lang w:eastAsia="sk-SK" w:bidi="ar-SA"/>
        </w:rPr>
        <w:t>Nevysvetliteľný podiel rodového rozdielu v zárobkoch je následkom diskriminácie, čo je okolo 21</w:t>
      </w:r>
      <w:r w:rsidR="005C794F">
        <w:rPr>
          <w:lang w:eastAsia="sk-SK" w:bidi="ar-SA"/>
        </w:rPr>
        <w:t xml:space="preserve"> %</w:t>
      </w:r>
      <w:r w:rsidRPr="00F31B3D">
        <w:rPr>
          <w:lang w:eastAsia="sk-SK" w:bidi="ar-SA"/>
        </w:rPr>
        <w:t xml:space="preserve"> v domácich i zahraničných súkromných spoločnostiach a 9</w:t>
      </w:r>
      <w:r w:rsidR="005C794F">
        <w:rPr>
          <w:lang w:eastAsia="sk-SK" w:bidi="ar-SA"/>
        </w:rPr>
        <w:t xml:space="preserve"> %</w:t>
      </w:r>
      <w:r w:rsidRPr="00F31B3D">
        <w:rPr>
          <w:lang w:eastAsia="sk-SK" w:bidi="ar-SA"/>
        </w:rPr>
        <w:t xml:space="preserve"> v štátnych podnikoch</w:t>
      </w:r>
      <w:r w:rsidRPr="009319A6">
        <w:rPr>
          <w:lang w:eastAsia="sk-SK" w:bidi="ar-SA"/>
        </w:rPr>
        <w:t xml:space="preserve">“, hovorí analýza Svetovej </w:t>
      </w:r>
      <w:r w:rsidRPr="009319A6">
        <w:rPr>
          <w:lang w:eastAsia="sk-SK" w:bidi="ar-SA"/>
        </w:rPr>
        <w:lastRenderedPageBreak/>
        <w:t xml:space="preserve">banky. Zhruba tri štvrtiny výšky rodového rozdielu je teda možné pripísať diskriminácii žien. Je pritom nutné povedať, že rozdiel vo vzdelaní by hovoril v prospech žien, nakoľko ich vzdelanostná úroveň je na Slovensku vyššia.  </w:t>
      </w:r>
    </w:p>
    <w:p w:rsidR="00F31B3D" w:rsidRPr="009319A6" w:rsidRDefault="00F31B3D" w:rsidP="00F31B3D">
      <w:pPr>
        <w:pStyle w:val="Nadpis3"/>
        <w:rPr>
          <w:lang w:eastAsia="sk-SK" w:bidi="ar-SA"/>
        </w:rPr>
      </w:pPr>
      <w:bookmarkStart w:id="17" w:name="_Toc451508615"/>
      <w:r w:rsidRPr="009319A6">
        <w:rPr>
          <w:lang w:eastAsia="sk-SK" w:bidi="ar-SA"/>
        </w:rPr>
        <w:t>Teória inštitucionalizovanej ekonomiky</w:t>
      </w:r>
      <w:bookmarkEnd w:id="17"/>
    </w:p>
    <w:p w:rsidR="00F31B3D" w:rsidRPr="009319A6" w:rsidRDefault="00F31B3D" w:rsidP="0017792F">
      <w:pPr>
        <w:pStyle w:val="Default"/>
        <w:rPr>
          <w:lang w:eastAsia="sk-SK" w:bidi="ar-SA"/>
        </w:rPr>
      </w:pPr>
      <w:r w:rsidRPr="009319A6">
        <w:rPr>
          <w:lang w:eastAsia="sk-SK" w:bidi="ar-SA"/>
        </w:rPr>
        <w:t>Táto teória bola vypracovaná americkými antropológmi</w:t>
      </w:r>
      <w:r w:rsidRPr="009319A6">
        <w:rPr>
          <w:sz w:val="20"/>
          <w:szCs w:val="20"/>
          <w:lang w:eastAsia="sk-SK" w:bidi="ar-SA"/>
        </w:rPr>
        <w:t xml:space="preserve"> </w:t>
      </w:r>
      <w:proofErr w:type="spellStart"/>
      <w:r w:rsidRPr="009319A6">
        <w:rPr>
          <w:lang w:eastAsia="sk-SK" w:bidi="ar-SA"/>
        </w:rPr>
        <w:t>Davidom</w:t>
      </w:r>
      <w:proofErr w:type="spellEnd"/>
      <w:r w:rsidRPr="009319A6">
        <w:rPr>
          <w:lang w:eastAsia="sk-SK" w:bidi="ar-SA"/>
        </w:rPr>
        <w:t xml:space="preserve"> </w:t>
      </w:r>
      <w:proofErr w:type="spellStart"/>
      <w:r w:rsidRPr="009319A6">
        <w:rPr>
          <w:lang w:eastAsia="sk-SK" w:bidi="ar-SA"/>
        </w:rPr>
        <w:t>Colanderom</w:t>
      </w:r>
      <w:proofErr w:type="spellEnd"/>
      <w:r w:rsidRPr="009319A6">
        <w:rPr>
          <w:lang w:eastAsia="sk-SK" w:bidi="ar-SA"/>
        </w:rPr>
        <w:t xml:space="preserve"> a </w:t>
      </w:r>
      <w:proofErr w:type="spellStart"/>
      <w:r w:rsidRPr="009319A6">
        <w:rPr>
          <w:lang w:eastAsia="sk-SK" w:bidi="ar-SA"/>
        </w:rPr>
        <w:t>Joannou</w:t>
      </w:r>
      <w:proofErr w:type="spellEnd"/>
      <w:r w:rsidRPr="009319A6">
        <w:rPr>
          <w:lang w:eastAsia="sk-SK" w:bidi="ar-SA"/>
        </w:rPr>
        <w:t xml:space="preserve"> </w:t>
      </w:r>
      <w:proofErr w:type="spellStart"/>
      <w:r w:rsidRPr="009319A6">
        <w:rPr>
          <w:lang w:eastAsia="sk-SK" w:bidi="ar-SA"/>
        </w:rPr>
        <w:t>Wayland</w:t>
      </w:r>
      <w:proofErr w:type="spellEnd"/>
      <w:r w:rsidRPr="009319A6">
        <w:rPr>
          <w:lang w:eastAsia="sk-SK" w:bidi="ar-SA"/>
        </w:rPr>
        <w:t xml:space="preserve"> </w:t>
      </w:r>
      <w:proofErr w:type="spellStart"/>
      <w:r w:rsidRPr="009319A6">
        <w:rPr>
          <w:lang w:eastAsia="sk-SK" w:bidi="ar-SA"/>
        </w:rPr>
        <w:t>Woos</w:t>
      </w:r>
      <w:proofErr w:type="spellEnd"/>
      <w:r w:rsidRPr="009319A6">
        <w:rPr>
          <w:vertAlign w:val="superscript"/>
          <w:lang w:eastAsia="sk-SK" w:bidi="ar-SA"/>
        </w:rPr>
        <w:endnoteReference w:id="39"/>
      </w:r>
      <w:r w:rsidRPr="009319A6">
        <w:rPr>
          <w:lang w:eastAsia="sk-SK" w:bidi="ar-SA"/>
        </w:rPr>
        <w:t xml:space="preserve"> ako opozícia voči teórii ľudského kapitálu, vysvetľujúceho rodové rozdiely v zárobkoch. Autori tvrdia, že teória voľby vylučuje akékoľvek úvahy o inštitucionálnej diskriminácii a zjednodušuje produktívne systémy. Tie majú ale množstvo inštitucionalizovaných podmienok a štruktúr, ktoré ich vedú určitým smerom určovaným  na mocenských pozíciách. V ekonomických procesoch majú „</w:t>
      </w:r>
      <w:proofErr w:type="spellStart"/>
      <w:r w:rsidRPr="009319A6">
        <w:rPr>
          <w:lang w:eastAsia="sk-SK" w:bidi="ar-SA"/>
        </w:rPr>
        <w:t>insideri</w:t>
      </w:r>
      <w:proofErr w:type="spellEnd"/>
      <w:r w:rsidRPr="009319A6">
        <w:rPr>
          <w:lang w:eastAsia="sk-SK" w:bidi="ar-SA"/>
        </w:rPr>
        <w:t xml:space="preserve">“ na vedúcich priečkach (spravidla muži) možnosť voliť pracovné techniky a metódy, ktoré ich samotných uprednostňujú a preferujú ich vlastný ľudský kapitál ako ten správny a nevyhnutný. Takto je jednoducho možné vytvárať predsudky voči práci žien. Muži sa na ochranu vlastných pozícií kolektívne zasadzujú za organizáciu či reorganizáciu práce, jej </w:t>
      </w:r>
      <w:proofErr w:type="spellStart"/>
      <w:r w:rsidRPr="009319A6">
        <w:rPr>
          <w:lang w:eastAsia="sk-SK" w:bidi="ar-SA"/>
        </w:rPr>
        <w:t>evaluáciu</w:t>
      </w:r>
      <w:proofErr w:type="spellEnd"/>
      <w:r w:rsidRPr="009319A6">
        <w:rPr>
          <w:lang w:eastAsia="sk-SK" w:bidi="ar-SA"/>
        </w:rPr>
        <w:t xml:space="preserve"> a kritériá ohodnotenia alebo zavádzanie nových technológií tak, aby  vytvorené podmienky </w:t>
      </w:r>
      <w:r>
        <w:rPr>
          <w:lang w:eastAsia="sk-SK" w:bidi="ar-SA"/>
        </w:rPr>
        <w:t>vyhovovali práve im.</w:t>
      </w:r>
      <w:r w:rsidRPr="009319A6">
        <w:rPr>
          <w:lang w:eastAsia="sk-SK" w:bidi="ar-SA"/>
        </w:rPr>
        <w:t xml:space="preserve"> V ekonomickom žargóne sa hovorí, že si vytvárajú „</w:t>
      </w:r>
      <w:proofErr w:type="spellStart"/>
      <w:r w:rsidRPr="009319A6">
        <w:rPr>
          <w:lang w:eastAsia="sk-SK" w:bidi="ar-SA"/>
        </w:rPr>
        <w:t>insiderskú</w:t>
      </w:r>
      <w:proofErr w:type="spellEnd"/>
      <w:r w:rsidRPr="009319A6">
        <w:rPr>
          <w:lang w:eastAsia="sk-SK" w:bidi="ar-SA"/>
        </w:rPr>
        <w:t xml:space="preserve"> rentu“. </w:t>
      </w:r>
    </w:p>
    <w:p w:rsidR="00F31B3D" w:rsidRPr="009319A6" w:rsidRDefault="00F31B3D" w:rsidP="0017792F">
      <w:pPr>
        <w:pStyle w:val="Default"/>
        <w:rPr>
          <w:lang w:eastAsia="sk-SK" w:bidi="ar-SA"/>
        </w:rPr>
      </w:pPr>
      <w:r w:rsidRPr="009319A6">
        <w:rPr>
          <w:lang w:eastAsia="sk-SK" w:bidi="ar-SA"/>
        </w:rPr>
        <w:t xml:space="preserve">Príkladom takéhoto prístupu môže byť </w:t>
      </w:r>
      <w:proofErr w:type="spellStart"/>
      <w:r w:rsidRPr="009319A6">
        <w:rPr>
          <w:lang w:eastAsia="sk-SK" w:bidi="ar-SA"/>
        </w:rPr>
        <w:t>evaluácia</w:t>
      </w:r>
      <w:proofErr w:type="spellEnd"/>
      <w:r w:rsidRPr="009319A6">
        <w:rPr>
          <w:lang w:eastAsia="sk-SK" w:bidi="ar-SA"/>
        </w:rPr>
        <w:t xml:space="preserve"> práce na základe odpracovaného času. Muži, ktorí spravidla vykonávajú len málo prác v domácnosti a v starostlivosti o deti si môžu </w:t>
      </w:r>
      <w:r>
        <w:rPr>
          <w:lang w:eastAsia="sk-SK" w:bidi="ar-SA"/>
        </w:rPr>
        <w:t>dovoliť tráviť v práci nadčasy</w:t>
      </w:r>
      <w:r w:rsidRPr="009319A6">
        <w:rPr>
          <w:lang w:eastAsia="sk-SK" w:bidi="ar-SA"/>
        </w:rPr>
        <w:t xml:space="preserve">. Oproti tomu ženy, ktoré sú nútené hľadať všetky možnosti pre zosúladenie rodinného a pracovného života, sa snažia o čo najhospodárnejšie a najefektívnejšie využitie času vrátane toho pracovného. Ak sa teda pri </w:t>
      </w:r>
      <w:proofErr w:type="spellStart"/>
      <w:r w:rsidRPr="009319A6">
        <w:rPr>
          <w:lang w:eastAsia="sk-SK" w:bidi="ar-SA"/>
        </w:rPr>
        <w:t>evaluácii</w:t>
      </w:r>
      <w:proofErr w:type="spellEnd"/>
      <w:r w:rsidRPr="009319A6">
        <w:rPr>
          <w:lang w:eastAsia="sk-SK" w:bidi="ar-SA"/>
        </w:rPr>
        <w:t xml:space="preserve"> práce berie do úvahy len počet odpracovaných hodín a nadčasy a neberú sa v úvahu individuálne rozdiely v efektivite a produktivite práce, toto môže znevýhodňovať ženy. Zo slovenskej reality </w:t>
      </w:r>
      <w:r>
        <w:rPr>
          <w:lang w:eastAsia="sk-SK" w:bidi="ar-SA"/>
        </w:rPr>
        <w:t xml:space="preserve">však </w:t>
      </w:r>
      <w:r w:rsidRPr="009319A6">
        <w:rPr>
          <w:lang w:eastAsia="sk-SK" w:bidi="ar-SA"/>
        </w:rPr>
        <w:t xml:space="preserve">poznáme príklady, keď ženy, prijaté na polovičný pracovný úväzok, vykonávajú náplň práce stanovenú pre úväzok plný. Samozrejme, za polovičnú mzdu. </w:t>
      </w:r>
    </w:p>
    <w:p w:rsidR="00F31B3D" w:rsidRPr="009319A6" w:rsidRDefault="00F31B3D" w:rsidP="0017792F">
      <w:pPr>
        <w:pStyle w:val="Default"/>
        <w:rPr>
          <w:lang w:eastAsia="sk-SK" w:bidi="ar-SA"/>
        </w:rPr>
      </w:pPr>
      <w:r w:rsidRPr="009319A6">
        <w:rPr>
          <w:lang w:eastAsia="sk-SK" w:bidi="ar-SA"/>
        </w:rPr>
        <w:t>Množstvo odpracovaného času (samozrejme, v platenom zamestnaní) ako prirodzené vysvetlenie rodových rozdielov v zárobkoch býva najčastejší argument odporcov teórie diskriminácie, pretože „ženy pracujú menej“. Je zrejmé, že sa jedná o výpoveď v rovine kvantitatívnej a nie kvalitatívnej. Paradoxne, samotn</w:t>
      </w:r>
      <w:r w:rsidR="00FC16FC">
        <w:rPr>
          <w:lang w:eastAsia="sk-SK" w:bidi="ar-SA"/>
        </w:rPr>
        <w:t>í</w:t>
      </w:r>
      <w:r w:rsidRPr="009319A6">
        <w:rPr>
          <w:lang w:eastAsia="sk-SK" w:bidi="ar-SA"/>
        </w:rPr>
        <w:t xml:space="preserve"> zástanc</w:t>
      </w:r>
      <w:r w:rsidR="00FC16FC">
        <w:rPr>
          <w:lang w:eastAsia="sk-SK" w:bidi="ar-SA"/>
        </w:rPr>
        <w:t xml:space="preserve">ovia </w:t>
      </w:r>
      <w:r w:rsidRPr="009319A6">
        <w:rPr>
          <w:lang w:eastAsia="sk-SK" w:bidi="ar-SA"/>
        </w:rPr>
        <w:t>teórie voľby</w:t>
      </w:r>
      <w:r w:rsidRPr="009319A6">
        <w:rPr>
          <w:vertAlign w:val="superscript"/>
          <w:lang w:eastAsia="sk-SK" w:bidi="ar-SA"/>
        </w:rPr>
        <w:endnoteReference w:id="40"/>
      </w:r>
      <w:r w:rsidRPr="009319A6">
        <w:rPr>
          <w:lang w:eastAsia="sk-SK" w:bidi="ar-SA"/>
        </w:rPr>
        <w:t xml:space="preserve"> hovor</w:t>
      </w:r>
      <w:r w:rsidR="00FC16FC">
        <w:rPr>
          <w:lang w:eastAsia="sk-SK" w:bidi="ar-SA"/>
        </w:rPr>
        <w:t>ia</w:t>
      </w:r>
      <w:r w:rsidRPr="009319A6">
        <w:rPr>
          <w:lang w:eastAsia="sk-SK" w:bidi="ar-SA"/>
        </w:rPr>
        <w:t>, že 13</w:t>
      </w:r>
      <w:r w:rsidR="005C794F">
        <w:rPr>
          <w:lang w:eastAsia="sk-SK" w:bidi="ar-SA"/>
        </w:rPr>
        <w:t xml:space="preserve"> %</w:t>
      </w:r>
      <w:r w:rsidRPr="009319A6">
        <w:rPr>
          <w:lang w:eastAsia="sk-SK" w:bidi="ar-SA"/>
        </w:rPr>
        <w:t xml:space="preserve"> viac odpracovaného času prináša až 44</w:t>
      </w:r>
      <w:r w:rsidR="005C794F">
        <w:rPr>
          <w:lang w:eastAsia="sk-SK" w:bidi="ar-SA"/>
        </w:rPr>
        <w:t xml:space="preserve"> %</w:t>
      </w:r>
      <w:r w:rsidRPr="009319A6">
        <w:rPr>
          <w:lang w:eastAsia="sk-SK" w:bidi="ar-SA"/>
        </w:rPr>
        <w:t xml:space="preserve"> vyššiu mzdu, bez ohľadu na skutočnú produktivitu.  Bude preto zaujímavé sledovať, ako sa moderné formy práce ako </w:t>
      </w:r>
      <w:proofErr w:type="spellStart"/>
      <w:r w:rsidRPr="009319A6">
        <w:rPr>
          <w:lang w:eastAsia="sk-SK" w:bidi="ar-SA"/>
        </w:rPr>
        <w:t>teleworking</w:t>
      </w:r>
      <w:proofErr w:type="spellEnd"/>
      <w:r w:rsidRPr="009319A6">
        <w:rPr>
          <w:lang w:eastAsia="sk-SK" w:bidi="ar-SA"/>
        </w:rPr>
        <w:t xml:space="preserve"> odrazia na rodových rozdieloch v odmeňovaní. Tu sa totiž posudzuje len kvalita a splnenie úlohy a nie odpracovaný čas.</w:t>
      </w:r>
    </w:p>
    <w:p w:rsidR="00F31B3D" w:rsidRPr="009319A6" w:rsidRDefault="00F31B3D" w:rsidP="0017792F">
      <w:pPr>
        <w:pStyle w:val="Default"/>
        <w:rPr>
          <w:lang w:eastAsia="sk-SK" w:bidi="ar-SA"/>
        </w:rPr>
      </w:pPr>
      <w:proofErr w:type="spellStart"/>
      <w:r w:rsidRPr="009319A6">
        <w:rPr>
          <w:lang w:eastAsia="sk-SK" w:bidi="ar-SA"/>
        </w:rPr>
        <w:t>Stiegler</w:t>
      </w:r>
      <w:proofErr w:type="spellEnd"/>
      <w:r w:rsidRPr="009319A6">
        <w:rPr>
          <w:lang w:eastAsia="sk-SK" w:bidi="ar-SA"/>
        </w:rPr>
        <w:t xml:space="preserve"> v súlade s touto teóriou hovorí: „</w:t>
      </w:r>
      <w:r w:rsidRPr="0017792F">
        <w:rPr>
          <w:i/>
          <w:lang w:eastAsia="sk-SK" w:bidi="ar-SA"/>
        </w:rPr>
        <w:t>Pracovné procesy sú formované podľa mužského životného cyklu. Predpokladajú bezhraničné disponovanie časom, priestorovú flexibilitu a mužskú kultúru správania. Ženy síce nie sú a priori vylúčené kvôli svojmu pohlaviu, ale to sa stáva často dôvodom na ich vytláčanie. Ženy, ktoré vykonávajú im priradené domáce práce, nie sú - podľa ich rozsahu – schopné prispôsobovať sa normám pracovného trhu v požiadavkách času a dostupnosti</w:t>
      </w:r>
      <w:r w:rsidRPr="009319A6">
        <w:rPr>
          <w:lang w:eastAsia="sk-SK" w:bidi="ar-SA"/>
        </w:rPr>
        <w:t>.“</w:t>
      </w:r>
      <w:r w:rsidRPr="009319A6">
        <w:rPr>
          <w:vertAlign w:val="superscript"/>
          <w:lang w:eastAsia="sk-SK" w:bidi="ar-SA"/>
        </w:rPr>
        <w:endnoteReference w:id="41"/>
      </w:r>
    </w:p>
    <w:p w:rsidR="00BE33BB" w:rsidRDefault="00BE33BB">
      <w:pPr>
        <w:shd w:val="clear" w:color="auto" w:fill="auto"/>
        <w:spacing w:after="0" w:line="240" w:lineRule="auto"/>
        <w:jc w:val="left"/>
        <w:rPr>
          <w:caps/>
          <w:color w:val="000000"/>
          <w:sz w:val="28"/>
          <w:szCs w:val="24"/>
          <w:lang w:eastAsia="sk-SK" w:bidi="ar-SA"/>
        </w:rPr>
      </w:pPr>
      <w:bookmarkStart w:id="18" w:name="_Toc451508616"/>
      <w:r>
        <w:rPr>
          <w:lang w:eastAsia="sk-SK" w:bidi="ar-SA"/>
        </w:rPr>
        <w:lastRenderedPageBreak/>
        <w:br w:type="page"/>
      </w:r>
    </w:p>
    <w:p w:rsidR="00F31B3D" w:rsidRPr="009319A6" w:rsidRDefault="00F31B3D" w:rsidP="00F31B3D">
      <w:pPr>
        <w:pStyle w:val="Nadpis3"/>
        <w:rPr>
          <w:lang w:eastAsia="sk-SK" w:bidi="ar-SA"/>
        </w:rPr>
      </w:pPr>
      <w:r w:rsidRPr="009319A6">
        <w:rPr>
          <w:lang w:eastAsia="sk-SK" w:bidi="ar-SA"/>
        </w:rPr>
        <w:t>Teória diskriminácie</w:t>
      </w:r>
      <w:bookmarkEnd w:id="18"/>
    </w:p>
    <w:p w:rsidR="00F31B3D" w:rsidRDefault="00F31B3D" w:rsidP="0017792F">
      <w:pPr>
        <w:pStyle w:val="Default"/>
        <w:rPr>
          <w:lang w:eastAsia="sk-SK" w:bidi="ar-SA"/>
        </w:rPr>
      </w:pPr>
      <w:r w:rsidRPr="009319A6">
        <w:rPr>
          <w:lang w:eastAsia="sk-SK" w:bidi="ar-SA"/>
        </w:rPr>
        <w:t>Teória diskriminácia považuje za podstatný dôvod rozdielov v zárobkoch mužov a žien podceňovanie práce žien a diskriminačný prístup zamestnávateľov. Podceňovanie ženskej práce sa odohráva v dvoch rovinách: nižšie ohodnotenie pri výkone rovnakej pr</w:t>
      </w:r>
      <w:r w:rsidR="00620092">
        <w:rPr>
          <w:lang w:eastAsia="sk-SK" w:bidi="ar-SA"/>
        </w:rPr>
        <w:t>áce ako muži a podhodnotenie fe</w:t>
      </w:r>
      <w:r w:rsidRPr="009319A6">
        <w:rPr>
          <w:lang w:eastAsia="sk-SK" w:bidi="ar-SA"/>
        </w:rPr>
        <w:t>minizovaných sektorov ako takých.</w:t>
      </w:r>
      <w:r w:rsidRPr="009319A6">
        <w:rPr>
          <w:vertAlign w:val="superscript"/>
          <w:lang w:eastAsia="sk-SK" w:bidi="ar-SA"/>
        </w:rPr>
        <w:endnoteReference w:id="42"/>
      </w:r>
      <w:r w:rsidRPr="009319A6">
        <w:rPr>
          <w:lang w:eastAsia="sk-SK" w:bidi="ar-SA"/>
        </w:rPr>
        <w:t xml:space="preserve"> Britský výskumný tím dospel k výsledkom, podľa ktorých najdôležitejšie faktory rodových rozdielov v zárobkoch sú: diskriminácia (38</w:t>
      </w:r>
      <w:r w:rsidR="005C794F">
        <w:rPr>
          <w:lang w:eastAsia="sk-SK" w:bidi="ar-SA"/>
        </w:rPr>
        <w:t xml:space="preserve"> %</w:t>
      </w:r>
      <w:r w:rsidRPr="009319A6">
        <w:rPr>
          <w:lang w:eastAsia="sk-SK" w:bidi="ar-SA"/>
        </w:rPr>
        <w:t>) a rodová segregácia na trhu práce (10</w:t>
      </w:r>
      <w:r w:rsidR="005C794F">
        <w:rPr>
          <w:lang w:eastAsia="sk-SK" w:bidi="ar-SA"/>
        </w:rPr>
        <w:t xml:space="preserve"> %</w:t>
      </w:r>
      <w:r w:rsidRPr="009319A6">
        <w:rPr>
          <w:lang w:eastAsia="sk-SK" w:bidi="ar-SA"/>
        </w:rPr>
        <w:t>), skúsenosť v práci na plný úväzok (18</w:t>
      </w:r>
      <w:r w:rsidR="005C794F">
        <w:rPr>
          <w:lang w:eastAsia="sk-SK" w:bidi="ar-SA"/>
        </w:rPr>
        <w:t xml:space="preserve"> %</w:t>
      </w:r>
      <w:r w:rsidRPr="009319A6">
        <w:rPr>
          <w:lang w:eastAsia="sk-SK" w:bidi="ar-SA"/>
        </w:rPr>
        <w:t>), prerušenie práce kvôli starostlivosti o deti a iných členov domácnosti (14</w:t>
      </w:r>
      <w:r w:rsidR="005C794F">
        <w:rPr>
          <w:lang w:eastAsia="sk-SK" w:bidi="ar-SA"/>
        </w:rPr>
        <w:t xml:space="preserve"> %</w:t>
      </w:r>
      <w:r w:rsidRPr="009319A6">
        <w:rPr>
          <w:lang w:eastAsia="sk-SK" w:bidi="ar-SA"/>
        </w:rPr>
        <w:t>), vzdelanie (8</w:t>
      </w:r>
      <w:r w:rsidR="005C794F">
        <w:rPr>
          <w:lang w:eastAsia="sk-SK" w:bidi="ar-SA"/>
        </w:rPr>
        <w:t xml:space="preserve"> %</w:t>
      </w:r>
      <w:r w:rsidRPr="009319A6">
        <w:rPr>
          <w:lang w:eastAsia="sk-SK" w:bidi="ar-SA"/>
        </w:rPr>
        <w:t>), veľkosť firmy (4</w:t>
      </w:r>
      <w:r w:rsidR="005C794F">
        <w:rPr>
          <w:lang w:eastAsia="sk-SK" w:bidi="ar-SA"/>
        </w:rPr>
        <w:t xml:space="preserve"> %</w:t>
      </w:r>
      <w:r w:rsidRPr="009319A6">
        <w:rPr>
          <w:lang w:eastAsia="sk-SK" w:bidi="ar-SA"/>
        </w:rPr>
        <w:t>), čas odpracovaný na polovičný úväzok (3</w:t>
      </w:r>
      <w:r w:rsidR="005C794F">
        <w:rPr>
          <w:lang w:eastAsia="sk-SK" w:bidi="ar-SA"/>
        </w:rPr>
        <w:t xml:space="preserve"> %</w:t>
      </w:r>
      <w:r w:rsidRPr="009319A6">
        <w:rPr>
          <w:lang w:eastAsia="sk-SK" w:bidi="ar-SA"/>
        </w:rPr>
        <w:t>).</w:t>
      </w:r>
      <w:r w:rsidRPr="009319A6">
        <w:rPr>
          <w:vertAlign w:val="superscript"/>
          <w:lang w:eastAsia="sk-SK" w:bidi="ar-SA"/>
        </w:rPr>
        <w:endnoteReference w:id="43"/>
      </w:r>
    </w:p>
    <w:p w:rsidR="00F31B3D" w:rsidRDefault="00F31B3D" w:rsidP="0017792F">
      <w:pPr>
        <w:pStyle w:val="Default"/>
      </w:pPr>
      <w:r w:rsidRPr="00E572CE">
        <w:t>Teória ľudského kapitálu so zohľadnením veku, vzdelania a skúseností ako i charakteristika vykonávanej práce síce vysvetľuje časť rozdielu, ale len nepodstatnú. „</w:t>
      </w:r>
      <w:r w:rsidRPr="00445FD5">
        <w:rPr>
          <w:i/>
        </w:rPr>
        <w:t>Nevysvetliteľný podiel rodového rozdielu v zárobkoch je následkom diskriminácie, čo je okolo 21</w:t>
      </w:r>
      <w:r w:rsidR="005C794F">
        <w:rPr>
          <w:i/>
        </w:rPr>
        <w:t xml:space="preserve"> %</w:t>
      </w:r>
      <w:r w:rsidRPr="00445FD5">
        <w:rPr>
          <w:i/>
        </w:rPr>
        <w:t xml:space="preserve"> v domácich i zahraničných súkromných spoločnostiach a 9</w:t>
      </w:r>
      <w:r w:rsidR="005C794F">
        <w:rPr>
          <w:i/>
        </w:rPr>
        <w:t xml:space="preserve"> %</w:t>
      </w:r>
      <w:r w:rsidRPr="00445FD5">
        <w:rPr>
          <w:i/>
        </w:rPr>
        <w:t xml:space="preserve"> v štátnych podnikoch</w:t>
      </w:r>
      <w:r w:rsidRPr="00E572CE">
        <w:t>“,</w:t>
      </w:r>
      <w:r w:rsidR="00040752">
        <w:t xml:space="preserve"> hovorí analýza Svetovej banky</w:t>
      </w:r>
      <w:r w:rsidR="00040752">
        <w:rPr>
          <w:rStyle w:val="Odkaznavysvetlivku"/>
        </w:rPr>
        <w:endnoteReference w:id="44"/>
      </w:r>
      <w:r w:rsidR="00040752">
        <w:t>.</w:t>
      </w:r>
      <w:r>
        <w:t xml:space="preserve"> </w:t>
      </w:r>
    </w:p>
    <w:p w:rsidR="00F31B3D" w:rsidRPr="009319A6" w:rsidRDefault="00F31B3D" w:rsidP="0017792F">
      <w:pPr>
        <w:pStyle w:val="Default"/>
        <w:rPr>
          <w:lang w:eastAsia="sk-SK" w:bidi="ar-SA"/>
        </w:rPr>
      </w:pPr>
      <w:r w:rsidRPr="009319A6">
        <w:rPr>
          <w:lang w:eastAsia="sk-SK" w:bidi="ar-SA"/>
        </w:rPr>
        <w:t xml:space="preserve">Diskrimináciu ako hlavný faktor rodových rozdielov vďaka silnému vplyvu ženského hnutia osvojila aj Európska únia. Rodové expertky a experti v štúdii vypracovanej pre Európsku komisiu pomenovávajú dôvody existencie rodového rozdielu v odmeňovaní. </w:t>
      </w:r>
    </w:p>
    <w:p w:rsidR="00F31B3D" w:rsidRPr="00F0595B" w:rsidRDefault="00F31B3D" w:rsidP="0017792F">
      <w:pPr>
        <w:spacing w:line="240" w:lineRule="auto"/>
      </w:pPr>
      <w:r w:rsidRPr="00F0595B">
        <w:t>Európska komisia považuje za hlavné príčiny rodového mzdového rozdielu nasledujúce faktory</w:t>
      </w:r>
      <w:r>
        <w:rPr>
          <w:rStyle w:val="Odkaznavysvetlivku"/>
        </w:rPr>
        <w:endnoteReference w:id="45"/>
      </w:r>
      <w:r w:rsidRPr="00F0595B">
        <w:t>:</w:t>
      </w:r>
    </w:p>
    <w:p w:rsidR="00F31B3D" w:rsidRPr="00445FD5" w:rsidRDefault="00F31B3D" w:rsidP="0017792F">
      <w:pPr>
        <w:pStyle w:val="Odsekzoznamu"/>
        <w:numPr>
          <w:ilvl w:val="0"/>
          <w:numId w:val="9"/>
        </w:numPr>
        <w:spacing w:line="240" w:lineRule="auto"/>
        <w:rPr>
          <w:b/>
        </w:rPr>
      </w:pPr>
      <w:r w:rsidRPr="00445FD5">
        <w:rPr>
          <w:b/>
        </w:rPr>
        <w:t xml:space="preserve">Diskriminácia na pracovisku </w:t>
      </w:r>
    </w:p>
    <w:p w:rsidR="00F31B3D" w:rsidRDefault="00F31B3D" w:rsidP="0017792F">
      <w:pPr>
        <w:spacing w:line="240" w:lineRule="auto"/>
      </w:pPr>
      <w:r w:rsidRPr="00F0595B">
        <w:t xml:space="preserve">V niektorých prípadoch sa ženám a mužom nevyplácajú rovnaké mzdy, hoci vykonávajú tú istú prácu alebo prácu rovnakej hodnoty. Príčinou môže byť takzvaná </w:t>
      </w:r>
      <w:r w:rsidRPr="00F0595B">
        <w:rPr>
          <w:b/>
        </w:rPr>
        <w:t>priama diskriminácia</w:t>
      </w:r>
      <w:r w:rsidRPr="00F0595B">
        <w:t>, pri ktorej sa so ženami jednoducho zaobchádza menej priaznivo než s mužmi. Alebo to môže byť v dôsledku istej politiky alebo postupu, ktorý, hoci nebol vytvorený s cieľom diskriminovať, spôsobuje nespravodlivé zaobchádzanie s mužmi a</w:t>
      </w:r>
      <w:r>
        <w:t> </w:t>
      </w:r>
      <w:r w:rsidRPr="00F0595B">
        <w:t>ženami</w:t>
      </w:r>
      <w:r>
        <w:t xml:space="preserve">, teda tzv. </w:t>
      </w:r>
      <w:r w:rsidRPr="00F0595B">
        <w:rPr>
          <w:b/>
        </w:rPr>
        <w:t>nepriama diskriminácia</w:t>
      </w:r>
      <w:r w:rsidRPr="00F0595B">
        <w:t xml:space="preserve">. Oba typy diskriminácie právne predpisy EÚ zakazujú, nanešťastie sú však na niektorých pracoviskách stále prítomné. </w:t>
      </w:r>
    </w:p>
    <w:p w:rsidR="00F31B3D" w:rsidRPr="00445FD5" w:rsidRDefault="00F31B3D" w:rsidP="0017792F">
      <w:pPr>
        <w:pStyle w:val="Odsekzoznamu"/>
        <w:numPr>
          <w:ilvl w:val="0"/>
          <w:numId w:val="9"/>
        </w:numPr>
        <w:spacing w:line="240" w:lineRule="auto"/>
        <w:rPr>
          <w:b/>
        </w:rPr>
      </w:pPr>
      <w:r w:rsidRPr="00445FD5">
        <w:rPr>
          <w:b/>
        </w:rPr>
        <w:t xml:space="preserve">Odlišné pracovné miesta, odlišné odvetvia </w:t>
      </w:r>
      <w:r>
        <w:rPr>
          <w:b/>
        </w:rPr>
        <w:t>(rodová segregácia na trhu práce)</w:t>
      </w:r>
    </w:p>
    <w:p w:rsidR="00F31B3D" w:rsidRDefault="00F31B3D" w:rsidP="0017792F">
      <w:pPr>
        <w:spacing w:line="240" w:lineRule="auto"/>
      </w:pPr>
      <w:r w:rsidRPr="00713644">
        <w:t xml:space="preserve">K udržovaniu rodového mzdového rozdielu prispieva niekoľko faktorov, medzi inými je to </w:t>
      </w:r>
      <w:r w:rsidRPr="00713644">
        <w:rPr>
          <w:b/>
        </w:rPr>
        <w:t>horizontálna segregácia na pracovnom trhu</w:t>
      </w:r>
      <w:r w:rsidRPr="00713644">
        <w:t xml:space="preserve">; zamestnanosť žien najmä vo feminizovaných oblastiach národného hospodárstva s nízkou mzdovou úrovňou a sektorová segregácia najmä v súkromnom sektore. </w:t>
      </w:r>
    </w:p>
    <w:p w:rsidR="00F31B3D" w:rsidRDefault="00F31B3D" w:rsidP="0017792F">
      <w:pPr>
        <w:spacing w:line="240" w:lineRule="auto"/>
      </w:pPr>
      <w:r w:rsidRPr="00F0595B">
        <w:t>Ženy a muži pracujú na odlišných pracovných miestach a často aj v odlišných odvetviach. Len v sektore zdravotníctva tvoria ženy 80</w:t>
      </w:r>
      <w:r w:rsidR="005C794F">
        <w:t xml:space="preserve"> %</w:t>
      </w:r>
      <w:r w:rsidRPr="00F0595B">
        <w:t xml:space="preserve"> všetkých pracujúcich. Odvetvia, v ktorých pracujú väčšinou ženy, sa vyznačujú nižšími mzdami ako odvetvia, kde prevládajú muži. Keďže ženy vykonávajú neplatenú prácu a starajú sa o deti, </w:t>
      </w:r>
      <w:r w:rsidRPr="00F0595B">
        <w:lastRenderedPageBreak/>
        <w:t xml:space="preserve">zvyčajne mávajú skrátený pracovný čas. Zároveň pracujú zväčša v odvetviach s takými pracovnými miestami, ktoré sú zlučiteľné s ich rodinnými povinnosťami. V dôsledku toho ženy s väčšou pravdepodobnosťou pracujú na čiastočný úväzok, na horšie platených pracovných miestach a nezastávajú manažérske funkcie. </w:t>
      </w:r>
    </w:p>
    <w:p w:rsidR="00F31B3D" w:rsidRDefault="00F31B3D" w:rsidP="0017792F">
      <w:pPr>
        <w:spacing w:line="240" w:lineRule="auto"/>
        <w:rPr>
          <w:b/>
          <w:caps/>
          <w:color w:val="808080" w:themeColor="background1" w:themeShade="80"/>
          <w:spacing w:val="10"/>
          <w:sz w:val="18"/>
          <w:szCs w:val="18"/>
        </w:rPr>
      </w:pPr>
      <w:r w:rsidRPr="00713644">
        <w:t xml:space="preserve">Ďalším dôvodom je </w:t>
      </w:r>
      <w:r w:rsidRPr="00713644">
        <w:rPr>
          <w:b/>
        </w:rPr>
        <w:t>vertikálna segregácia</w:t>
      </w:r>
      <w:r w:rsidRPr="00713644">
        <w:t xml:space="preserve"> – tzv. sklený strop, determinujúci množstvo žien dosahujúcich najvyššie (a najlepšie odmeňované) pozície i v inak prefeminizovaných oblastiach. </w:t>
      </w:r>
    </w:p>
    <w:p w:rsidR="00F31B3D" w:rsidRPr="000256E7" w:rsidRDefault="00F31B3D" w:rsidP="0017792F">
      <w:pPr>
        <w:pStyle w:val="Popis"/>
        <w:spacing w:line="240" w:lineRule="auto"/>
      </w:pPr>
      <w:r w:rsidRPr="000256E7">
        <w:t xml:space="preserve">Graf </w:t>
      </w:r>
      <w:r w:rsidR="009F7A61">
        <w:fldChar w:fldCharType="begin"/>
      </w:r>
      <w:r w:rsidR="009F7A61">
        <w:instrText xml:space="preserve"> SEQ Graf \* ARABIC </w:instrText>
      </w:r>
      <w:r w:rsidR="009F7A61">
        <w:fldChar w:fldCharType="separate"/>
      </w:r>
      <w:r w:rsidR="004E53CF">
        <w:rPr>
          <w:noProof/>
        </w:rPr>
        <w:t>3</w:t>
      </w:r>
      <w:r w:rsidR="009F7A61">
        <w:rPr>
          <w:noProof/>
        </w:rPr>
        <w:fldChar w:fldCharType="end"/>
      </w:r>
      <w:r w:rsidRPr="000256E7">
        <w:t xml:space="preserve"> Segregačný index</w:t>
      </w:r>
    </w:p>
    <w:p w:rsidR="00F31B3D" w:rsidRDefault="00F31B3D" w:rsidP="0017792F">
      <w:pPr>
        <w:spacing w:line="240" w:lineRule="auto"/>
      </w:pPr>
      <w:r w:rsidRPr="007A344A">
        <w:rPr>
          <w:noProof/>
          <w:shd w:val="clear" w:color="auto" w:fill="D9D9D9" w:themeFill="background1" w:themeFillShade="D9"/>
          <w:lang w:eastAsia="sk-SK" w:bidi="ar-SA"/>
        </w:rPr>
        <w:drawing>
          <wp:inline distT="0" distB="0" distL="0" distR="0" wp14:anchorId="0687ACFD" wp14:editId="1E0411AC">
            <wp:extent cx="4777740" cy="2217420"/>
            <wp:effectExtent l="0" t="0" r="22860" b="1143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31B3D" w:rsidRDefault="00F31B3D" w:rsidP="0017792F">
      <w:pPr>
        <w:pStyle w:val="Popis"/>
        <w:spacing w:line="240" w:lineRule="auto"/>
      </w:pPr>
      <w:r>
        <w:t xml:space="preserve">Zdroj: Trexima </w:t>
      </w:r>
    </w:p>
    <w:p w:rsidR="00F31B3D" w:rsidRPr="00B22578" w:rsidRDefault="00F31B3D" w:rsidP="0017792F">
      <w:pPr>
        <w:pStyle w:val="Odsekzoznamu"/>
        <w:numPr>
          <w:ilvl w:val="0"/>
          <w:numId w:val="9"/>
        </w:numPr>
        <w:spacing w:line="240" w:lineRule="auto"/>
        <w:rPr>
          <w:b/>
        </w:rPr>
      </w:pPr>
      <w:r w:rsidRPr="00B22578">
        <w:rPr>
          <w:b/>
        </w:rPr>
        <w:t xml:space="preserve">Postupy na pracovisku a mzdové systémy </w:t>
      </w:r>
    </w:p>
    <w:p w:rsidR="00F31B3D" w:rsidRDefault="00F31B3D" w:rsidP="0017792F">
      <w:pPr>
        <w:spacing w:line="240" w:lineRule="auto"/>
      </w:pPr>
      <w:r w:rsidRPr="00F0595B">
        <w:t>Ženy a mužov ovplyvňujú odlišné postupy na pracovisku, napríklad v prípade možností kariérneho postupu a vzdelávania. Odlišné spôsoby odmeňovania zamestnancov (napr</w:t>
      </w:r>
      <w:r w:rsidR="00620092">
        <w:t xml:space="preserve">. </w:t>
      </w:r>
      <w:r w:rsidRPr="00F0595B">
        <w:t>prostredníctvom bonusov, príplatkov a výkonnostných odmien), ako aj aktuálna štruktúra mzdových systémov môžu mať za následok rozdielne zárobky zamestnaných žien a mužov. Táto diskriminácia je často dôsledkom historických a kultúrnych faktorov, ktoré vplývajú na spôsob stanovenia miezd. Tento takzvaný „sklený strop“ bráni ženám, aby získali najlepšie platené pracovné miesta.</w:t>
      </w:r>
    </w:p>
    <w:p w:rsidR="00F31B3D" w:rsidRPr="00713644" w:rsidRDefault="00F31B3D" w:rsidP="0017792F">
      <w:pPr>
        <w:spacing w:line="240" w:lineRule="auto"/>
      </w:pPr>
      <w:r w:rsidRPr="00713644">
        <w:t xml:space="preserve">Samotná </w:t>
      </w:r>
      <w:r w:rsidRPr="00713644">
        <w:rPr>
          <w:b/>
        </w:rPr>
        <w:t>štruktúra odmeňovania</w:t>
      </w:r>
      <w:r w:rsidRPr="00713644">
        <w:t xml:space="preserve"> môže mať vplyv na udržovanie rozdielu; platobné systémy pozostávajú z rôznych zložiek, vyjednávaných na individuálnej úrovni, pričom ich úroveň sa považuje za dôveryhodnú informáciu osobného  charakteru. V týchto vyjednávaniach sú spravidla menej úspešné a často znevýhodnené, najmä ak sa </w:t>
      </w:r>
      <w:proofErr w:type="spellStart"/>
      <w:r w:rsidRPr="00713644">
        <w:t>evaluácia</w:t>
      </w:r>
      <w:proofErr w:type="spellEnd"/>
      <w:r w:rsidRPr="00713644">
        <w:t xml:space="preserve"> práce zakladá čisto na počte odpracovaných hodín, pričom ženy si spravidla kvôli rodinným povinnostiam nemôžu dovoliť pracovať nadčasy.</w:t>
      </w:r>
    </w:p>
    <w:p w:rsidR="00F31B3D" w:rsidRPr="00713644" w:rsidRDefault="00F31B3D" w:rsidP="0017792F">
      <w:pPr>
        <w:spacing w:line="240" w:lineRule="auto"/>
      </w:pPr>
      <w:r w:rsidRPr="00F31B3D">
        <w:t>Z hľadiska nastavenia pracovného trhu prevláda „mužský model“ pracovného trhu</w:t>
      </w:r>
      <w:r w:rsidRPr="00713644">
        <w:t xml:space="preserve"> a jeho systému odmeňovania, prispôsobený typickému mužskému životnému cyklu a potrebám. Legislatívne snahy o zrovnoprávnenie ženskej práce nútia ženy prispôsobovať sa „mužským pracovným modelom“, ktoré napr. nezohľadňujú </w:t>
      </w:r>
      <w:r w:rsidRPr="00713644">
        <w:lastRenderedPageBreak/>
        <w:t>skúsenosti a kvalifikáciu získanú mimo plateného pracovného procesu (starostlivosť o členov ro</w:t>
      </w:r>
      <w:r w:rsidR="00620092">
        <w:t xml:space="preserve">diny a domácnosť, </w:t>
      </w:r>
      <w:proofErr w:type="spellStart"/>
      <w:r w:rsidR="00620092">
        <w:t>mikro</w:t>
      </w:r>
      <w:proofErr w:type="spellEnd"/>
      <w:r w:rsidR="00620092">
        <w:t xml:space="preserve"> - manaž</w:t>
      </w:r>
      <w:r w:rsidRPr="00713644">
        <w:t>ment na úrovni domácnosti atď.) Systémy kolektívneho vyjednávania, ktoré môžu mať rozhodujúci vplyv na znižovanie rodového rozdielu v zárobkoch, sú charakterizované minimálnym zastúpením žien a tým absentujúcimi špecifickými požiadavkami napr. na odstraňovanie rozdielov v zárobkoch a podporu zosúladenia pracovného a rodinného života, ktoré je pre ženy rozhodujúcim faktorom pri uplatnení sa na trhu práce.</w:t>
      </w:r>
    </w:p>
    <w:p w:rsidR="00F31B3D" w:rsidRPr="00B22578" w:rsidRDefault="00F31B3D" w:rsidP="0017792F">
      <w:pPr>
        <w:pStyle w:val="Odsekzoznamu"/>
        <w:numPr>
          <w:ilvl w:val="0"/>
          <w:numId w:val="9"/>
        </w:numPr>
        <w:spacing w:line="240" w:lineRule="auto"/>
        <w:rPr>
          <w:b/>
        </w:rPr>
      </w:pPr>
      <w:r w:rsidRPr="00B22578">
        <w:rPr>
          <w:b/>
        </w:rPr>
        <w:t xml:space="preserve">Podceňovanie práce žien a ich zručností </w:t>
      </w:r>
    </w:p>
    <w:p w:rsidR="002D0FBE" w:rsidRDefault="00F31B3D" w:rsidP="0017792F">
      <w:pPr>
        <w:spacing w:line="240" w:lineRule="auto"/>
      </w:pPr>
      <w:r>
        <w:t>Zručnosti a schopnosti žien sú často podceňované najmä v povolaniach, kde prevládajú ženy. To je príčinou nižších sadzieb v odmeňovaní žien. Fyzická práca, ktorú zvyčajne vykonávajú muži, je často odmeňovaná lepšie ako práca žien. Napríklad v supermarkete zarábajú ženy – pokladníčky obvykle menej ako muži – skladníci. Ak ženy prevládajú v určitých málopočetných odvetviach, väčšinou dostávajú nižšie mzdy. Čo sa týka mužov, tu platí opak. Čím viac v danom odvetví prevláda mužov, tým lepšie zarábajú. Na ilustráciu: keď sú ženy združované v zamestnaniach, v ktorých prevládajú ženy, napríklad upratovacie služby, zvyčajne zarábajú menej ako muži, ktorí majú porovnateľné zručnosti v zamestnaniach, v ktorých prevládajú muži, napríklad odvoz odpadu. Zručnosti žien sú často podceňované, pretože sa na ne nazerá ako na „typické ženské vlastnosti“ a nie ako na nadobudnuté zručnosti a schopnosti. Zdravotná sestra napríklad zarába menej v porovnaní so zdravotníckym technikom</w:t>
      </w:r>
      <w:r w:rsidR="00BD1C83">
        <w:t xml:space="preserve"> (označenia povolaní uvádzané v zmysle ISCP)</w:t>
      </w:r>
      <w:r>
        <w:t xml:space="preserve">, aj napriek tomu, že majú porovnateľnú úroveň kvalifikácie. Výsledkom môžu byť rodové predsudky pri stanovení platov a hodnotení práce, ktorú ženy vykonávajú. </w:t>
      </w:r>
    </w:p>
    <w:p w:rsidR="002D0FBE" w:rsidRPr="002D0FBE" w:rsidRDefault="00F31B3D" w:rsidP="002D0FBE">
      <w:pPr>
        <w:pStyle w:val="Odsekzoznamu"/>
        <w:numPr>
          <w:ilvl w:val="0"/>
          <w:numId w:val="9"/>
        </w:numPr>
        <w:spacing w:line="240" w:lineRule="auto"/>
        <w:rPr>
          <w:b/>
        </w:rPr>
      </w:pPr>
      <w:r w:rsidRPr="002D0FBE">
        <w:rPr>
          <w:b/>
        </w:rPr>
        <w:t xml:space="preserve">Málo žien na vedúcich a manažérskych miestach </w:t>
      </w:r>
    </w:p>
    <w:p w:rsidR="00F31B3D" w:rsidRDefault="00F31B3D" w:rsidP="0017792F">
      <w:pPr>
        <w:spacing w:line="240" w:lineRule="auto"/>
      </w:pPr>
      <w:r>
        <w:t>Zastúpenie žien v politike a hospodárstve je nedostatočné. Ženy predstavujú len tretinu vedcov a inžinierov v celej Európe. Dokonca aj v odvetviach, v ktorých prevládajú ženy, je ich zastúpenie na vedúcich pozíciách, a najmä vo vrcholovom manažmente, veľmi nízke. V roku 2013 ženy tvorili len 17,8</w:t>
      </w:r>
      <w:r w:rsidR="005C794F">
        <w:t xml:space="preserve"> %</w:t>
      </w:r>
      <w:r>
        <w:t xml:space="preserve"> členov predstavenstiev najväčších verejne kótovaných spoločností v EÚ a iba 4,8</w:t>
      </w:r>
      <w:r w:rsidR="005C794F">
        <w:t xml:space="preserve"> %</w:t>
      </w:r>
      <w:r>
        <w:t xml:space="preserve"> je v predsedníckej funkcii</w:t>
      </w:r>
      <w:r w:rsidR="002D0FBE">
        <w:t xml:space="preserve"> </w:t>
      </w:r>
      <w:r>
        <w:t>týchto predstavenstiev. Podiel žien v pozícii generálneho riaditeľa bol ešte nižší, a to na úrovni 2,8</w:t>
      </w:r>
      <w:r w:rsidR="005C794F">
        <w:t xml:space="preserve"> %</w:t>
      </w:r>
      <w:r>
        <w:t xml:space="preserve">. </w:t>
      </w:r>
    </w:p>
    <w:p w:rsidR="00F31B3D" w:rsidRPr="00B22578" w:rsidRDefault="00F31B3D" w:rsidP="0017792F">
      <w:pPr>
        <w:pStyle w:val="Odsekzoznamu"/>
        <w:numPr>
          <w:ilvl w:val="0"/>
          <w:numId w:val="9"/>
        </w:numPr>
        <w:spacing w:line="240" w:lineRule="auto"/>
        <w:rPr>
          <w:b/>
        </w:rPr>
      </w:pPr>
      <w:r w:rsidRPr="00B22578">
        <w:rPr>
          <w:b/>
        </w:rPr>
        <w:t>Stereotyp</w:t>
      </w:r>
      <w:r>
        <w:rPr>
          <w:b/>
        </w:rPr>
        <w:t>n</w:t>
      </w:r>
      <w:r w:rsidRPr="00B22578">
        <w:rPr>
          <w:b/>
        </w:rPr>
        <w:t xml:space="preserve">é roly a tradície </w:t>
      </w:r>
    </w:p>
    <w:p w:rsidR="00F31B3D" w:rsidRDefault="00F31B3D" w:rsidP="0017792F">
      <w:pPr>
        <w:spacing w:line="240" w:lineRule="auto"/>
      </w:pPr>
      <w:r>
        <w:t>Typické roly a tradície formujú úlohy žien a mužov v spoločnosti už od veľmi skorého veku. Tradície a typické roly môžu ovplyvniť napríklad voľbu vzdelania mladého muža alebo mladej ženy. Tieto rozhodnutia ovplyvňujú tradičné hodnoty a predpokladané pracovné modely. Na základe výskumu možno konštatovať, že ženy vo vedúcich pozíciách v „typicky ženských“ zamestnaniach zarábajú podstatne menej ako ženy vo vedúcich pozíciách „typicky mužských“ zamestnaní.</w:t>
      </w:r>
    </w:p>
    <w:p w:rsidR="00F31B3D" w:rsidRPr="00B22578" w:rsidRDefault="00F31B3D" w:rsidP="0017792F">
      <w:pPr>
        <w:pStyle w:val="Odsekzoznamu"/>
        <w:numPr>
          <w:ilvl w:val="0"/>
          <w:numId w:val="9"/>
        </w:numPr>
        <w:spacing w:line="240" w:lineRule="auto"/>
        <w:rPr>
          <w:b/>
        </w:rPr>
      </w:pPr>
      <w:r w:rsidRPr="00B22578">
        <w:rPr>
          <w:b/>
        </w:rPr>
        <w:t xml:space="preserve">Vyváženie pracovných a rodinných povinností </w:t>
      </w:r>
    </w:p>
    <w:p w:rsidR="00F31B3D" w:rsidRDefault="00F31B3D" w:rsidP="0017792F">
      <w:pPr>
        <w:spacing w:line="240" w:lineRule="auto"/>
      </w:pPr>
      <w:r>
        <w:lastRenderedPageBreak/>
        <w:t xml:space="preserve">Ženy mávajú skrátený pracovný čas a často pracujú na čiastočný úväzok, aby mohli lepšie skombinovať rodinné povinnosti s platenou prácou. Príležitosti žien na postup v povolaní a na vyšší plat sú taktiež ovplyvnené ich rodinnými povinnosťami. Rozdiel v mzdách mužov a žien je ešte markantnejší, keď majú ženy deti a pracujú na čiastočný úväzok. Ženy trávia viac času domácimi prácami a starostlivosťou o rodinu. Len veľmi málo mužov nastúpi na rodičovskú dovolenku alebo pracuje na čiastočný úväzok. Hoci muži trávia na pracovisku viac hodín, spočítaním platených a neplatených pracovných hodín ženy možno zistiť, že v porovnaní s mužmi odpracujú ženy výrazne vyšší počet hodín. </w:t>
      </w:r>
    </w:p>
    <w:p w:rsidR="00603EB2" w:rsidRDefault="00603EB2" w:rsidP="0017792F">
      <w:pPr>
        <w:shd w:val="clear" w:color="auto" w:fill="auto"/>
        <w:spacing w:line="240" w:lineRule="auto"/>
        <w:jc w:val="left"/>
        <w:rPr>
          <w:caps/>
          <w:color w:val="000000"/>
          <w:spacing w:val="15"/>
          <w:sz w:val="32"/>
          <w:szCs w:val="24"/>
        </w:rPr>
      </w:pPr>
    </w:p>
    <w:p w:rsidR="00E7791A" w:rsidRDefault="00E7791A" w:rsidP="0017792F">
      <w:pPr>
        <w:pStyle w:val="Nadpis2"/>
        <w:numPr>
          <w:ilvl w:val="0"/>
          <w:numId w:val="8"/>
        </w:numPr>
        <w:spacing w:before="0" w:line="240" w:lineRule="auto"/>
      </w:pPr>
      <w:bookmarkStart w:id="19" w:name="_Toc451508617"/>
      <w:r>
        <w:t>Záver</w:t>
      </w:r>
      <w:r w:rsidR="00603EB2">
        <w:t>y a odporúčania</w:t>
      </w:r>
      <w:bookmarkEnd w:id="19"/>
      <w:r>
        <w:t xml:space="preserve"> </w:t>
      </w:r>
    </w:p>
    <w:p w:rsidR="00FC16FC" w:rsidRDefault="00FC16FC" w:rsidP="0017792F">
      <w:pPr>
        <w:spacing w:line="240" w:lineRule="auto"/>
        <w:rPr>
          <w:lang w:eastAsia="de-DE"/>
        </w:rPr>
      </w:pPr>
      <w:r w:rsidRPr="00E7791A">
        <w:t>Rozdiel</w:t>
      </w:r>
      <w:r w:rsidR="00E7791A">
        <w:t>y</w:t>
      </w:r>
      <w:r w:rsidRPr="00E7791A">
        <w:t xml:space="preserve"> v odmeňovaní žien a mužov </w:t>
      </w:r>
      <w:r w:rsidR="00E7791A">
        <w:t xml:space="preserve">predstavujú </w:t>
      </w:r>
      <w:r w:rsidRPr="00E7791A">
        <w:t>teda komplexný problém zapríčinený viacerými navzájom súvisiacimi faktormi.</w:t>
      </w:r>
      <w:r>
        <w:t xml:space="preserve"> </w:t>
      </w:r>
      <w:r w:rsidRPr="005E1D78">
        <w:rPr>
          <w:lang w:eastAsia="de-DE"/>
        </w:rPr>
        <w:t>Rozdiely v</w:t>
      </w:r>
      <w:r>
        <w:rPr>
          <w:lang w:eastAsia="de-DE"/>
        </w:rPr>
        <w:t xml:space="preserve"> mzde medzi mužmi a ženami majú komplexné a hlboko zakorenené príčiny, napriek tomu je možné niektoré z nich vysvetliť vplyvom niekoľkých faktorov ako sú osobné charakteristiky- vek a prax zamestnanca/kyne, investície do ľudského kapitálu – vzdelanie, </w:t>
      </w:r>
      <w:r w:rsidRPr="005E1D78">
        <w:rPr>
          <w:lang w:eastAsia="de-DE"/>
        </w:rPr>
        <w:t>charakteristiky na trhu práce (úväzok, typ zmluvy)</w:t>
      </w:r>
      <w:r>
        <w:rPr>
          <w:lang w:eastAsia="de-DE"/>
        </w:rPr>
        <w:t>, f</w:t>
      </w:r>
      <w:r w:rsidRPr="005E1D78">
        <w:rPr>
          <w:lang w:eastAsia="de-DE"/>
        </w:rPr>
        <w:t>i</w:t>
      </w:r>
      <w:r>
        <w:rPr>
          <w:lang w:eastAsia="de-DE"/>
        </w:rPr>
        <w:t>remné charakteristiky (odvetvie</w:t>
      </w:r>
      <w:r w:rsidRPr="005E1D78">
        <w:rPr>
          <w:lang w:eastAsia="de-DE"/>
        </w:rPr>
        <w:t>, veľkosť, región, vlastníc</w:t>
      </w:r>
      <w:r>
        <w:rPr>
          <w:lang w:eastAsia="de-DE"/>
        </w:rPr>
        <w:t>tvo</w:t>
      </w:r>
      <w:r w:rsidRPr="005E1D78">
        <w:rPr>
          <w:lang w:eastAsia="de-DE"/>
        </w:rPr>
        <w:t>)</w:t>
      </w:r>
      <w:r>
        <w:rPr>
          <w:lang w:eastAsia="de-DE"/>
        </w:rPr>
        <w:t xml:space="preserve"> a s nimi súvisiaca horizontálna s</w:t>
      </w:r>
      <w:r w:rsidRPr="005E1D78">
        <w:rPr>
          <w:lang w:eastAsia="de-DE"/>
        </w:rPr>
        <w:t>egregácia (podiel žien v: podniku, odvetví, zamestnaní)</w:t>
      </w:r>
      <w:r>
        <w:rPr>
          <w:lang w:eastAsia="de-DE"/>
        </w:rPr>
        <w:t xml:space="preserve">. </w:t>
      </w:r>
    </w:p>
    <w:p w:rsidR="00847F93" w:rsidRDefault="00847F93" w:rsidP="0017792F">
      <w:pPr>
        <w:spacing w:line="240" w:lineRule="auto"/>
      </w:pPr>
      <w:r>
        <w:t>Rozdiely v odmeňovaní žien a mužov zapríčiňujú, že ženy majú nižšie celoživotné zárobky. V dôsledku toho dostávajú nižšie dôchodky a existuje u nich vyššie riziko chudoby v starobe</w:t>
      </w:r>
      <w:r w:rsidRPr="007E7B3F">
        <w:t xml:space="preserve">. V roku 2012 bola </w:t>
      </w:r>
      <w:r w:rsidR="007E7B3F">
        <w:t xml:space="preserve">podľa zisťovaní EU SILC </w:t>
      </w:r>
      <w:r w:rsidRPr="007E7B3F">
        <w:t>miera rizika chudoby 21,7</w:t>
      </w:r>
      <w:r w:rsidR="005C794F">
        <w:t xml:space="preserve"> %</w:t>
      </w:r>
      <w:r w:rsidRPr="007E7B3F">
        <w:t xml:space="preserve"> u žien vo veku 65 a viac rok</w:t>
      </w:r>
      <w:r w:rsidR="007E7B3F" w:rsidRPr="007E7B3F">
        <w:t>ov v porovnaní so 16,3</w:t>
      </w:r>
      <w:r w:rsidR="005C794F">
        <w:t xml:space="preserve"> %</w:t>
      </w:r>
      <w:r w:rsidR="007E7B3F" w:rsidRPr="007E7B3F">
        <w:t xml:space="preserve"> u mužov, na Slovensku bol tento nepomer ešte vyšší (19</w:t>
      </w:r>
      <w:r w:rsidR="005C794F">
        <w:t xml:space="preserve"> %</w:t>
      </w:r>
      <w:r w:rsidR="007E7B3F" w:rsidRPr="007E7B3F">
        <w:t xml:space="preserve"> u žien oproti 11,9</w:t>
      </w:r>
      <w:r w:rsidR="005C794F">
        <w:t xml:space="preserve"> %</w:t>
      </w:r>
      <w:r w:rsidR="007E7B3F" w:rsidRPr="007E7B3F">
        <w:t xml:space="preserve"> u mužov)</w:t>
      </w:r>
      <w:r w:rsidRPr="007E7B3F">
        <w:t>.</w:t>
      </w:r>
    </w:p>
    <w:p w:rsidR="00847F93" w:rsidRDefault="00847F93" w:rsidP="0017792F">
      <w:pPr>
        <w:spacing w:line="240" w:lineRule="auto"/>
      </w:pPr>
    </w:p>
    <w:p w:rsidR="00847F93" w:rsidRPr="004664BC" w:rsidRDefault="00847F93" w:rsidP="0017792F">
      <w:pPr>
        <w:pStyle w:val="Nadpis3"/>
        <w:spacing w:before="0" w:line="240" w:lineRule="auto"/>
      </w:pPr>
      <w:bookmarkStart w:id="20" w:name="_Toc451508618"/>
      <w:r w:rsidRPr="004664BC">
        <w:t>prínosy odstránenia rodových rozdielov v odmeňovaní</w:t>
      </w:r>
      <w:bookmarkEnd w:id="20"/>
      <w:r w:rsidRPr="004664BC">
        <w:t xml:space="preserve"> </w:t>
      </w:r>
    </w:p>
    <w:p w:rsidR="00847F93" w:rsidRPr="00847F93" w:rsidRDefault="00847F93" w:rsidP="0017792F">
      <w:pPr>
        <w:spacing w:line="240" w:lineRule="auto"/>
      </w:pPr>
      <w:r w:rsidRPr="004664BC">
        <w:t>Európska komisia vo svojom materiál</w:t>
      </w:r>
      <w:r w:rsidR="002D0FBE">
        <w:t>i</w:t>
      </w:r>
      <w:r w:rsidR="00235D6C">
        <w:t xml:space="preserve"> </w:t>
      </w:r>
      <w:r w:rsidR="00235D6C" w:rsidRPr="00235D6C">
        <w:rPr>
          <w:i/>
        </w:rPr>
        <w:t>„Boj proti rozdielom v odmeňovaní žien a mužov v Európskej únii“</w:t>
      </w:r>
      <w:r w:rsidR="00235D6C" w:rsidRPr="00235D6C">
        <w:rPr>
          <w:rStyle w:val="Odkaznavysvetlivku"/>
          <w:vertAlign w:val="baseline"/>
        </w:rPr>
        <w:t xml:space="preserve"> </w:t>
      </w:r>
      <w:r w:rsidR="00641638" w:rsidRPr="004664BC">
        <w:rPr>
          <w:rStyle w:val="Odkaznavysvetlivku"/>
        </w:rPr>
        <w:endnoteReference w:id="46"/>
      </w:r>
      <w:r w:rsidRPr="004664BC">
        <w:t xml:space="preserve"> uvádza</w:t>
      </w:r>
      <w:r w:rsidR="004664BC">
        <w:t xml:space="preserve"> najdôležitejšie argumenty v prospech politík na odstránenie rodových rozdielov v odmeňovaní.</w:t>
      </w:r>
    </w:p>
    <w:p w:rsidR="00847F93" w:rsidRPr="00847F93" w:rsidRDefault="00847F93" w:rsidP="0017792F">
      <w:pPr>
        <w:pStyle w:val="Odsekzoznamu"/>
        <w:numPr>
          <w:ilvl w:val="0"/>
          <w:numId w:val="9"/>
        </w:numPr>
        <w:spacing w:line="240" w:lineRule="auto"/>
        <w:rPr>
          <w:b/>
        </w:rPr>
      </w:pPr>
      <w:r w:rsidRPr="00847F93">
        <w:rPr>
          <w:b/>
        </w:rPr>
        <w:t xml:space="preserve">Vytvorenie spravodlivejšej a rovnocennejšej spoločnosti </w:t>
      </w:r>
    </w:p>
    <w:p w:rsidR="00BE33BB" w:rsidRDefault="00847F93" w:rsidP="00BE33BB">
      <w:pPr>
        <w:spacing w:line="240" w:lineRule="auto"/>
      </w:pPr>
      <w:r>
        <w:t xml:space="preserve">Väčšia miera rovnosti mužov a žien by priniesla výhody pre hospodárstvo i celkovo pre spoločnosť. Odstránenie rozdielov v odmeňovaní žien a mužov môže znížiť úroveň chudoby a zvýšiť zárobky žien počas ich života. Tak možno predísť riziku, že ženy upadnú do chudoby počas produktívneho veku, ako aj znížiť nebezpečenstvo ich chudoby na dôchodku. </w:t>
      </w:r>
    </w:p>
    <w:p w:rsidR="00847F93" w:rsidRPr="00847F93" w:rsidRDefault="00847F93" w:rsidP="00BE33BB">
      <w:pPr>
        <w:pStyle w:val="Odsekzoznamu"/>
        <w:numPr>
          <w:ilvl w:val="0"/>
          <w:numId w:val="9"/>
        </w:numPr>
        <w:spacing w:line="240" w:lineRule="auto"/>
        <w:rPr>
          <w:b/>
        </w:rPr>
      </w:pPr>
      <w:r w:rsidRPr="00847F93">
        <w:rPr>
          <w:b/>
        </w:rPr>
        <w:t xml:space="preserve">Poskytovanie kvalitných pracovných miest </w:t>
      </w:r>
    </w:p>
    <w:p w:rsidR="00847F93" w:rsidRDefault="00847F93" w:rsidP="0017792F">
      <w:pPr>
        <w:spacing w:line="240" w:lineRule="auto"/>
      </w:pPr>
      <w:r>
        <w:t xml:space="preserve">Ženy majú vo svojom pracovnom živote narastajúce očakávania. Ak chcú spoločnosti prilákať najtalentovanejších pracovníkov, rovnosť na pracovisku je nevyhnutná. Veľmi dôležité je vytváranie kvalitných pracovných miest a motivačného pracovného prostredia. Kvalitné pracovné miesta zasa zohrávajú kľúčovú úlohu pri vytváraní pozitívneho pracovného prostredia, v ktorom sa práca každého zamestnanca cení. </w:t>
      </w:r>
    </w:p>
    <w:p w:rsidR="00847F93" w:rsidRPr="00847F93" w:rsidRDefault="00847F93" w:rsidP="0017792F">
      <w:pPr>
        <w:pStyle w:val="Odsekzoznamu"/>
        <w:numPr>
          <w:ilvl w:val="0"/>
          <w:numId w:val="9"/>
        </w:numPr>
        <w:spacing w:line="240" w:lineRule="auto"/>
        <w:rPr>
          <w:b/>
        </w:rPr>
      </w:pPr>
      <w:r w:rsidRPr="00847F93">
        <w:rPr>
          <w:b/>
        </w:rPr>
        <w:t xml:space="preserve">Plus pre firmy, pracovníkov aj hospodárstvo </w:t>
      </w:r>
    </w:p>
    <w:p w:rsidR="00847F93" w:rsidRDefault="00847F93" w:rsidP="0017792F">
      <w:pPr>
        <w:spacing w:line="240" w:lineRule="auto"/>
      </w:pPr>
      <w:r>
        <w:t>Zamestnávatelia môžu účinnejšie využiť talent a zručnosti žien, napríklad ohodnotením ich zručností a presadením politík na vyváženie pracovného a súkromného života, poskytovanie vzdelania a rozvoj kariéry. Ženy majú zručnosti a nadanie, ktoré sa na pracoviskách mnohokrát nedostatočne využívajú. Keby ich spoločnosti odhalili, pomohlo by im to vyriešiť problémy s nedostatkom pracovníkov s požadovanými zručnosťami. Ocenenie práce, ktorú ženy vykonávajú, a spravodlivé ohodnotenie ich zručností a potenciálu môže zlepšiť výkonnosť a efektívnosť v podnikaní spoločnosti, napríklad získavaním a udržaním najlepších a najtalentovanejších zamestnancov a vytváraním pozitívneho imidžu u zákazníkov. Spoločnosti, ktoré na svojich pracoviskách uplatňujú plány a stratégie na zabezpečenie rovnosti, vytvárajú ideálne pracoviská pre všetkých, či už mužov alebo ženy. Pozitívne pracovné prostredie pomáha spoločnostiam pritiahnuť pozornosť zákazníkov, zlepšiť výkonnosť a zvýšiť konkurencieschopnosť. U pracovníkov, ktorí sa cítia sebaistejšie a sú ohodnotení za prácu, ktorú vykonávajú, je pravdepodobná vyššia miera inovácie a produktivity v práci.</w:t>
      </w:r>
    </w:p>
    <w:p w:rsidR="00847F93" w:rsidRPr="00847F93" w:rsidRDefault="00847F93" w:rsidP="0017792F">
      <w:pPr>
        <w:pStyle w:val="Odsekzoznamu"/>
        <w:numPr>
          <w:ilvl w:val="0"/>
          <w:numId w:val="9"/>
        </w:numPr>
        <w:spacing w:line="240" w:lineRule="auto"/>
        <w:rPr>
          <w:b/>
        </w:rPr>
      </w:pPr>
      <w:r w:rsidRPr="00847F93">
        <w:rPr>
          <w:b/>
        </w:rPr>
        <w:t xml:space="preserve">Predchádzanie sporom a sťažnostiam </w:t>
      </w:r>
    </w:p>
    <w:p w:rsidR="00847F93" w:rsidRDefault="00847F93" w:rsidP="0017792F">
      <w:pPr>
        <w:spacing w:line="240" w:lineRule="auto"/>
      </w:pPr>
      <w:r>
        <w:t xml:space="preserve">Zabezpečením rovnakého platu za prácu rovnakej hodnoty sa zamestnávatelia vyhnú sťažnostiam zamestnancov v súvislosti s diskrimináciou a nespravodlivými postupmi na pracovisku. Ušetria tak čas i peniaze vynaložené na riešenie sťažností a následných súdnych sporov. </w:t>
      </w:r>
    </w:p>
    <w:p w:rsidR="00847F93" w:rsidRPr="00847F93" w:rsidRDefault="00847F93" w:rsidP="0017792F">
      <w:pPr>
        <w:pStyle w:val="Odsekzoznamu"/>
        <w:numPr>
          <w:ilvl w:val="0"/>
          <w:numId w:val="9"/>
        </w:numPr>
        <w:spacing w:line="240" w:lineRule="auto"/>
        <w:rPr>
          <w:b/>
        </w:rPr>
      </w:pPr>
      <w:r w:rsidRPr="00847F93">
        <w:rPr>
          <w:b/>
        </w:rPr>
        <w:t xml:space="preserve">Základ hospodárskeho rastu a obnovy </w:t>
      </w:r>
    </w:p>
    <w:p w:rsidR="00847F93" w:rsidRDefault="00847F93" w:rsidP="0017792F">
      <w:pPr>
        <w:spacing w:line="240" w:lineRule="auto"/>
      </w:pPr>
      <w:r>
        <w:t>Počas ekonomickej a finančnej krízy sa zvýšila účasť žien v ekonomike a rovnako aj ich príspevok do rodinného financovania. Nemožno teda zabúdať na rovnosť pohlaví a odstránenie rozdielov v odmeňovaní žien a mužov, pretože tieto faktory prispievajú k dosahovaniu rastu zamestnanosti, konkurencieschopnosti a hospodárskej obnovy.</w:t>
      </w:r>
    </w:p>
    <w:p w:rsidR="00847F93" w:rsidRDefault="00847F93" w:rsidP="0017792F">
      <w:pPr>
        <w:spacing w:line="240" w:lineRule="auto"/>
      </w:pPr>
    </w:p>
    <w:p w:rsidR="001D7DF3" w:rsidRDefault="001D7DF3" w:rsidP="0017792F">
      <w:pPr>
        <w:shd w:val="clear" w:color="auto" w:fill="auto"/>
        <w:spacing w:line="240" w:lineRule="auto"/>
        <w:jc w:val="left"/>
        <w:rPr>
          <w:caps/>
          <w:color w:val="000000"/>
          <w:sz w:val="28"/>
          <w:szCs w:val="24"/>
        </w:rPr>
      </w:pPr>
      <w:r>
        <w:br w:type="page"/>
      </w:r>
    </w:p>
    <w:p w:rsidR="00847F93" w:rsidRDefault="00847F93" w:rsidP="0017792F">
      <w:pPr>
        <w:pStyle w:val="Nadpis3"/>
        <w:spacing w:before="0" w:line="240" w:lineRule="auto"/>
      </w:pPr>
      <w:bookmarkStart w:id="21" w:name="_Toc451508619"/>
      <w:r>
        <w:lastRenderedPageBreak/>
        <w:t>Dobré praxe</w:t>
      </w:r>
      <w:r w:rsidR="004664BC">
        <w:rPr>
          <w:rStyle w:val="Odkaznavysvetlivku"/>
        </w:rPr>
        <w:endnoteReference w:id="47"/>
      </w:r>
      <w:bookmarkEnd w:id="21"/>
      <w:r>
        <w:t xml:space="preserve"> </w:t>
      </w:r>
    </w:p>
    <w:p w:rsidR="00F01A27" w:rsidRDefault="00641638" w:rsidP="0017792F">
      <w:pPr>
        <w:spacing w:line="240" w:lineRule="auto"/>
      </w:pPr>
      <w:r>
        <w:t>Európska komisia v menovanom materiál</w:t>
      </w:r>
      <w:r w:rsidR="002D0FBE">
        <w:t>i</w:t>
      </w:r>
      <w:r>
        <w:t xml:space="preserve"> dokladá zaujímavé politiky a príklady dobrej praxe z členských </w:t>
      </w:r>
      <w:r w:rsidR="00235D6C">
        <w:t>štátov</w:t>
      </w:r>
      <w:r>
        <w:t xml:space="preserve">. </w:t>
      </w:r>
      <w:r w:rsidR="00847F93">
        <w:t xml:space="preserve">Riešenie odstránenia rozdielov v odmeňovaní žien a mužov je predovšetkým v rukách vlád členských štátov a sociálnych partnerov. Národné vlády a sociálni partneri prijali množstvo opatrení na odstránenie rozdielov v odmeňovaní žien a mužov. Nižšie uvádzame niekoľko príkladov. </w:t>
      </w:r>
    </w:p>
    <w:p w:rsidR="00F01A27" w:rsidRPr="00F01A27" w:rsidRDefault="00847F93" w:rsidP="0017792F">
      <w:pPr>
        <w:pStyle w:val="Odsekzoznamu"/>
        <w:numPr>
          <w:ilvl w:val="0"/>
          <w:numId w:val="9"/>
        </w:numPr>
        <w:spacing w:line="240" w:lineRule="auto"/>
        <w:rPr>
          <w:b/>
        </w:rPr>
      </w:pPr>
      <w:r w:rsidRPr="00F01A27">
        <w:rPr>
          <w:b/>
        </w:rPr>
        <w:t xml:space="preserve">Stratégie pre rodovú rovnosť a rovnosť odmeňovania </w:t>
      </w:r>
    </w:p>
    <w:p w:rsidR="00F01A27" w:rsidRDefault="00847F93" w:rsidP="0017792F">
      <w:pPr>
        <w:spacing w:line="240" w:lineRule="auto"/>
      </w:pPr>
      <w:r>
        <w:t>Niektoré krajiny prijali stratégie zamerané na dosiahnut</w:t>
      </w:r>
      <w:r w:rsidR="00641638">
        <w:t>ie rodovej rovnosti, ktoré zahŕ</w:t>
      </w:r>
      <w:r>
        <w:t xml:space="preserve">ňajú opatrenia napomáhajúce pri odstraňovaní rozdielov v odmeňovaní žien a mužov. Napríklad: </w:t>
      </w:r>
      <w:r>
        <w:rPr>
          <w:rFonts w:cs="Cambria"/>
        </w:rPr>
        <w:t></w:t>
      </w:r>
      <w:r>
        <w:t xml:space="preserve"> </w:t>
      </w:r>
    </w:p>
    <w:p w:rsidR="00F01A27" w:rsidRDefault="00F01A27" w:rsidP="0017792F">
      <w:pPr>
        <w:spacing w:line="240" w:lineRule="auto"/>
      </w:pPr>
      <w:r w:rsidRPr="00F01A27">
        <w:rPr>
          <w:b/>
        </w:rPr>
        <w:t>Estónsko:</w:t>
      </w:r>
      <w:r>
        <w:t xml:space="preserve"> </w:t>
      </w:r>
      <w:r w:rsidR="00847F93">
        <w:t>V Est</w:t>
      </w:r>
      <w:r w:rsidR="00847F93">
        <w:rPr>
          <w:rFonts w:cs="Cambria"/>
        </w:rPr>
        <w:t>ó</w:t>
      </w:r>
      <w:r w:rsidR="00847F93">
        <w:t>nsku bol v roku 2012 schválený a</w:t>
      </w:r>
      <w:r w:rsidR="00847F93" w:rsidRPr="00F01A27">
        <w:rPr>
          <w:b/>
        </w:rPr>
        <w:t>kčný plán na zníženie rozdielov v odmeňovaní žien a mužov</w:t>
      </w:r>
      <w:r w:rsidR="00847F93">
        <w:t xml:space="preserve">. Obsahuje päť hlavných oblastí činnosti: </w:t>
      </w:r>
    </w:p>
    <w:p w:rsidR="00F01A27" w:rsidRDefault="00847F93" w:rsidP="0017792F">
      <w:pPr>
        <w:pStyle w:val="Odsekzoznamu"/>
        <w:numPr>
          <w:ilvl w:val="0"/>
          <w:numId w:val="10"/>
        </w:numPr>
        <w:spacing w:line="240" w:lineRule="auto"/>
      </w:pPr>
      <w:r>
        <w:t xml:space="preserve">zlepšenie vykonávania existujúceho zákona o rodovej rovnosti (napr. zlepšenie zhromažďovania štatistických údajov, zvyšovanie povedomia, podpora práce komisára pre rodovú rovnosť a rovnaké zaobchádzanie atď.); </w:t>
      </w:r>
    </w:p>
    <w:p w:rsidR="00F01A27" w:rsidRDefault="00847F93" w:rsidP="0017792F">
      <w:pPr>
        <w:pStyle w:val="Odsekzoznamu"/>
        <w:numPr>
          <w:ilvl w:val="0"/>
          <w:numId w:val="10"/>
        </w:numPr>
        <w:spacing w:line="240" w:lineRule="auto"/>
      </w:pPr>
      <w:r>
        <w:t xml:space="preserve">zlepšenie súladu medzi pracovným a rodinným životom (napr. spolupráca so zamestnávateľmi); </w:t>
      </w:r>
    </w:p>
    <w:p w:rsidR="00F01A27" w:rsidRDefault="00847F93" w:rsidP="0017792F">
      <w:pPr>
        <w:pStyle w:val="Odsekzoznamu"/>
        <w:numPr>
          <w:ilvl w:val="0"/>
          <w:numId w:val="10"/>
        </w:numPr>
        <w:spacing w:line="240" w:lineRule="auto"/>
      </w:pPr>
      <w:r>
        <w:t xml:space="preserve">podpora uplatňovania hľadiska rodovej rovnosti, najmä v oblasti vzdelávania; </w:t>
      </w:r>
    </w:p>
    <w:p w:rsidR="00F01A27" w:rsidRDefault="00847F93" w:rsidP="0017792F">
      <w:pPr>
        <w:pStyle w:val="Odsekzoznamu"/>
        <w:numPr>
          <w:ilvl w:val="0"/>
          <w:numId w:val="10"/>
        </w:numPr>
        <w:spacing w:line="240" w:lineRule="auto"/>
      </w:pPr>
      <w:r>
        <w:t xml:space="preserve">znižovanie rodovej segregácie; </w:t>
      </w:r>
    </w:p>
    <w:p w:rsidR="00F01A27" w:rsidRDefault="00847F93" w:rsidP="0017792F">
      <w:pPr>
        <w:pStyle w:val="Odsekzoznamu"/>
        <w:numPr>
          <w:ilvl w:val="0"/>
          <w:numId w:val="10"/>
        </w:numPr>
        <w:spacing w:line="240" w:lineRule="auto"/>
      </w:pPr>
      <w:r>
        <w:t xml:space="preserve">analýza organizačných postupov a systémov odmeňovania vo verejnom sektore a zlepšenie situácie v prípade potreby. </w:t>
      </w:r>
    </w:p>
    <w:p w:rsidR="00F01A27" w:rsidRDefault="00847F93" w:rsidP="0017792F">
      <w:pPr>
        <w:spacing w:line="240" w:lineRule="auto"/>
      </w:pPr>
      <w:r>
        <w:t>Zdôrazňuje sa, že rozdiel v odmeňovaní žien a mužov predstavuje komplexný problém, a je preto potrebné zaviesť súbežné opatrenia vo v</w:t>
      </w:r>
      <w:r w:rsidR="00F01A27">
        <w:t>šetkých príslušných oblastiach.</w:t>
      </w:r>
      <w:r>
        <w:t xml:space="preserve"> </w:t>
      </w:r>
      <w:r>
        <w:rPr>
          <w:rFonts w:cs="Cambria"/>
        </w:rPr>
        <w:t></w:t>
      </w:r>
      <w:r>
        <w:t xml:space="preserve"> </w:t>
      </w:r>
    </w:p>
    <w:p w:rsidR="00F01A27" w:rsidRDefault="00F01A27" w:rsidP="0017792F">
      <w:pPr>
        <w:spacing w:line="240" w:lineRule="auto"/>
      </w:pPr>
      <w:r w:rsidRPr="00F01A27">
        <w:rPr>
          <w:b/>
        </w:rPr>
        <w:t>Fínsko:</w:t>
      </w:r>
      <w:r>
        <w:t xml:space="preserve"> </w:t>
      </w:r>
      <w:r w:rsidR="00847F93">
        <w:t xml:space="preserve">Vo </w:t>
      </w:r>
      <w:r w:rsidR="00847F93" w:rsidRPr="00F01A27">
        <w:t>F</w:t>
      </w:r>
      <w:r w:rsidR="00847F93" w:rsidRPr="00F01A27">
        <w:rPr>
          <w:rFonts w:cs="Cambria"/>
        </w:rPr>
        <w:t>í</w:t>
      </w:r>
      <w:r w:rsidR="00847F93" w:rsidRPr="00F01A27">
        <w:t>nsku existuje tripartitn</w:t>
      </w:r>
      <w:r w:rsidR="00847F93" w:rsidRPr="00F01A27">
        <w:rPr>
          <w:rFonts w:cs="Cambria"/>
        </w:rPr>
        <w:t>ý</w:t>
      </w:r>
      <w:r w:rsidR="00847F93" w:rsidRPr="00F01A27">
        <w:rPr>
          <w:b/>
        </w:rPr>
        <w:t xml:space="preserve"> Program rovnosti v odme</w:t>
      </w:r>
      <w:r w:rsidR="00847F93" w:rsidRPr="00F01A27">
        <w:rPr>
          <w:rFonts w:cs="Cambria"/>
          <w:b/>
        </w:rPr>
        <w:t>ň</w:t>
      </w:r>
      <w:r w:rsidR="00847F93" w:rsidRPr="00F01A27">
        <w:rPr>
          <w:b/>
        </w:rPr>
        <w:t>ovan</w:t>
      </w:r>
      <w:r w:rsidR="00847F93" w:rsidRPr="00F01A27">
        <w:rPr>
          <w:rFonts w:cs="Cambria"/>
          <w:b/>
        </w:rPr>
        <w:t>í</w:t>
      </w:r>
      <w:r w:rsidRPr="00F01A27">
        <w:rPr>
          <w:b/>
        </w:rPr>
        <w:t xml:space="preserve"> na roky 2006-2015</w:t>
      </w:r>
      <w:r w:rsidR="00847F93">
        <w:t>, ktorého cieľom je znížiť rozdiely v odmeňovaní žien a mužov z 20</w:t>
      </w:r>
      <w:r w:rsidR="005C794F">
        <w:t xml:space="preserve"> %</w:t>
      </w:r>
      <w:r w:rsidR="00847F93">
        <w:t xml:space="preserve"> na 15</w:t>
      </w:r>
      <w:r w:rsidR="005C794F">
        <w:t xml:space="preserve"> %</w:t>
      </w:r>
      <w:r w:rsidR="00847F93">
        <w:t xml:space="preserve"> a presadzovať zásadu rovnakej odmeny za prácu rovnakej hodnoty. Tento program zahŕňa činnosti týkajúce sa odstránenia segregácie, rozvoja systémov odmeňovania a opatrenia na podporu profesijnej kariéry žien a vyzýva sociálnych partnerov, aby uzavreli dohody, ktorými sa znížia rozdiely v odmeňovaní. </w:t>
      </w:r>
      <w:r w:rsidR="00847F93">
        <w:rPr>
          <w:rFonts w:cs="Cambria"/>
        </w:rPr>
        <w:t></w:t>
      </w:r>
      <w:r w:rsidR="00847F93">
        <w:t xml:space="preserve"> </w:t>
      </w:r>
    </w:p>
    <w:p w:rsidR="00F01A27" w:rsidRDefault="00F01A27" w:rsidP="0017792F">
      <w:pPr>
        <w:spacing w:line="240" w:lineRule="auto"/>
      </w:pPr>
      <w:r w:rsidRPr="00F01A27">
        <w:rPr>
          <w:b/>
        </w:rPr>
        <w:t>Portugalsko:</w:t>
      </w:r>
      <w:r>
        <w:t xml:space="preserve"> </w:t>
      </w:r>
      <w:r w:rsidR="00847F93">
        <w:t xml:space="preserve">V Portugalsku ciele </w:t>
      </w:r>
      <w:r w:rsidR="00847F93" w:rsidRPr="00F01A27">
        <w:rPr>
          <w:b/>
        </w:rPr>
        <w:t>4. pl</w:t>
      </w:r>
      <w:r w:rsidR="00847F93" w:rsidRPr="00F01A27">
        <w:rPr>
          <w:rFonts w:cs="Cambria"/>
          <w:b/>
        </w:rPr>
        <w:t>á</w:t>
      </w:r>
      <w:r w:rsidR="00847F93" w:rsidRPr="00F01A27">
        <w:rPr>
          <w:b/>
        </w:rPr>
        <w:t>nu rodovej rovnosti</w:t>
      </w:r>
      <w:r w:rsidR="00847F93">
        <w:t xml:space="preserve"> zah</w:t>
      </w:r>
      <w:r w:rsidR="00847F93">
        <w:rPr>
          <w:rFonts w:cs="Cambria"/>
        </w:rPr>
        <w:t>ŕň</w:t>
      </w:r>
      <w:r w:rsidR="00847F93">
        <w:t>aj</w:t>
      </w:r>
      <w:r w:rsidR="00847F93">
        <w:rPr>
          <w:rFonts w:cs="Cambria"/>
        </w:rPr>
        <w:t>ú</w:t>
      </w:r>
      <w:r w:rsidR="00847F93">
        <w:t xml:space="preserve"> zn</w:t>
      </w:r>
      <w:r w:rsidR="00847F93">
        <w:rPr>
          <w:rFonts w:cs="Cambria"/>
        </w:rPr>
        <w:t>íž</w:t>
      </w:r>
      <w:r w:rsidR="00847F93">
        <w:t>enie rozdielov v odme</w:t>
      </w:r>
      <w:r w:rsidR="00847F93">
        <w:rPr>
          <w:rFonts w:cs="Cambria"/>
        </w:rPr>
        <w:t>ň</w:t>
      </w:r>
      <w:r w:rsidR="00847F93">
        <w:t>ovan</w:t>
      </w:r>
      <w:r w:rsidR="00847F93">
        <w:rPr>
          <w:rFonts w:cs="Cambria"/>
        </w:rPr>
        <w:t>í</w:t>
      </w:r>
      <w:r w:rsidR="00847F93">
        <w:t xml:space="preserve"> žien a mužov a zavedenie plánov rodovej rovnosti v p</w:t>
      </w:r>
      <w:r w:rsidR="001D7DF3">
        <w:t>odnikoch</w:t>
      </w:r>
      <w:r w:rsidR="00847F93">
        <w:t xml:space="preserve">.  </w:t>
      </w:r>
    </w:p>
    <w:p w:rsidR="00847F93" w:rsidRDefault="00F01A27" w:rsidP="0017792F">
      <w:pPr>
        <w:spacing w:line="240" w:lineRule="auto"/>
      </w:pPr>
      <w:r w:rsidRPr="00F01A27">
        <w:rPr>
          <w:b/>
        </w:rPr>
        <w:t>Litva:</w:t>
      </w:r>
      <w:r>
        <w:t xml:space="preserve"> </w:t>
      </w:r>
      <w:r w:rsidR="00847F93">
        <w:t>V Litve s</w:t>
      </w:r>
      <w:r w:rsidR="00847F93">
        <w:rPr>
          <w:rFonts w:cs="Cambria"/>
        </w:rPr>
        <w:t>ú</w:t>
      </w:r>
      <w:r w:rsidR="00847F93">
        <w:t xml:space="preserve"> politiky rodovej rovnosti stanoven</w:t>
      </w:r>
      <w:r w:rsidR="00847F93">
        <w:rPr>
          <w:rFonts w:cs="Cambria"/>
        </w:rPr>
        <w:t>é</w:t>
      </w:r>
      <w:r w:rsidR="00847F93">
        <w:t xml:space="preserve"> v </w:t>
      </w:r>
      <w:r w:rsidR="00847F93" w:rsidRPr="00F01A27">
        <w:rPr>
          <w:b/>
        </w:rPr>
        <w:t>n</w:t>
      </w:r>
      <w:r w:rsidR="00847F93" w:rsidRPr="00F01A27">
        <w:rPr>
          <w:rFonts w:cs="Cambria"/>
          <w:b/>
        </w:rPr>
        <w:t>á</w:t>
      </w:r>
      <w:r w:rsidR="00847F93" w:rsidRPr="00F01A27">
        <w:rPr>
          <w:b/>
        </w:rPr>
        <w:t>rodnom programe pre rovnos</w:t>
      </w:r>
      <w:r w:rsidR="00847F93" w:rsidRPr="00F01A27">
        <w:rPr>
          <w:rFonts w:cs="Cambria"/>
          <w:b/>
        </w:rPr>
        <w:t>ť</w:t>
      </w:r>
      <w:r w:rsidR="00847F93" w:rsidRPr="00F01A27">
        <w:rPr>
          <w:b/>
        </w:rPr>
        <w:t xml:space="preserve"> pr</w:t>
      </w:r>
      <w:r w:rsidR="00847F93" w:rsidRPr="00F01A27">
        <w:rPr>
          <w:rFonts w:cs="Cambria"/>
          <w:b/>
        </w:rPr>
        <w:t>í</w:t>
      </w:r>
      <w:r w:rsidR="00847F93" w:rsidRPr="00F01A27">
        <w:rPr>
          <w:b/>
        </w:rPr>
        <w:t>le</w:t>
      </w:r>
      <w:r w:rsidR="00847F93" w:rsidRPr="00F01A27">
        <w:rPr>
          <w:rFonts w:cs="Cambria"/>
          <w:b/>
        </w:rPr>
        <w:t>ž</w:t>
      </w:r>
      <w:r w:rsidR="00847F93" w:rsidRPr="00F01A27">
        <w:rPr>
          <w:b/>
        </w:rPr>
        <w:t>itost</w:t>
      </w:r>
      <w:r w:rsidR="00847F93" w:rsidRPr="00F01A27">
        <w:rPr>
          <w:rFonts w:cs="Cambria"/>
          <w:b/>
        </w:rPr>
        <w:t>í</w:t>
      </w:r>
      <w:r w:rsidR="00847F93" w:rsidRPr="00F01A27">
        <w:rPr>
          <w:b/>
        </w:rPr>
        <w:t xml:space="preserve"> pre ženy a mužov na obdobie rokov 2010-2014</w:t>
      </w:r>
      <w:r w:rsidR="00847F93">
        <w:t>. Značný počet opatrení je zameraný na zlepšenie situácie žien a mužov na trhu práce. Jednou z priorít je zníženie rozdielov v odmeňovaní žien a mužov, čo zahŕňa opatrenia na zvýšenie platov v sektoroch, v ktorých sú prevažne zastúpené ženy, ako je vzdelávanie, ume</w:t>
      </w:r>
      <w:r>
        <w:t>nie a kultúra a sociálna práca.</w:t>
      </w:r>
    </w:p>
    <w:p w:rsidR="00BE33BB" w:rsidRDefault="00BE33BB">
      <w:pPr>
        <w:shd w:val="clear" w:color="auto" w:fill="auto"/>
        <w:spacing w:after="0" w:line="240" w:lineRule="auto"/>
        <w:jc w:val="left"/>
        <w:rPr>
          <w:b/>
        </w:rPr>
      </w:pPr>
      <w:r>
        <w:rPr>
          <w:b/>
        </w:rPr>
        <w:lastRenderedPageBreak/>
        <w:br w:type="page"/>
      </w:r>
    </w:p>
    <w:p w:rsidR="00F01A27" w:rsidRPr="00F01A27" w:rsidRDefault="00847F93" w:rsidP="0017792F">
      <w:pPr>
        <w:pStyle w:val="Odsekzoznamu"/>
        <w:numPr>
          <w:ilvl w:val="0"/>
          <w:numId w:val="9"/>
        </w:numPr>
        <w:spacing w:line="240" w:lineRule="auto"/>
        <w:rPr>
          <w:b/>
        </w:rPr>
      </w:pPr>
      <w:r w:rsidRPr="00F01A27">
        <w:rPr>
          <w:b/>
        </w:rPr>
        <w:t xml:space="preserve">Správy o rodovej rovnosti </w:t>
      </w:r>
    </w:p>
    <w:p w:rsidR="00F01A27" w:rsidRDefault="00847F93" w:rsidP="0017792F">
      <w:pPr>
        <w:spacing w:line="240" w:lineRule="auto"/>
      </w:pPr>
      <w:r>
        <w:t xml:space="preserve">Niektoré krajiny zaviedli správy o prieskume rozdielov v odmeňovaní žien a mužov. Napríklad: </w:t>
      </w:r>
      <w:r>
        <w:rPr>
          <w:rFonts w:cs="Cambria"/>
        </w:rPr>
        <w:t></w:t>
      </w:r>
      <w:r>
        <w:t xml:space="preserve"> </w:t>
      </w:r>
    </w:p>
    <w:p w:rsidR="00F01A27" w:rsidRDefault="00F01A27" w:rsidP="0017792F">
      <w:pPr>
        <w:spacing w:line="240" w:lineRule="auto"/>
      </w:pPr>
      <w:r w:rsidRPr="00F01A27">
        <w:rPr>
          <w:b/>
        </w:rPr>
        <w:t>Belgicko:</w:t>
      </w:r>
      <w:r>
        <w:t xml:space="preserve"> </w:t>
      </w:r>
      <w:r w:rsidR="00847F93">
        <w:t>Belgick</w:t>
      </w:r>
      <w:r w:rsidR="00847F93">
        <w:rPr>
          <w:rFonts w:cs="Cambria"/>
        </w:rPr>
        <w:t>á</w:t>
      </w:r>
      <w:r w:rsidR="00847F93">
        <w:t xml:space="preserve"> vl</w:t>
      </w:r>
      <w:r w:rsidR="00847F93">
        <w:rPr>
          <w:rFonts w:cs="Cambria"/>
        </w:rPr>
        <w:t>á</w:t>
      </w:r>
      <w:r w:rsidR="00847F93">
        <w:t>da od roku 2007 uverej</w:t>
      </w:r>
      <w:r w:rsidR="00847F93">
        <w:rPr>
          <w:rFonts w:cs="Cambria"/>
        </w:rPr>
        <w:t>ň</w:t>
      </w:r>
      <w:r w:rsidR="00847F93">
        <w:t>uje v</w:t>
      </w:r>
      <w:r w:rsidR="00847F93">
        <w:rPr>
          <w:rFonts w:cs="Cambria"/>
        </w:rPr>
        <w:t>ý</w:t>
      </w:r>
      <w:r w:rsidR="00847F93">
        <w:t>ro</w:t>
      </w:r>
      <w:r w:rsidR="00847F93">
        <w:rPr>
          <w:rFonts w:cs="Cambria"/>
        </w:rPr>
        <w:t>č</w:t>
      </w:r>
      <w:r w:rsidR="00847F93">
        <w:t>n</w:t>
      </w:r>
      <w:r w:rsidR="00847F93">
        <w:rPr>
          <w:rFonts w:cs="Cambria"/>
        </w:rPr>
        <w:t>ú</w:t>
      </w:r>
      <w:r w:rsidR="00847F93">
        <w:t xml:space="preserve"> správu „</w:t>
      </w:r>
      <w:r w:rsidR="00847F93" w:rsidRPr="00F01A27">
        <w:rPr>
          <w:b/>
        </w:rPr>
        <w:t>Rozdiely v odme</w:t>
      </w:r>
      <w:r w:rsidRPr="00F01A27">
        <w:rPr>
          <w:b/>
        </w:rPr>
        <w:t>ňovaní žien a mužov v Belgicku“</w:t>
      </w:r>
      <w:r w:rsidR="00847F93">
        <w:t xml:space="preserve">, ktorú vypracúva Inštitút pre rodovú rovnosť a ktorá prezentuje štatistické údaje v súlade s oficiálnymi európskymi ukazovateľmi. </w:t>
      </w:r>
    </w:p>
    <w:p w:rsidR="00F01A27" w:rsidRPr="00F01A27" w:rsidRDefault="00847F93" w:rsidP="0017792F">
      <w:pPr>
        <w:pStyle w:val="Odsekzoznamu"/>
        <w:numPr>
          <w:ilvl w:val="0"/>
          <w:numId w:val="9"/>
        </w:numPr>
        <w:spacing w:line="240" w:lineRule="auto"/>
        <w:rPr>
          <w:b/>
        </w:rPr>
      </w:pPr>
      <w:r w:rsidRPr="00F01A27">
        <w:rPr>
          <w:b/>
        </w:rPr>
        <w:t xml:space="preserve">Plány rovnosti pohlaví v spoločnostiach a audity zamerané na zníženie rozdielov v odmeňovaní žien a mužov </w:t>
      </w:r>
    </w:p>
    <w:p w:rsidR="00F01A27" w:rsidRDefault="00847F93" w:rsidP="0017792F">
      <w:pPr>
        <w:spacing w:line="240" w:lineRule="auto"/>
      </w:pPr>
      <w:r>
        <w:t xml:space="preserve">Plány rovnosti pohlaví a audity umožňujú spoločnostiam merať pokrok v implementovaní opatrení na dosiahnutie rovnosti pohlaví a odmeňovania. V niektorých prípadoch je zavádzanie plánov zákonnou požiadavkou, v iných prípadoch ide o dobrovoľnú aktivitu. Napríklad: </w:t>
      </w:r>
      <w:r>
        <w:rPr>
          <w:rFonts w:cs="Cambria"/>
        </w:rPr>
        <w:t></w:t>
      </w:r>
      <w:r>
        <w:t xml:space="preserve"> </w:t>
      </w:r>
    </w:p>
    <w:p w:rsidR="00F01A27" w:rsidRDefault="00F01A27" w:rsidP="0017792F">
      <w:pPr>
        <w:spacing w:line="240" w:lineRule="auto"/>
      </w:pPr>
      <w:r w:rsidRPr="00F01A27">
        <w:rPr>
          <w:b/>
        </w:rPr>
        <w:t>Švédsko:</w:t>
      </w:r>
      <w:r>
        <w:t xml:space="preserve"> </w:t>
      </w:r>
      <w:r w:rsidR="00847F93">
        <w:t xml:space="preserve">Vo </w:t>
      </w:r>
      <w:r w:rsidR="00847F93">
        <w:rPr>
          <w:rFonts w:cs="Cambria"/>
        </w:rPr>
        <w:t>Š</w:t>
      </w:r>
      <w:r w:rsidR="00847F93">
        <w:t>v</w:t>
      </w:r>
      <w:r w:rsidR="00847F93">
        <w:rPr>
          <w:rFonts w:cs="Cambria"/>
        </w:rPr>
        <w:t>é</w:t>
      </w:r>
      <w:r w:rsidR="00847F93">
        <w:t>dsku z</w:t>
      </w:r>
      <w:r w:rsidR="00847F93">
        <w:rPr>
          <w:rFonts w:cs="Cambria"/>
        </w:rPr>
        <w:t>á</w:t>
      </w:r>
      <w:r w:rsidR="00847F93">
        <w:t>kon o rovnosti z roku 2009 vy</w:t>
      </w:r>
      <w:r w:rsidR="00847F93">
        <w:rPr>
          <w:rFonts w:cs="Cambria"/>
        </w:rPr>
        <w:t>ž</w:t>
      </w:r>
      <w:r w:rsidR="00847F93">
        <w:t>aduje, aby sa zamestn</w:t>
      </w:r>
      <w:r w:rsidR="00847F93">
        <w:rPr>
          <w:rFonts w:cs="Cambria"/>
        </w:rPr>
        <w:t>á</w:t>
      </w:r>
      <w:r w:rsidR="00847F93">
        <w:t xml:space="preserve">vatelia a zamestnanci zasadzovali za rovnosť žien a mužov a predchádzali rozdielom v odmeňovaní a v iných podmienkach zamestnania žien a mužov, ktorí vykonávajú rovnakú prácu alebo prácu rovnakej hodnoty. Takisto sa majú podporovať rovnaké príležitosti platového rastu pre ženy a mužov. Zákon ďalej vyžaduje, aby zamestnávatelia viac ako 25 zamestnancov vykonávali každé tri roky prieskum miezd s cieľom odhaliť a napraviť neodôvodnené rodové rozdiely v odmeňovaní a v podmienkach zamestnania a aby predchádzali takýmto rozdielom a vypracovali akčný plán na dosiahnutie rovnakých platov za rovnakú prácu v rovnakých pracovných podmienkach. </w:t>
      </w:r>
      <w:r w:rsidR="00847F93">
        <w:rPr>
          <w:rFonts w:cs="Cambria"/>
        </w:rPr>
        <w:t></w:t>
      </w:r>
      <w:r w:rsidR="00847F93">
        <w:t xml:space="preserve"> </w:t>
      </w:r>
    </w:p>
    <w:p w:rsidR="00F01A27" w:rsidRDefault="00F01A27" w:rsidP="0017792F">
      <w:pPr>
        <w:spacing w:line="240" w:lineRule="auto"/>
      </w:pPr>
      <w:r w:rsidRPr="00F01A27">
        <w:rPr>
          <w:b/>
        </w:rPr>
        <w:t>Rakúsko:</w:t>
      </w:r>
      <w:r>
        <w:t xml:space="preserve"> </w:t>
      </w:r>
      <w:r w:rsidR="00847F93">
        <w:t>V Rak</w:t>
      </w:r>
      <w:r w:rsidR="00847F93">
        <w:rPr>
          <w:rFonts w:cs="Cambria"/>
        </w:rPr>
        <w:t>ú</w:t>
      </w:r>
      <w:r w:rsidR="00847F93">
        <w:t>sku národný akčný plán pre rovn</w:t>
      </w:r>
      <w:r>
        <w:t xml:space="preserve">osť žien a mužov na trhu práce </w:t>
      </w:r>
      <w:r w:rsidR="00847F93">
        <w:t xml:space="preserve">ukladá podnikom povinnosť uverejňovať správy o rovnosti odmeňovania. Podniky musia každé dva roky vypracovať správy o príjmoch zamestnancov. V týchto správach sa musí uviesť počet mužov a žien v jednotlivých kategóriách, ako aj priemerný alebo </w:t>
      </w:r>
      <w:proofErr w:type="spellStart"/>
      <w:r w:rsidR="00847F93">
        <w:t>mediánový</w:t>
      </w:r>
      <w:proofErr w:type="spellEnd"/>
      <w:r w:rsidR="00847F93">
        <w:t xml:space="preserve"> príjem mužov a žien v príslušnej kategórii upravený s ohľadom na pracovný čas. Cieľom je zlepšiť transparentnosť príjmov a prijať opatrenia na zníženie rozdielov v odmeňovaní žien a mužov. Správy o rovnosti odmeňovania sú od roku 2011 povinné pre podniky s viac ako 1000 zamestnancami za rok 2010, od roku 2012 pre podniky s viac ako 500 zamestnancami, od roku 2013 pre podniky s viac ako 250 zamestnancami a od roku 2014 pre podniky s viac ako 150 zamestnancami. </w:t>
      </w:r>
      <w:r w:rsidR="00847F93">
        <w:rPr>
          <w:rFonts w:cs="Cambria"/>
        </w:rPr>
        <w:t></w:t>
      </w:r>
      <w:r w:rsidR="00847F93">
        <w:t xml:space="preserve"> </w:t>
      </w:r>
    </w:p>
    <w:p w:rsidR="00F01A27" w:rsidRDefault="00847F93" w:rsidP="0017792F">
      <w:pPr>
        <w:spacing w:line="240" w:lineRule="auto"/>
      </w:pPr>
      <w:r w:rsidRPr="00F01A27">
        <w:rPr>
          <w:b/>
        </w:rPr>
        <w:t>Belgicko</w:t>
      </w:r>
      <w:r>
        <w:t xml:space="preserve"> prijalo 22. apr</w:t>
      </w:r>
      <w:r>
        <w:rPr>
          <w:rFonts w:cs="Cambria"/>
        </w:rPr>
        <w:t>í</w:t>
      </w:r>
      <w:r>
        <w:t>la 2012 z</w:t>
      </w:r>
      <w:r>
        <w:rPr>
          <w:rFonts w:cs="Cambria"/>
        </w:rPr>
        <w:t>á</w:t>
      </w:r>
      <w:r>
        <w:t>kon o zni</w:t>
      </w:r>
      <w:r>
        <w:rPr>
          <w:rFonts w:cs="Cambria"/>
        </w:rPr>
        <w:t>ž</w:t>
      </w:r>
      <w:r>
        <w:t>ovan</w:t>
      </w:r>
      <w:r>
        <w:rPr>
          <w:rFonts w:cs="Cambria"/>
        </w:rPr>
        <w:t>í</w:t>
      </w:r>
      <w:r>
        <w:t xml:space="preserve"> rozdielov v odme</w:t>
      </w:r>
      <w:r>
        <w:rPr>
          <w:rFonts w:cs="Cambria"/>
        </w:rPr>
        <w:t>ň</w:t>
      </w:r>
      <w:r>
        <w:t>ovan</w:t>
      </w:r>
      <w:r>
        <w:rPr>
          <w:rFonts w:cs="Cambria"/>
        </w:rPr>
        <w:t>í</w:t>
      </w:r>
      <w:r>
        <w:t xml:space="preserve"> </w:t>
      </w:r>
      <w:r>
        <w:rPr>
          <w:rFonts w:cs="Cambria"/>
        </w:rPr>
        <w:t>ž</w:t>
      </w:r>
      <w:r>
        <w:t>ien a mu</w:t>
      </w:r>
      <w:r>
        <w:rPr>
          <w:rFonts w:cs="Cambria"/>
        </w:rPr>
        <w:t>ž</w:t>
      </w:r>
      <w:r>
        <w:t>ov. Podľa tohto zákona by sa rodové rozdiely v odmeňovaní a nákladoch na pracovnú silu mali uvádzať vo výročnom audite podnikov („</w:t>
      </w:r>
      <w:proofErr w:type="spellStart"/>
      <w:r>
        <w:t>bilan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“). Tieto výročné audity sa budú predkladať národnej banke a príslušné informácie budú verejne dostupné. Okrem toho zákon stanovuje, že podniky s viac ako 50 zamestnancami by mali každé dva roky vypracovať porovnávaciu analýzu štruktúry odmeňovania zamestnaných žien a mužov. Ak táto analýza ukáže, že ženy zarábajú menej, podnik bude povinný vypracovať akčný plán. Pri podozrení na diskrimináciu sa ženy môžu obrátiť na </w:t>
      </w:r>
      <w:r>
        <w:lastRenderedPageBreak/>
        <w:t xml:space="preserve">podnikového </w:t>
      </w:r>
      <w:proofErr w:type="spellStart"/>
      <w:r>
        <w:t>mediátora</w:t>
      </w:r>
      <w:proofErr w:type="spellEnd"/>
      <w:r>
        <w:t>, ktorý stanoví, či skutočne existuje rozdiel v odmeňovaní, a ako áno, pokúsi sa dosiahnu</w:t>
      </w:r>
      <w:r w:rsidR="00F01A27">
        <w:t>ť kompromis so zamestnávateľom</w:t>
      </w:r>
      <w:r>
        <w:t xml:space="preserve">. </w:t>
      </w:r>
    </w:p>
    <w:p w:rsidR="00F01A27" w:rsidRPr="00F01A27" w:rsidRDefault="00847F93" w:rsidP="0017792F">
      <w:pPr>
        <w:pStyle w:val="Odsekzoznamu"/>
        <w:numPr>
          <w:ilvl w:val="0"/>
          <w:numId w:val="9"/>
        </w:numPr>
        <w:spacing w:line="240" w:lineRule="auto"/>
        <w:rPr>
          <w:b/>
        </w:rPr>
      </w:pPr>
      <w:r w:rsidRPr="00F01A27">
        <w:rPr>
          <w:b/>
        </w:rPr>
        <w:t xml:space="preserve">Osobitné právne predpisy a kolektívne zmluvy </w:t>
      </w:r>
    </w:p>
    <w:p w:rsidR="00F01A27" w:rsidRDefault="00847F93" w:rsidP="0017792F">
      <w:pPr>
        <w:spacing w:line="240" w:lineRule="auto"/>
      </w:pPr>
      <w:r>
        <w:t xml:space="preserve">Niektoré krajiny zaviedli ustanovenia týkajúce sa transparentnosti alebo kolektívnych zmlúv a rovnosti v odmeňovaní. Napríklad: </w:t>
      </w:r>
      <w:r>
        <w:rPr>
          <w:rFonts w:cs="Cambria"/>
        </w:rPr>
        <w:t></w:t>
      </w:r>
      <w:r>
        <w:t xml:space="preserve"> </w:t>
      </w:r>
    </w:p>
    <w:p w:rsidR="00F01A27" w:rsidRDefault="00F01A27" w:rsidP="0017792F">
      <w:pPr>
        <w:spacing w:line="240" w:lineRule="auto"/>
      </w:pPr>
      <w:r w:rsidRPr="00F01A27">
        <w:rPr>
          <w:b/>
        </w:rPr>
        <w:t>Portugalsko:</w:t>
      </w:r>
      <w:r>
        <w:t xml:space="preserve"> </w:t>
      </w:r>
      <w:r w:rsidR="00847F93">
        <w:t>V Portugalsku s</w:t>
      </w:r>
      <w:r w:rsidR="00847F93">
        <w:rPr>
          <w:rFonts w:cs="Cambria"/>
        </w:rPr>
        <w:t>ú</w:t>
      </w:r>
      <w:r w:rsidR="00847F93">
        <w:t xml:space="preserve"> takmer v</w:t>
      </w:r>
      <w:r w:rsidR="00847F93">
        <w:rPr>
          <w:rFonts w:cs="Cambria"/>
        </w:rPr>
        <w:t>š</w:t>
      </w:r>
      <w:r w:rsidR="00847F93">
        <w:t>etci zamestn</w:t>
      </w:r>
      <w:r w:rsidR="00847F93">
        <w:rPr>
          <w:rFonts w:cs="Cambria"/>
        </w:rPr>
        <w:t>á</w:t>
      </w:r>
      <w:r w:rsidR="00847F93">
        <w:t>vatelia povinní každoročne poskytovať ministerstvu práce a zamestnanosti informácie o osobných záznamoch podniku týkajúcich sa viacerých aspektov podmienok zamestnania vrátane odmeňovania. Osobné záznamy sa predkladajú orgánom inšpekcie práce (ACT), odborovým organizáciám alebo výborom zamestnancov (na základe včasnej žiadosti) a zástupcom zamestnávateľov, ktorí sú členmi Stáleho výboru pre sociálny dialóg (CPSC). Predtým sa však tieto osobné záznamy musia sprístupni</w:t>
      </w:r>
      <w:r w:rsidR="002D0FBE">
        <w:t>ť zamestnancom. 8. marca 2013</w:t>
      </w:r>
      <w:r w:rsidR="00847F93">
        <w:t xml:space="preserve"> schválila Rada ministrov Uznesenie, kde sa rozhodlo o schválení niektorých opatrení na zabezpečenie a podporu rovnosti príležitostí a výsledkov medzi ženami a muž</w:t>
      </w:r>
      <w:r>
        <w:t>m</w:t>
      </w:r>
      <w:r w:rsidR="00847F93">
        <w:t xml:space="preserve">i na pracovnom trhu vrátane vecí, ktoré súvisia s odstraňovaním rozdielu v platoch. Medzi tieto opatrenia patrí vytváranie a distribúcia správy o rozdieloch v platoch mužov a žien v rámci konkrétneho priemyselného odvetvia. </w:t>
      </w:r>
      <w:r w:rsidR="00847F93">
        <w:rPr>
          <w:rFonts w:cs="Cambria"/>
        </w:rPr>
        <w:t></w:t>
      </w:r>
      <w:r w:rsidR="00847F93">
        <w:t xml:space="preserve"> </w:t>
      </w:r>
    </w:p>
    <w:p w:rsidR="00F01A27" w:rsidRDefault="00F01A27" w:rsidP="0017792F">
      <w:pPr>
        <w:spacing w:line="240" w:lineRule="auto"/>
      </w:pPr>
      <w:r w:rsidRPr="00F01A27">
        <w:rPr>
          <w:b/>
        </w:rPr>
        <w:t>Franc</w:t>
      </w:r>
      <w:r>
        <w:rPr>
          <w:b/>
        </w:rPr>
        <w:t>ú</w:t>
      </w:r>
      <w:r w:rsidRPr="00F01A27">
        <w:rPr>
          <w:b/>
        </w:rPr>
        <w:t>zsko:</w:t>
      </w:r>
      <w:r>
        <w:t xml:space="preserve"> </w:t>
      </w:r>
      <w:r w:rsidR="00847F93">
        <w:t>Vo Franc</w:t>
      </w:r>
      <w:r w:rsidR="00847F93">
        <w:rPr>
          <w:rFonts w:cs="Cambria"/>
        </w:rPr>
        <w:t>ú</w:t>
      </w:r>
      <w:r w:rsidR="00847F93">
        <w:t>zsku obsahuje z</w:t>
      </w:r>
      <w:r w:rsidR="00847F93">
        <w:rPr>
          <w:rFonts w:cs="Cambria"/>
        </w:rPr>
        <w:t>á</w:t>
      </w:r>
      <w:r w:rsidR="00847F93">
        <w:t>kon o rovnosti v odme</w:t>
      </w:r>
      <w:r w:rsidR="00847F93">
        <w:rPr>
          <w:rFonts w:cs="Cambria"/>
        </w:rPr>
        <w:t>ň</w:t>
      </w:r>
      <w:r w:rsidR="00847F93">
        <w:t>ovan</w:t>
      </w:r>
      <w:r w:rsidR="00847F93">
        <w:rPr>
          <w:rFonts w:cs="Cambria"/>
        </w:rPr>
        <w:t>í</w:t>
      </w:r>
      <w:r w:rsidR="00847F93">
        <w:t xml:space="preserve"> </w:t>
      </w:r>
      <w:r w:rsidR="00847F93">
        <w:rPr>
          <w:rFonts w:cs="Cambria"/>
        </w:rPr>
        <w:t>ž</w:t>
      </w:r>
      <w:r w:rsidR="00847F93">
        <w:t>ien a mu</w:t>
      </w:r>
      <w:r w:rsidR="00847F93">
        <w:rPr>
          <w:rFonts w:cs="Cambria"/>
        </w:rPr>
        <w:t>ž</w:t>
      </w:r>
      <w:r w:rsidR="00847F93">
        <w:t>ov z roku 2006 ustanovenie, na základe ktorého je povinné kolektívne vyjednávanie o rovnosti pohlaví a od spoločností vyžaduje, aby poskytovali správy o platoch a plánoch na odstránenie rozdielov v odmeňovaní žien a mužov. Francúzska vláda sprísnila existujúce sankcie proti firmám s minimálne 50 zamestnancami, ktoré nerešpektovali z</w:t>
      </w:r>
      <w:r w:rsidR="002D0FBE">
        <w:t>áväzky v rámci rodovej rovnosti</w:t>
      </w:r>
      <w:r w:rsidR="00847F93">
        <w:t xml:space="preserve">. V apríli 2013 boli prvýkrát odsúdené dve firmy za nesplnenie legislatívy o platovej rovnosti. </w:t>
      </w:r>
    </w:p>
    <w:p w:rsidR="00F01A27" w:rsidRPr="00F01A27" w:rsidRDefault="00847F93" w:rsidP="0017792F">
      <w:pPr>
        <w:pStyle w:val="Odsekzoznamu"/>
        <w:numPr>
          <w:ilvl w:val="0"/>
          <w:numId w:val="9"/>
        </w:numPr>
        <w:spacing w:line="240" w:lineRule="auto"/>
        <w:rPr>
          <w:b/>
        </w:rPr>
      </w:pPr>
      <w:r w:rsidRPr="00F01A27">
        <w:rPr>
          <w:b/>
        </w:rPr>
        <w:t xml:space="preserve">Nástroje na zabezpečenie transparentnosti mzdových systémov a identifikovanie rozdielov v odmeňovaní žien a mužov </w:t>
      </w:r>
    </w:p>
    <w:p w:rsidR="00F01A27" w:rsidRDefault="00847F93" w:rsidP="0017792F">
      <w:pPr>
        <w:spacing w:line="240" w:lineRule="auto"/>
      </w:pPr>
      <w:r>
        <w:t xml:space="preserve">Transparentný mzdový systém je zásadným faktorom pri implementovaní rovnosti v odmeňovaní. K dispozícii sú rôzne nástroje. Napríklad: </w:t>
      </w:r>
      <w:r>
        <w:rPr>
          <w:rFonts w:cs="Cambria"/>
        </w:rPr>
        <w:t></w:t>
      </w:r>
      <w:r>
        <w:t xml:space="preserve"> </w:t>
      </w:r>
    </w:p>
    <w:p w:rsidR="00F01A27" w:rsidRDefault="00847F93" w:rsidP="0017792F">
      <w:pPr>
        <w:spacing w:line="240" w:lineRule="auto"/>
      </w:pPr>
      <w:proofErr w:type="spellStart"/>
      <w:r w:rsidRPr="00F01A27">
        <w:rPr>
          <w:b/>
        </w:rPr>
        <w:t>Online</w:t>
      </w:r>
      <w:proofErr w:type="spellEnd"/>
      <w:r w:rsidRPr="00F01A27">
        <w:rPr>
          <w:b/>
        </w:rPr>
        <w:t xml:space="preserve"> n</w:t>
      </w:r>
      <w:r w:rsidRPr="00F01A27">
        <w:rPr>
          <w:rFonts w:cs="Cambria"/>
          <w:b/>
        </w:rPr>
        <w:t>á</w:t>
      </w:r>
      <w:r w:rsidRPr="00F01A27">
        <w:rPr>
          <w:b/>
        </w:rPr>
        <w:t xml:space="preserve">stroj </w:t>
      </w:r>
      <w:proofErr w:type="spellStart"/>
      <w:r w:rsidRPr="00F01A27">
        <w:rPr>
          <w:b/>
        </w:rPr>
        <w:t>Logib</w:t>
      </w:r>
      <w:proofErr w:type="spellEnd"/>
      <w:r>
        <w:t xml:space="preserve"> vyvinut</w:t>
      </w:r>
      <w:r>
        <w:rPr>
          <w:rFonts w:cs="Cambria"/>
        </w:rPr>
        <w:t>ý</w:t>
      </w:r>
      <w:r w:rsidR="00F01A27">
        <w:t xml:space="preserve"> v Nemecku</w:t>
      </w:r>
      <w:r>
        <w:t xml:space="preserve">, Luxembursku a </w:t>
      </w:r>
      <w:r>
        <w:rPr>
          <w:rFonts w:cs="Cambria"/>
        </w:rPr>
        <w:t>Š</w:t>
      </w:r>
      <w:r>
        <w:t>v</w:t>
      </w:r>
      <w:r>
        <w:rPr>
          <w:rFonts w:cs="Cambria"/>
        </w:rPr>
        <w:t>é</w:t>
      </w:r>
      <w:r>
        <w:t>dsku umo</w:t>
      </w:r>
      <w:r>
        <w:rPr>
          <w:rFonts w:cs="Cambria"/>
        </w:rPr>
        <w:t>žň</w:t>
      </w:r>
      <w:r>
        <w:t xml:space="preserve">uje spoločnostiam analyzovať štruktúru platov a zamestnancov a overiť, či je dodržaná rovnosť v odmeňovaní zamestnancov a zamestnankýň. V rámci tohto nástroja sa počíta aj so správami zameranými na analýzu príčin rozdielov v odmeňovaní žien a mužov a s návrhmi opatrení na ich odstránenie. </w:t>
      </w:r>
      <w:r>
        <w:rPr>
          <w:rFonts w:cs="Cambria"/>
        </w:rPr>
        <w:t></w:t>
      </w:r>
      <w:r>
        <w:t xml:space="preserve"> </w:t>
      </w:r>
    </w:p>
    <w:p w:rsidR="00F01A27" w:rsidRDefault="00F01A27" w:rsidP="0017792F">
      <w:pPr>
        <w:spacing w:line="240" w:lineRule="auto"/>
      </w:pPr>
      <w:r w:rsidRPr="00F01A27">
        <w:rPr>
          <w:b/>
        </w:rPr>
        <w:t>Rakúsko:</w:t>
      </w:r>
      <w:r>
        <w:t xml:space="preserve"> </w:t>
      </w:r>
      <w:r w:rsidR="00847F93">
        <w:t xml:space="preserve">V Rakúsku bola zavedená „mzdová a platová kalkulačka“, ktorá poskytuje aktuálne a ľahko dostupné informácie o obvyklej úrovni odmeňovania v určitom sektore alebo </w:t>
      </w:r>
      <w:r>
        <w:t>mieste. Funguje od októbra 2011</w:t>
      </w:r>
      <w:r w:rsidR="00847F93">
        <w:t xml:space="preserve">. Mzdová a platová kalkulačka je súčasťou národného akčného plánu pre rovnosť medzi ženami a mužmi na trhu práce. </w:t>
      </w:r>
    </w:p>
    <w:p w:rsidR="00F01A27" w:rsidRPr="001D7DF3" w:rsidRDefault="00F01A27" w:rsidP="0017792F">
      <w:pPr>
        <w:pStyle w:val="Odsekzoznamu"/>
        <w:numPr>
          <w:ilvl w:val="0"/>
          <w:numId w:val="9"/>
        </w:numPr>
        <w:spacing w:line="240" w:lineRule="auto"/>
        <w:rPr>
          <w:b/>
        </w:rPr>
      </w:pPr>
      <w:r w:rsidRPr="001D7DF3">
        <w:rPr>
          <w:b/>
        </w:rPr>
        <w:t xml:space="preserve">Dni rovnosti odmeňovania </w:t>
      </w:r>
    </w:p>
    <w:p w:rsidR="00F01A27" w:rsidRDefault="00847F93" w:rsidP="0017792F">
      <w:pPr>
        <w:spacing w:line="240" w:lineRule="auto"/>
      </w:pPr>
      <w:r>
        <w:t xml:space="preserve">Mnoho krajín pravidelne organizuje </w:t>
      </w:r>
      <w:r w:rsidRPr="00F01A27">
        <w:rPr>
          <w:b/>
        </w:rPr>
        <w:t>Deň rovnosti odmeňovania</w:t>
      </w:r>
      <w:r>
        <w:t>. Mnohé z nich organizuje združenie podnikateliek a pracujúcich žien</w:t>
      </w:r>
      <w:r w:rsidR="00F01A27">
        <w:t>.</w:t>
      </w:r>
      <w:r>
        <w:t xml:space="preserve"> Súvisiace činnosti zahŕňajú distribúciu informácií o rozdieloch v odmeňovaní žien a mužov, organizovanie podujatí a usporadúvanie stretnutí s predstaviteľmi vlády. Niekoľko príkladov: </w:t>
      </w:r>
      <w:r>
        <w:rPr>
          <w:rFonts w:cs="Cambria"/>
        </w:rPr>
        <w:t></w:t>
      </w:r>
      <w:r>
        <w:t xml:space="preserve"> </w:t>
      </w:r>
    </w:p>
    <w:p w:rsidR="00F01A27" w:rsidRDefault="00F01A27" w:rsidP="0017792F">
      <w:pPr>
        <w:spacing w:line="240" w:lineRule="auto"/>
      </w:pPr>
      <w:r w:rsidRPr="00F01A27">
        <w:rPr>
          <w:b/>
        </w:rPr>
        <w:t>Belgicko:</w:t>
      </w:r>
      <w:r>
        <w:t xml:space="preserve"> </w:t>
      </w:r>
      <w:r w:rsidR="00847F93">
        <w:t>Prvou eur</w:t>
      </w:r>
      <w:r w:rsidR="00847F93">
        <w:rPr>
          <w:rFonts w:cs="Cambria"/>
        </w:rPr>
        <w:t>ó</w:t>
      </w:r>
      <w:r w:rsidR="00847F93">
        <w:t>pskou krajinou, ktor</w:t>
      </w:r>
      <w:r w:rsidR="00847F93">
        <w:rPr>
          <w:rFonts w:cs="Cambria"/>
        </w:rPr>
        <w:t>á</w:t>
      </w:r>
      <w:r w:rsidR="00847F93">
        <w:t xml:space="preserve"> zorganizovala De</w:t>
      </w:r>
      <w:r w:rsidR="00847F93">
        <w:rPr>
          <w:rFonts w:cs="Cambria"/>
        </w:rPr>
        <w:t>ň</w:t>
      </w:r>
      <w:r w:rsidR="00847F93">
        <w:t xml:space="preserve"> rovnosti odme</w:t>
      </w:r>
      <w:r w:rsidR="00847F93">
        <w:rPr>
          <w:rFonts w:cs="Cambria"/>
        </w:rPr>
        <w:t>ň</w:t>
      </w:r>
      <w:r w:rsidR="00847F93">
        <w:t>ovania, bolo Belgicko v roku 2005. V týchto rokoch organizovali Dni rovnosti odmeňovania tri najväčšie odborové zväzy. Využili vtipné reklamy na plagátoch, v rádiu a televízii, pútače, tlačidlá, letáky špecializované webové stránky, sociálne siete, videoklipy atď. V roku 201</w:t>
      </w:r>
      <w:r>
        <w:t>5</w:t>
      </w:r>
      <w:r w:rsidR="00847F93">
        <w:t xml:space="preserve"> sa Deň rovnosti odmeňovania u</w:t>
      </w:r>
      <w:r>
        <w:t>skutočnil už jedenásty raz</w:t>
      </w:r>
      <w:r w:rsidR="00847F93">
        <w:t xml:space="preserve">. </w:t>
      </w:r>
      <w:r w:rsidR="00847F93">
        <w:rPr>
          <w:rFonts w:cs="Cambria"/>
        </w:rPr>
        <w:t></w:t>
      </w:r>
      <w:r w:rsidR="00847F93">
        <w:t xml:space="preserve"> </w:t>
      </w:r>
    </w:p>
    <w:p w:rsidR="00F01A27" w:rsidRDefault="00F01A27" w:rsidP="0017792F">
      <w:pPr>
        <w:spacing w:line="240" w:lineRule="auto"/>
      </w:pPr>
      <w:r w:rsidRPr="00F01A27">
        <w:rPr>
          <w:b/>
        </w:rPr>
        <w:t>ČR:</w:t>
      </w:r>
      <w:r>
        <w:t xml:space="preserve"> </w:t>
      </w:r>
      <w:r w:rsidR="00847F93">
        <w:t xml:space="preserve">V </w:t>
      </w:r>
      <w:r w:rsidR="00847F93">
        <w:rPr>
          <w:rFonts w:cs="Cambria"/>
        </w:rPr>
        <w:t>Č</w:t>
      </w:r>
      <w:r w:rsidR="00847F93">
        <w:t>eskej republike organizuje zdru</w:t>
      </w:r>
      <w:r w:rsidR="00847F93">
        <w:rPr>
          <w:rFonts w:cs="Cambria"/>
        </w:rPr>
        <w:t>ž</w:t>
      </w:r>
      <w:r w:rsidR="00847F93">
        <w:t>enie podnikateliek a pracuj</w:t>
      </w:r>
      <w:r w:rsidR="00847F93">
        <w:rPr>
          <w:rFonts w:cs="Cambria"/>
        </w:rPr>
        <w:t>ú</w:t>
      </w:r>
      <w:r w:rsidR="00847F93">
        <w:t xml:space="preserve">cich </w:t>
      </w:r>
      <w:r w:rsidR="00847F93">
        <w:rPr>
          <w:rFonts w:cs="Cambria"/>
        </w:rPr>
        <w:t>ž</w:t>
      </w:r>
      <w:r w:rsidR="00847F93">
        <w:t>ien De</w:t>
      </w:r>
      <w:r w:rsidR="00847F93">
        <w:rPr>
          <w:rFonts w:cs="Cambria"/>
        </w:rPr>
        <w:t>ň</w:t>
      </w:r>
      <w:r w:rsidR="00847F93">
        <w:t xml:space="preserve"> rovnosti odmeňovania od roku 2010. Na odbornej konferencii a mentorských činnostiach </w:t>
      </w:r>
      <w:r>
        <w:t xml:space="preserve">v roku 2013 </w:t>
      </w:r>
      <w:r w:rsidR="00847F93">
        <w:t xml:space="preserve">odovzdalo 31 podnikateľov a manažérov svoje skúsenosti približne 600 mladým ženám. Počas celého dňa sa rozdávala tradičná červená taška s logom podujatia. </w:t>
      </w:r>
    </w:p>
    <w:p w:rsidR="00F01A27" w:rsidRDefault="00F01A27" w:rsidP="0017792F">
      <w:pPr>
        <w:spacing w:line="240" w:lineRule="auto"/>
      </w:pPr>
      <w:r w:rsidRPr="00F01A27">
        <w:rPr>
          <w:b/>
        </w:rPr>
        <w:t>Estónsko:</w:t>
      </w:r>
      <w:r>
        <w:t xml:space="preserve"> </w:t>
      </w:r>
      <w:r w:rsidR="00847F93">
        <w:t>V Est</w:t>
      </w:r>
      <w:r w:rsidR="00847F93">
        <w:rPr>
          <w:rFonts w:cs="Cambria"/>
        </w:rPr>
        <w:t>ó</w:t>
      </w:r>
      <w:r w:rsidR="00847F93">
        <w:t>nsku sa v roku 2013 n</w:t>
      </w:r>
      <w:r w:rsidR="00847F93">
        <w:rPr>
          <w:rFonts w:cs="Cambria"/>
        </w:rPr>
        <w:t>á</w:t>
      </w:r>
      <w:r w:rsidR="00847F93">
        <w:t>rodn</w:t>
      </w:r>
      <w:r w:rsidR="00847F93">
        <w:rPr>
          <w:rFonts w:cs="Cambria"/>
        </w:rPr>
        <w:t>ý</w:t>
      </w:r>
      <w:r w:rsidR="00847F93">
        <w:t xml:space="preserve"> De</w:t>
      </w:r>
      <w:r w:rsidR="00847F93">
        <w:rPr>
          <w:rFonts w:cs="Cambria"/>
        </w:rPr>
        <w:t>ň</w:t>
      </w:r>
      <w:r w:rsidR="00847F93">
        <w:t xml:space="preserve"> rovnosti odme</w:t>
      </w:r>
      <w:r w:rsidR="00847F93">
        <w:rPr>
          <w:rFonts w:cs="Cambria"/>
        </w:rPr>
        <w:t>ň</w:t>
      </w:r>
      <w:r w:rsidR="00847F93">
        <w:t>ovania uskuto</w:t>
      </w:r>
      <w:r w:rsidR="00847F93">
        <w:rPr>
          <w:rFonts w:cs="Cambria"/>
        </w:rPr>
        <w:t>č</w:t>
      </w:r>
      <w:r w:rsidR="00847F93">
        <w:t>nil 11. apríla. Jeho hlavným organizátorom je estónske združenie podnikateliek a pracujúcich žien. Tradičným hlavným bodom tohto podujatia, ktoré sa zameriava najmä na mladých ľudí a zamestnávateľov, je ponuka jedál z lososa s kôprom alebo bez neho za rôzne ceny, ktoré majú poukázať na rodovú platovú nerovnosť v Estónsku. Združenie podnikateliek a pracujúcich žien chce takisto pokračovať v zhromažďovaní názorov a skúseností ľudí s osobitným dôrazom na transparentné a spravodlivé systémy odmeňovania, ktoré boli hlav</w:t>
      </w:r>
      <w:r>
        <w:t>ným odkazom kampane v roku 2013.</w:t>
      </w:r>
      <w:r w:rsidR="00847F93">
        <w:t xml:space="preserve"> </w:t>
      </w:r>
      <w:r w:rsidR="00847F93">
        <w:rPr>
          <w:rFonts w:cs="Cambria"/>
        </w:rPr>
        <w:t></w:t>
      </w:r>
      <w:r w:rsidR="00847F93">
        <w:t xml:space="preserve"> </w:t>
      </w:r>
    </w:p>
    <w:p w:rsidR="00F01A27" w:rsidRDefault="00F01A27" w:rsidP="0017792F">
      <w:pPr>
        <w:spacing w:line="240" w:lineRule="auto"/>
      </w:pPr>
      <w:r w:rsidRPr="00F01A27">
        <w:rPr>
          <w:b/>
        </w:rPr>
        <w:t>Španielsko:</w:t>
      </w:r>
      <w:r>
        <w:t xml:space="preserve"> </w:t>
      </w:r>
      <w:r w:rsidR="00847F93">
        <w:t xml:space="preserve">V </w:t>
      </w:r>
      <w:r w:rsidR="00847F93">
        <w:rPr>
          <w:rFonts w:cs="Cambria"/>
        </w:rPr>
        <w:t>Š</w:t>
      </w:r>
      <w:r w:rsidR="00847F93">
        <w:t>panielsku sa De</w:t>
      </w:r>
      <w:r w:rsidR="00847F93">
        <w:rPr>
          <w:rFonts w:cs="Cambria"/>
        </w:rPr>
        <w:t>ň</w:t>
      </w:r>
      <w:r w:rsidR="00847F93">
        <w:t xml:space="preserve"> rovnosti odme</w:t>
      </w:r>
      <w:r w:rsidR="00847F93">
        <w:rPr>
          <w:rFonts w:cs="Cambria"/>
        </w:rPr>
        <w:t>ň</w:t>
      </w:r>
      <w:r w:rsidR="00847F93">
        <w:t>ovania kon</w:t>
      </w:r>
      <w:r w:rsidR="00847F93">
        <w:rPr>
          <w:rFonts w:cs="Cambria"/>
        </w:rPr>
        <w:t>á</w:t>
      </w:r>
      <w:r w:rsidR="00847F93">
        <w:t xml:space="preserve"> 22. febru</w:t>
      </w:r>
      <w:r w:rsidR="00847F93">
        <w:rPr>
          <w:rFonts w:cs="Cambria"/>
        </w:rPr>
        <w:t>á</w:t>
      </w:r>
      <w:r w:rsidR="00847F93">
        <w:t>ra. Ministerstvo zodpovedn</w:t>
      </w:r>
      <w:r w:rsidR="00847F93">
        <w:rPr>
          <w:rFonts w:cs="Cambria"/>
        </w:rPr>
        <w:t>é</w:t>
      </w:r>
      <w:r w:rsidR="00847F93">
        <w:t xml:space="preserve"> za politiky rovnosti a nediskriminácie vytvorilo pre toto podujatie vlastné logo. Pri príležitosti tohto dňa sa vydávajú napríklad lósy s týmto logom. Na podporu národného Dňa rovnosti odmeňovania boli 22. februára uvedené do obeh</w:t>
      </w:r>
      <w:r>
        <w:t>u aj špeciálne poštové známky</w:t>
      </w:r>
      <w:r w:rsidR="00847F93">
        <w:t xml:space="preserve">. </w:t>
      </w:r>
    </w:p>
    <w:p w:rsidR="00F01A27" w:rsidRPr="00F01A27" w:rsidRDefault="00847F93" w:rsidP="0017792F">
      <w:pPr>
        <w:pStyle w:val="Odsekzoznamu"/>
        <w:numPr>
          <w:ilvl w:val="0"/>
          <w:numId w:val="9"/>
        </w:numPr>
        <w:spacing w:line="240" w:lineRule="auto"/>
        <w:rPr>
          <w:b/>
        </w:rPr>
      </w:pPr>
      <w:r w:rsidRPr="00F01A27">
        <w:rPr>
          <w:b/>
        </w:rPr>
        <w:t xml:space="preserve">Hodnotenie práce a metódy klasifikácie práce bez </w:t>
      </w:r>
      <w:r w:rsidR="00F01A27">
        <w:rPr>
          <w:b/>
        </w:rPr>
        <w:t xml:space="preserve">rodových </w:t>
      </w:r>
      <w:r w:rsidRPr="00F01A27">
        <w:rPr>
          <w:b/>
        </w:rPr>
        <w:t>pred</w:t>
      </w:r>
      <w:r w:rsidR="00F01A27" w:rsidRPr="00F01A27">
        <w:rPr>
          <w:b/>
        </w:rPr>
        <w:t xml:space="preserve">sudkov. </w:t>
      </w:r>
    </w:p>
    <w:p w:rsidR="00641638" w:rsidRDefault="00847F93" w:rsidP="0017792F">
      <w:pPr>
        <w:spacing w:line="240" w:lineRule="auto"/>
      </w:pPr>
      <w:r>
        <w:t xml:space="preserve">Hodnotenie práce bez rodových predsudkov na základe pohlavia je veľmi dôležité na zabezpečenie rovnocennosti práce žien a mužov. Napríklad: </w:t>
      </w:r>
      <w:r>
        <w:rPr>
          <w:rFonts w:cs="Cambria"/>
        </w:rPr>
        <w:t></w:t>
      </w:r>
      <w:r>
        <w:t xml:space="preserve"> </w:t>
      </w:r>
    </w:p>
    <w:p w:rsidR="00641638" w:rsidRDefault="00641638" w:rsidP="0017792F">
      <w:pPr>
        <w:spacing w:line="240" w:lineRule="auto"/>
      </w:pPr>
      <w:r w:rsidRPr="00641638">
        <w:rPr>
          <w:b/>
        </w:rPr>
        <w:t>Portugalsko:</w:t>
      </w:r>
      <w:r>
        <w:t xml:space="preserve"> </w:t>
      </w:r>
      <w:r w:rsidR="00847F93">
        <w:t>V Portugalsku bola pre sektor hotelierstva a reštauračných služieb vypracovaná metóda hodnotenia práce bez predsudkov na základe pohlavia ako súčasť projektu „</w:t>
      </w:r>
      <w:r w:rsidR="00847F93" w:rsidRPr="00641638">
        <w:rPr>
          <w:i/>
        </w:rPr>
        <w:t>Prehodnotenie práce v záujme podpory rodovej rovnosti</w:t>
      </w:r>
      <w:r w:rsidR="00847F93">
        <w:t xml:space="preserve">“. To umožnilo hodnotiť a porovnávať povolania, v ktorých prevažujú muži a povolania, v ktorých prevažujú ženy, s cieľom určiť, či sú rozdiely v odmeňovaní žien a mužov dôsledkom nespravodlivého hodnotenia ženskej práce a diskriminácie. Vypracovali sa takisto pokyny na hodnotenie práce bez </w:t>
      </w:r>
      <w:r>
        <w:t xml:space="preserve">rodových </w:t>
      </w:r>
      <w:r w:rsidR="00847F93">
        <w:t xml:space="preserve">predsudkov a vzdelávacia príručka. </w:t>
      </w:r>
      <w:r w:rsidR="00847F93">
        <w:rPr>
          <w:rFonts w:cs="Cambria"/>
        </w:rPr>
        <w:t></w:t>
      </w:r>
      <w:r w:rsidR="00847F93">
        <w:t xml:space="preserve"> </w:t>
      </w:r>
    </w:p>
    <w:p w:rsidR="00641638" w:rsidRDefault="00847F93" w:rsidP="0017792F">
      <w:pPr>
        <w:spacing w:line="240" w:lineRule="auto"/>
      </w:pPr>
      <w:r w:rsidRPr="00641638">
        <w:rPr>
          <w:b/>
        </w:rPr>
        <w:lastRenderedPageBreak/>
        <w:t>Spojen</w:t>
      </w:r>
      <w:r w:rsidRPr="00641638">
        <w:rPr>
          <w:rFonts w:cs="Cambria"/>
          <w:b/>
        </w:rPr>
        <w:t>é</w:t>
      </w:r>
      <w:r w:rsidRPr="00641638">
        <w:rPr>
          <w:b/>
        </w:rPr>
        <w:t xml:space="preserve"> kr</w:t>
      </w:r>
      <w:r w:rsidRPr="00641638">
        <w:rPr>
          <w:rFonts w:cs="Cambria"/>
          <w:b/>
        </w:rPr>
        <w:t>áľ</w:t>
      </w:r>
      <w:r w:rsidRPr="00641638">
        <w:rPr>
          <w:b/>
        </w:rPr>
        <w:t>ovstvo</w:t>
      </w:r>
      <w:r>
        <w:t xml:space="preserve"> uverejnilo v roku 2011 vnútroštátny kódex postupov týkajúcich sa rovnosti odmeňovania, čo je technická príručka ilustrujúca, kde a ako je možné v konkrétnych situáciách uplatniť právne predpisy v tejto oblasti. Tento nástroj je určený najmä právnikom, pracovníkom v oblasti ľudských zdrojov a súdom. </w:t>
      </w:r>
    </w:p>
    <w:p w:rsidR="00641638" w:rsidRPr="00641638" w:rsidRDefault="00847F93" w:rsidP="0017792F">
      <w:pPr>
        <w:pStyle w:val="Odsekzoznamu"/>
        <w:numPr>
          <w:ilvl w:val="0"/>
          <w:numId w:val="9"/>
        </w:numPr>
        <w:spacing w:line="240" w:lineRule="auto"/>
        <w:rPr>
          <w:b/>
        </w:rPr>
      </w:pPr>
      <w:r w:rsidRPr="00641638">
        <w:rPr>
          <w:b/>
        </w:rPr>
        <w:t xml:space="preserve">Certifikáty rovnosti, charty a ocenenia </w:t>
      </w:r>
    </w:p>
    <w:p w:rsidR="00847F93" w:rsidRDefault="00847F93" w:rsidP="0017792F">
      <w:pPr>
        <w:spacing w:line="240" w:lineRule="auto"/>
        <w:rPr>
          <w:lang w:eastAsia="de-DE"/>
        </w:rPr>
      </w:pPr>
      <w:r>
        <w:t xml:space="preserve">Európska komisia v roku 2010 uverejnila štúdiu obsahujúcu prehľad týchto nelegislatívnych nástrojov na podporu rodovej </w:t>
      </w:r>
      <w:r w:rsidR="00641638">
        <w:t>rovnosti v európskych podnikoch</w:t>
      </w:r>
      <w:r>
        <w:t xml:space="preserve">. Niektoré z týchto nástrojov zohľadňujú rozdiely v odmeňovaní žien a mužov ako faktor. </w:t>
      </w:r>
      <w:r w:rsidRPr="00641638">
        <w:rPr>
          <w:b/>
        </w:rPr>
        <w:t>Švajčiarsko</w:t>
      </w:r>
      <w:r>
        <w:t xml:space="preserve"> poskytuje najlepší príklad špecifického certifikátu udeľovaného podnikom v tejto súvislosti: </w:t>
      </w:r>
      <w:r>
        <w:rPr>
          <w:rFonts w:cs="Cambria"/>
        </w:rPr>
        <w:t></w:t>
      </w:r>
      <w:r>
        <w:t xml:space="preserve"> Vo </w:t>
      </w:r>
      <w:r>
        <w:rPr>
          <w:rFonts w:cs="Cambria"/>
        </w:rPr>
        <w:t>Š</w:t>
      </w:r>
      <w:r>
        <w:t>vaj</w:t>
      </w:r>
      <w:r>
        <w:rPr>
          <w:rFonts w:cs="Cambria"/>
        </w:rPr>
        <w:t>č</w:t>
      </w:r>
      <w:r>
        <w:t>iarsku m</w:t>
      </w:r>
      <w:r>
        <w:rPr>
          <w:rFonts w:cs="Cambria"/>
        </w:rPr>
        <w:t>ôž</w:t>
      </w:r>
      <w:r>
        <w:t>u spolo</w:t>
      </w:r>
      <w:r>
        <w:rPr>
          <w:rFonts w:cs="Cambria"/>
        </w:rPr>
        <w:t>č</w:t>
      </w:r>
      <w:r>
        <w:t>nosti z</w:t>
      </w:r>
      <w:r>
        <w:rPr>
          <w:rFonts w:cs="Cambria"/>
        </w:rPr>
        <w:t>í</w:t>
      </w:r>
      <w:r>
        <w:t>ska</w:t>
      </w:r>
      <w:r>
        <w:rPr>
          <w:rFonts w:cs="Cambria"/>
        </w:rPr>
        <w:t>ť</w:t>
      </w:r>
      <w:r>
        <w:t xml:space="preserve"> logo rovnosti v odme</w:t>
      </w:r>
      <w:r>
        <w:rPr>
          <w:rFonts w:cs="Cambria"/>
        </w:rPr>
        <w:t>ň</w:t>
      </w:r>
      <w:r>
        <w:t>ovan</w:t>
      </w:r>
      <w:r>
        <w:rPr>
          <w:rFonts w:cs="Cambria"/>
        </w:rPr>
        <w:t>í</w:t>
      </w:r>
      <w:r>
        <w:t>, ak preuk</w:t>
      </w:r>
      <w:r>
        <w:rPr>
          <w:rFonts w:cs="Cambria"/>
        </w:rPr>
        <w:t>áž</w:t>
      </w:r>
      <w:r>
        <w:t xml:space="preserve">u, </w:t>
      </w:r>
      <w:r>
        <w:rPr>
          <w:rFonts w:cs="Cambria"/>
        </w:rPr>
        <w:t>ž</w:t>
      </w:r>
      <w:r>
        <w:t>e implementovali politiku sprav</w:t>
      </w:r>
      <w:r w:rsidR="00641638">
        <w:t>odlivých miezd pre ženy a mužov</w:t>
      </w:r>
      <w:r>
        <w:t>.</w:t>
      </w:r>
    </w:p>
    <w:p w:rsidR="00847F93" w:rsidRDefault="00847F93" w:rsidP="0017792F">
      <w:pPr>
        <w:spacing w:line="240" w:lineRule="auto"/>
        <w:rPr>
          <w:lang w:eastAsia="de-DE"/>
        </w:rPr>
      </w:pPr>
    </w:p>
    <w:p w:rsidR="00847F93" w:rsidRDefault="008C60EE" w:rsidP="0017792F">
      <w:pPr>
        <w:pStyle w:val="Nadpis3"/>
        <w:spacing w:before="0" w:line="240" w:lineRule="auto"/>
        <w:rPr>
          <w:lang w:eastAsia="de-DE"/>
        </w:rPr>
      </w:pPr>
      <w:bookmarkStart w:id="23" w:name="_Toc451508620"/>
      <w:r>
        <w:rPr>
          <w:lang w:eastAsia="de-DE"/>
        </w:rPr>
        <w:t>O</w:t>
      </w:r>
      <w:r w:rsidR="00603EB2">
        <w:rPr>
          <w:lang w:eastAsia="de-DE"/>
        </w:rPr>
        <w:t>dporúčania</w:t>
      </w:r>
      <w:bookmarkEnd w:id="23"/>
    </w:p>
    <w:p w:rsidR="00E7791A" w:rsidRPr="00E7791A" w:rsidRDefault="00E7791A" w:rsidP="0017792F">
      <w:pPr>
        <w:shd w:val="clear" w:color="auto" w:fill="auto"/>
        <w:spacing w:line="240" w:lineRule="auto"/>
        <w:rPr>
          <w:rFonts w:asciiTheme="majorHAnsi" w:eastAsiaTheme="minorHAnsi" w:hAnsiTheme="majorHAnsi" w:cstheme="minorBidi"/>
          <w:lang w:bidi="ar-SA"/>
        </w:rPr>
      </w:pPr>
      <w:r w:rsidRPr="00E7791A">
        <w:rPr>
          <w:rFonts w:asciiTheme="majorHAnsi" w:eastAsiaTheme="minorHAnsi" w:hAnsiTheme="majorHAnsi" w:cstheme="minorBidi"/>
          <w:lang w:bidi="ar-SA"/>
        </w:rPr>
        <w:t xml:space="preserve">MPSVR </w:t>
      </w:r>
      <w:r>
        <w:rPr>
          <w:rFonts w:asciiTheme="majorHAnsi" w:eastAsiaTheme="minorHAnsi" w:hAnsiTheme="majorHAnsi" w:cstheme="minorBidi"/>
          <w:lang w:bidi="ar-SA"/>
        </w:rPr>
        <w:t xml:space="preserve">SR </w:t>
      </w:r>
      <w:r w:rsidRPr="00E7791A">
        <w:rPr>
          <w:rFonts w:asciiTheme="majorHAnsi" w:eastAsiaTheme="minorHAnsi" w:hAnsiTheme="majorHAnsi" w:cstheme="minorBidi"/>
          <w:lang w:bidi="ar-SA"/>
        </w:rPr>
        <w:t xml:space="preserve">prijíma neustále opatrenia na znižovanie rozdielu v zárobkoch medzi mužmi a ženami. K najvýznamnejším bola osvetová kampaň, ktorá nielen upozorňovala na stále nižšie ohodnotenie práce žien, ale aj ponúkala na stránke </w:t>
      </w:r>
      <w:hyperlink r:id="rId25" w:history="1">
        <w:r w:rsidRPr="00E7791A">
          <w:rPr>
            <w:rFonts w:asciiTheme="majorHAnsi" w:eastAsiaTheme="minorHAnsi" w:hAnsiTheme="majorHAnsi" w:cstheme="minorBidi"/>
            <w:color w:val="0000FF" w:themeColor="hyperlink"/>
            <w:u w:val="single"/>
            <w:lang w:bidi="ar-SA"/>
          </w:rPr>
          <w:t>www.kedvyrastiem.sk</w:t>
        </w:r>
      </w:hyperlink>
      <w:r w:rsidRPr="00E7791A">
        <w:rPr>
          <w:rFonts w:asciiTheme="majorHAnsi" w:eastAsiaTheme="minorHAnsi" w:hAnsiTheme="majorHAnsi" w:cstheme="minorBidi"/>
          <w:lang w:bidi="ar-SA"/>
        </w:rPr>
        <w:t xml:space="preserve"> konkrétne rady, ako sa brániť diskriminácii na trhu práce.</w:t>
      </w:r>
    </w:p>
    <w:p w:rsidR="00E7791A" w:rsidRPr="00E7791A" w:rsidRDefault="00E7791A" w:rsidP="0017792F">
      <w:pPr>
        <w:shd w:val="clear" w:color="auto" w:fill="auto"/>
        <w:spacing w:line="240" w:lineRule="auto"/>
        <w:rPr>
          <w:rFonts w:eastAsiaTheme="minorHAnsi" w:cstheme="minorBidi"/>
          <w:lang w:bidi="ar-SA"/>
        </w:rPr>
      </w:pPr>
      <w:r w:rsidRPr="00E7791A">
        <w:rPr>
          <w:rFonts w:asciiTheme="majorHAnsi" w:eastAsiaTheme="minorHAnsi" w:hAnsiTheme="majorHAnsi" w:cstheme="minorBidi"/>
          <w:lang w:bidi="ar-SA"/>
        </w:rPr>
        <w:t>Ďalším významným opatrením pre znižovanie mzdového rodového rozdielu je postupné zvyšovanie minimálnej mzdy, keďže ž</w:t>
      </w:r>
      <w:r w:rsidRPr="00E7791A">
        <w:rPr>
          <w:rFonts w:eastAsiaTheme="minorHAnsi" w:cstheme="minorBidi"/>
          <w:lang w:bidi="ar-SA"/>
        </w:rPr>
        <w:t xml:space="preserve">eny pracujú častejšie v nízko príjmových skupinách ako muži. </w:t>
      </w:r>
    </w:p>
    <w:p w:rsidR="00E7791A" w:rsidRDefault="00E7791A" w:rsidP="0017792F">
      <w:pPr>
        <w:shd w:val="clear" w:color="auto" w:fill="auto"/>
        <w:spacing w:line="240" w:lineRule="auto"/>
        <w:rPr>
          <w:rFonts w:eastAsiaTheme="minorHAnsi" w:cstheme="minorBidi"/>
          <w:lang w:bidi="ar-SA"/>
        </w:rPr>
      </w:pPr>
      <w:r w:rsidRPr="00E7791A">
        <w:rPr>
          <w:rFonts w:eastAsiaTheme="minorHAnsi" w:cstheme="minorBidi"/>
          <w:lang w:bidi="ar-SA"/>
        </w:rPr>
        <w:t xml:space="preserve">Rovnako dôležitým nástrojom pre zvýšenie zamestnanosti a príjmovej úrovne žien bol národný projekt Rodina a práca, ktorý je zameraný na </w:t>
      </w:r>
      <w:r w:rsidR="00620092">
        <w:rPr>
          <w:rFonts w:eastAsiaTheme="minorHAnsi" w:cstheme="minorBidi"/>
          <w:lang w:bidi="ar-SA"/>
        </w:rPr>
        <w:t>p</w:t>
      </w:r>
      <w:r w:rsidRPr="00E7791A">
        <w:rPr>
          <w:rFonts w:eastAsiaTheme="minorHAnsi" w:cstheme="minorBidi"/>
          <w:lang w:bidi="ar-SA"/>
        </w:rPr>
        <w:t xml:space="preserve">odporu zosúladenia rodinného a pracovného života a možnosť pracovného uplatnenia matiek s malými deťmi. Výpadok z pracovného procesu z dôvodov materstva je totiž jedným z faktorov, ktoré sa dlhodobo odráža na nižšej príjmovej úrovni žien. MPSVR SR bude </w:t>
      </w:r>
      <w:r>
        <w:rPr>
          <w:rFonts w:eastAsiaTheme="minorHAnsi" w:cstheme="minorBidi"/>
          <w:lang w:bidi="ar-SA"/>
        </w:rPr>
        <w:t xml:space="preserve">aj v novom programovom období </w:t>
      </w:r>
      <w:r w:rsidRPr="00E7791A">
        <w:rPr>
          <w:rFonts w:eastAsiaTheme="minorHAnsi" w:cstheme="minorBidi"/>
          <w:lang w:bidi="ar-SA"/>
        </w:rPr>
        <w:t>v rámci OP Ľudské zdroje podporovať flexibilné formy práce a flexibilné formy starostlivosti o</w:t>
      </w:r>
      <w:r>
        <w:rPr>
          <w:rFonts w:eastAsiaTheme="minorHAnsi" w:cstheme="minorBidi"/>
          <w:lang w:bidi="ar-SA"/>
        </w:rPr>
        <w:t> </w:t>
      </w:r>
      <w:r w:rsidRPr="00E7791A">
        <w:rPr>
          <w:rFonts w:eastAsiaTheme="minorHAnsi" w:cstheme="minorBidi"/>
          <w:lang w:bidi="ar-SA"/>
        </w:rPr>
        <w:t>deti</w:t>
      </w:r>
      <w:r>
        <w:rPr>
          <w:rFonts w:eastAsiaTheme="minorHAnsi" w:cstheme="minorBidi"/>
          <w:lang w:bidi="ar-SA"/>
        </w:rPr>
        <w:t>, ako aj ďalšie opatrenia vedúce k odstraňovaniu diskriminácie na trhu práce</w:t>
      </w:r>
      <w:r w:rsidRPr="00E7791A">
        <w:rPr>
          <w:rFonts w:eastAsiaTheme="minorHAnsi" w:cstheme="minorBidi"/>
          <w:lang w:bidi="ar-SA"/>
        </w:rPr>
        <w:t>.</w:t>
      </w:r>
    </w:p>
    <w:p w:rsidR="00E7791A" w:rsidRPr="00E7791A" w:rsidRDefault="00E7791A" w:rsidP="0017792F">
      <w:pPr>
        <w:shd w:val="clear" w:color="auto" w:fill="auto"/>
        <w:spacing w:line="240" w:lineRule="auto"/>
      </w:pPr>
      <w:r w:rsidRPr="00E7791A">
        <w:t xml:space="preserve">V záujme riešenia tejto problematiky vytýčila Európska komisia </w:t>
      </w:r>
      <w:r w:rsidR="00847F93" w:rsidRPr="00847F93">
        <w:t xml:space="preserve">už </w:t>
      </w:r>
      <w:r w:rsidRPr="00E7791A">
        <w:t>v roku 2007  štyri priority:</w:t>
      </w:r>
    </w:p>
    <w:p w:rsidR="00E7791A" w:rsidRPr="00E7791A" w:rsidRDefault="00E7791A" w:rsidP="0017792F">
      <w:pPr>
        <w:numPr>
          <w:ilvl w:val="0"/>
          <w:numId w:val="1"/>
        </w:numPr>
        <w:shd w:val="clear" w:color="auto" w:fill="auto"/>
        <w:spacing w:line="240" w:lineRule="auto"/>
        <w:ind w:left="714" w:hanging="357"/>
        <w:jc w:val="left"/>
      </w:pPr>
      <w:r w:rsidRPr="00E7791A">
        <w:t>Zabezpečiť lepšie uplatňovanie súčasných právnych predpisov;</w:t>
      </w:r>
    </w:p>
    <w:p w:rsidR="00E7791A" w:rsidRPr="00E7791A" w:rsidRDefault="00E7791A" w:rsidP="0017792F">
      <w:pPr>
        <w:numPr>
          <w:ilvl w:val="0"/>
          <w:numId w:val="1"/>
        </w:numPr>
        <w:shd w:val="clear" w:color="auto" w:fill="auto"/>
        <w:spacing w:line="240" w:lineRule="auto"/>
        <w:ind w:left="714" w:hanging="357"/>
        <w:jc w:val="left"/>
      </w:pPr>
      <w:r w:rsidRPr="00E7791A">
        <w:t>Zahrnúť boj proti rozdielom v odmeňovaní ako neoddeliteľnú súčasť do politík zamestnanosti jednotlivých členských štátov;</w:t>
      </w:r>
    </w:p>
    <w:p w:rsidR="00E7791A" w:rsidRPr="00E7791A" w:rsidRDefault="00E7791A" w:rsidP="0017792F">
      <w:pPr>
        <w:numPr>
          <w:ilvl w:val="0"/>
          <w:numId w:val="1"/>
        </w:numPr>
        <w:shd w:val="clear" w:color="auto" w:fill="auto"/>
        <w:spacing w:line="240" w:lineRule="auto"/>
        <w:ind w:left="714" w:hanging="357"/>
        <w:jc w:val="left"/>
      </w:pPr>
      <w:r w:rsidRPr="00E7791A">
        <w:t>Presadzovať zásadu rovnakej odmeny u zamestnávateľov najmä prostredníctvom koncepcie sociálnej zodpovednosti;</w:t>
      </w:r>
    </w:p>
    <w:p w:rsidR="00E7791A" w:rsidRPr="00E7791A" w:rsidRDefault="00E7791A" w:rsidP="0017792F">
      <w:pPr>
        <w:numPr>
          <w:ilvl w:val="0"/>
          <w:numId w:val="1"/>
        </w:numPr>
        <w:shd w:val="clear" w:color="auto" w:fill="auto"/>
        <w:spacing w:line="240" w:lineRule="auto"/>
        <w:ind w:left="714" w:hanging="357"/>
        <w:jc w:val="left"/>
      </w:pPr>
      <w:r w:rsidRPr="00E7791A">
        <w:t>Podporovať výmenu osvedčených postupov v celej EÚ a zapájať sociálnych partnerov.</w:t>
      </w:r>
    </w:p>
    <w:p w:rsidR="00E7791A" w:rsidRPr="00E7791A" w:rsidRDefault="00E7791A" w:rsidP="0017792F">
      <w:pPr>
        <w:spacing w:line="240" w:lineRule="auto"/>
      </w:pPr>
      <w:r w:rsidRPr="00E7791A">
        <w:t xml:space="preserve">Z pohľadu boja proti diskriminácii zohrávajú dôležitú a nezastupiteľnú úlohu sociálni partneri, a to podporou rovnakého zaobchádzania, napríklad monitorovaním praxe na pracovisku, prístupu k zamestnaniu, odbornej príprave a postupu, ako aj monitorovaním kolektívnych zmlúv, pravidiel správania, výskumom alebo výmenou skúseností a osvedčenej praxe. </w:t>
      </w:r>
    </w:p>
    <w:p w:rsidR="00E7791A" w:rsidRPr="00E7791A" w:rsidRDefault="00E7791A" w:rsidP="0017792F">
      <w:pPr>
        <w:shd w:val="clear" w:color="auto" w:fill="auto"/>
        <w:spacing w:line="240" w:lineRule="auto"/>
      </w:pPr>
      <w:r w:rsidRPr="00E7791A">
        <w:t>Z hľadiska praxe na slovenskom trhu práce možno priority Európskej komisie doplniť o nasledujúce odporúčania:</w:t>
      </w:r>
    </w:p>
    <w:p w:rsidR="00E7791A" w:rsidRPr="00E7791A" w:rsidRDefault="00E7791A" w:rsidP="0017792F">
      <w:pPr>
        <w:numPr>
          <w:ilvl w:val="0"/>
          <w:numId w:val="3"/>
        </w:numPr>
        <w:shd w:val="clear" w:color="auto" w:fill="auto"/>
        <w:spacing w:line="240" w:lineRule="auto"/>
        <w:ind w:left="714" w:hanging="357"/>
        <w:jc w:val="left"/>
      </w:pPr>
      <w:r w:rsidRPr="00E7791A">
        <w:t>Umožniť inšpektorátom práce kontrolovať dodržiavanie zásady rovnosti v odmeňovaní a vytvoriť na to príslušnú metodiku;</w:t>
      </w:r>
    </w:p>
    <w:p w:rsidR="00E7791A" w:rsidRPr="00E7791A" w:rsidRDefault="00E7791A" w:rsidP="0017792F">
      <w:pPr>
        <w:numPr>
          <w:ilvl w:val="0"/>
          <w:numId w:val="3"/>
        </w:numPr>
        <w:shd w:val="clear" w:color="auto" w:fill="auto"/>
        <w:spacing w:line="240" w:lineRule="auto"/>
        <w:ind w:left="714" w:hanging="357"/>
        <w:jc w:val="left"/>
      </w:pPr>
      <w:r w:rsidRPr="00E7791A">
        <w:lastRenderedPageBreak/>
        <w:t xml:space="preserve">Podporovať zavádzanie objektívnych kritérií pre </w:t>
      </w:r>
      <w:proofErr w:type="spellStart"/>
      <w:r w:rsidRPr="00E7791A">
        <w:t>evaluáciu</w:t>
      </w:r>
      <w:proofErr w:type="spellEnd"/>
      <w:r w:rsidRPr="00E7791A">
        <w:t xml:space="preserve"> práce a z nej vyplývajúcich transparentne stanovovaných osobných ohodnotení a iných pohyblivých zložiek mzdy;</w:t>
      </w:r>
    </w:p>
    <w:p w:rsidR="00E7791A" w:rsidRPr="00E7791A" w:rsidRDefault="00E7791A" w:rsidP="0017792F">
      <w:pPr>
        <w:numPr>
          <w:ilvl w:val="0"/>
          <w:numId w:val="3"/>
        </w:numPr>
        <w:shd w:val="clear" w:color="auto" w:fill="auto"/>
        <w:spacing w:line="240" w:lineRule="auto"/>
        <w:ind w:left="714" w:hanging="357"/>
        <w:jc w:val="left"/>
      </w:pPr>
      <w:r w:rsidRPr="00E7791A">
        <w:t>Podporovať rodové audity na pracoviskách minimálne vo verejnej sfére;</w:t>
      </w:r>
    </w:p>
    <w:p w:rsidR="00E7791A" w:rsidRDefault="00E7791A" w:rsidP="0017792F">
      <w:pPr>
        <w:numPr>
          <w:ilvl w:val="0"/>
          <w:numId w:val="3"/>
        </w:numPr>
        <w:shd w:val="clear" w:color="auto" w:fill="auto"/>
        <w:spacing w:line="240" w:lineRule="auto"/>
        <w:ind w:left="714" w:hanging="357"/>
        <w:jc w:val="left"/>
      </w:pPr>
      <w:r w:rsidRPr="00E7791A">
        <w:t>Podporovať právne uvedomenie žien a uplatňovanie práva – Zákonníka práce – v praxi;</w:t>
      </w:r>
    </w:p>
    <w:p w:rsidR="008C60EE" w:rsidRDefault="008C60EE" w:rsidP="0017792F">
      <w:pPr>
        <w:numPr>
          <w:ilvl w:val="0"/>
          <w:numId w:val="3"/>
        </w:numPr>
        <w:shd w:val="clear" w:color="auto" w:fill="auto"/>
        <w:spacing w:line="240" w:lineRule="auto"/>
        <w:ind w:left="714" w:hanging="357"/>
        <w:jc w:val="left"/>
      </w:pPr>
      <w:r>
        <w:t>Vyvinúť systémové nástroje na motivovanie zamestnávateľov pri uplatňovaní flexibilných foriem práce pre lepšie umožnenie zosúladenia rodinného a pracovného života; </w:t>
      </w:r>
    </w:p>
    <w:p w:rsidR="008C60EE" w:rsidRPr="00E7791A" w:rsidRDefault="008C60EE" w:rsidP="008C60EE">
      <w:pPr>
        <w:numPr>
          <w:ilvl w:val="0"/>
          <w:numId w:val="3"/>
        </w:numPr>
        <w:shd w:val="clear" w:color="auto" w:fill="auto"/>
        <w:spacing w:line="240" w:lineRule="auto"/>
        <w:jc w:val="left"/>
      </w:pPr>
      <w:r w:rsidRPr="008C60EE">
        <w:t>Podpor</w:t>
      </w:r>
      <w:r>
        <w:t>iť výskum</w:t>
      </w:r>
      <w:r w:rsidRPr="008C60EE">
        <w:t xml:space="preserve"> v oblasti </w:t>
      </w:r>
      <w:r>
        <w:t>vyčíslenia</w:t>
      </w:r>
      <w:r w:rsidRPr="008C60EE">
        <w:t xml:space="preserve"> neplatenej práce</w:t>
      </w:r>
      <w:r>
        <w:t>, ako aj</w:t>
      </w:r>
      <w:r w:rsidRPr="008C60EE">
        <w:t xml:space="preserve"> projekt</w:t>
      </w:r>
      <w:r>
        <w:t>y a riešenia</w:t>
      </w:r>
      <w:r w:rsidRPr="008C60EE">
        <w:t xml:space="preserve"> v oblasti ohodnotenia výchovnej a opatrovateľskej starostlivosti o členov rodiny vrátane možnosti </w:t>
      </w:r>
      <w:r w:rsidR="00D377D7">
        <w:t xml:space="preserve">adekvátneho </w:t>
      </w:r>
      <w:r w:rsidRPr="008C60EE">
        <w:t xml:space="preserve">ohodnotenia </w:t>
      </w:r>
      <w:r>
        <w:t xml:space="preserve">rodinných </w:t>
      </w:r>
      <w:r w:rsidRPr="008C60EE">
        <w:t>opatrovateľov</w:t>
      </w:r>
      <w:r>
        <w:t>/</w:t>
      </w:r>
      <w:proofErr w:type="spellStart"/>
      <w:r>
        <w:t>iek</w:t>
      </w:r>
      <w:proofErr w:type="spellEnd"/>
      <w:r>
        <w:t>;</w:t>
      </w:r>
    </w:p>
    <w:p w:rsidR="00E7791A" w:rsidRPr="00E7791A" w:rsidRDefault="00E7791A" w:rsidP="0017792F">
      <w:pPr>
        <w:numPr>
          <w:ilvl w:val="0"/>
          <w:numId w:val="3"/>
        </w:numPr>
        <w:shd w:val="clear" w:color="auto" w:fill="auto"/>
        <w:spacing w:line="240" w:lineRule="auto"/>
        <w:jc w:val="left"/>
      </w:pPr>
      <w:r w:rsidRPr="00E7791A">
        <w:t>Zaviesť kritérium rovnosti v odmeňovaní ako podmienku uchádzania sa o verejné zákazky (tento princíp je zavedený napr. vo Švajčiarsku);</w:t>
      </w:r>
    </w:p>
    <w:p w:rsidR="00E7791A" w:rsidRPr="00E7791A" w:rsidRDefault="00E7791A" w:rsidP="0017792F">
      <w:pPr>
        <w:numPr>
          <w:ilvl w:val="0"/>
          <w:numId w:val="3"/>
        </w:numPr>
        <w:shd w:val="clear" w:color="auto" w:fill="auto"/>
        <w:spacing w:line="240" w:lineRule="auto"/>
        <w:jc w:val="left"/>
      </w:pPr>
      <w:r w:rsidRPr="00E7791A">
        <w:t>Každoročne vyhodnocovať a mediálne propagovať tzv. deň rovnosti v odmeňovaní.</w:t>
      </w:r>
    </w:p>
    <w:p w:rsidR="00E7791A" w:rsidRPr="00E7791A" w:rsidRDefault="00E7791A" w:rsidP="00E7791A">
      <w:pPr>
        <w:shd w:val="clear" w:color="auto" w:fill="auto"/>
        <w:spacing w:after="120" w:line="240" w:lineRule="auto"/>
        <w:rPr>
          <w:sz w:val="22"/>
        </w:rPr>
      </w:pPr>
    </w:p>
    <w:p w:rsidR="00E7791A" w:rsidRPr="00E7791A" w:rsidRDefault="00E7791A" w:rsidP="00E7791A">
      <w:pPr>
        <w:shd w:val="clear" w:color="auto" w:fill="auto"/>
        <w:spacing w:after="200" w:line="276" w:lineRule="auto"/>
        <w:rPr>
          <w:rFonts w:eastAsiaTheme="minorHAnsi" w:cstheme="minorBidi"/>
          <w:lang w:bidi="ar-SA"/>
        </w:rPr>
      </w:pPr>
    </w:p>
    <w:p w:rsidR="00E7791A" w:rsidRDefault="00E7791A" w:rsidP="00FC16FC">
      <w:pPr>
        <w:rPr>
          <w:lang w:eastAsia="de-DE"/>
        </w:rPr>
      </w:pPr>
    </w:p>
    <w:p w:rsidR="00FC16FC" w:rsidRDefault="00FC16FC" w:rsidP="00F31B3D"/>
    <w:p w:rsidR="00603EB2" w:rsidRDefault="00603EB2">
      <w:pPr>
        <w:shd w:val="clear" w:color="auto" w:fill="auto"/>
        <w:spacing w:after="0" w:line="240" w:lineRule="auto"/>
        <w:jc w:val="left"/>
      </w:pPr>
      <w:r>
        <w:br w:type="page"/>
      </w:r>
    </w:p>
    <w:p w:rsidR="000256E7" w:rsidRDefault="00603EB2" w:rsidP="00FF078E">
      <w:pPr>
        <w:pStyle w:val="Nadpis2"/>
        <w:spacing w:before="0" w:after="0" w:line="240" w:lineRule="auto"/>
      </w:pPr>
      <w:bookmarkStart w:id="24" w:name="_Toc451508621"/>
      <w:r w:rsidRPr="00603EB2">
        <w:lastRenderedPageBreak/>
        <w:t>Použitá</w:t>
      </w:r>
      <w:r>
        <w:t xml:space="preserve"> literatúra a zdroje</w:t>
      </w:r>
      <w:bookmarkEnd w:id="24"/>
    </w:p>
    <w:sectPr w:rsidR="000256E7" w:rsidSect="00326231">
      <w:footerReference w:type="default" r:id="rId26"/>
      <w:endnotePr>
        <w:numFmt w:val="decimal"/>
      </w:endnotePr>
      <w:pgSz w:w="11906" w:h="16838"/>
      <w:pgMar w:top="1417" w:right="1417" w:bottom="1135" w:left="1417" w:header="708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C0" w:rsidRDefault="00D554C0" w:rsidP="00713644">
      <w:r>
        <w:separator/>
      </w:r>
    </w:p>
    <w:p w:rsidR="00D554C0" w:rsidRDefault="00D554C0" w:rsidP="00713644"/>
    <w:p w:rsidR="00D554C0" w:rsidRDefault="00D554C0" w:rsidP="00713644"/>
    <w:p w:rsidR="00D554C0" w:rsidRDefault="00D554C0"/>
    <w:p w:rsidR="00D554C0" w:rsidRDefault="00D554C0" w:rsidP="004A42B3"/>
  </w:endnote>
  <w:endnote w:type="continuationSeparator" w:id="0">
    <w:p w:rsidR="00D554C0" w:rsidRDefault="00D554C0" w:rsidP="00713644">
      <w:r>
        <w:continuationSeparator/>
      </w:r>
    </w:p>
    <w:p w:rsidR="00D554C0" w:rsidRDefault="00D554C0" w:rsidP="00713644"/>
    <w:p w:rsidR="00D554C0" w:rsidRDefault="00D554C0" w:rsidP="00713644"/>
    <w:p w:rsidR="00D554C0" w:rsidRDefault="00D554C0"/>
    <w:p w:rsidR="00D554C0" w:rsidRDefault="00D554C0" w:rsidP="004A42B3"/>
  </w:endnote>
  <w:endnote w:id="1">
    <w:p w:rsidR="00D554C0" w:rsidRDefault="00D554C0" w:rsidP="001D7DF3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proofErr w:type="spellStart"/>
      <w:r w:rsidRPr="007E7B3F">
        <w:t>O.Pietruchová</w:t>
      </w:r>
      <w:proofErr w:type="spellEnd"/>
      <w:r w:rsidRPr="007E7B3F">
        <w:t>: Nedocenená práca žien. IN:  Aká práca, taká pláca? Aspekt, 2007, ISBN 978-80-85549-76-8 (2007) http://www.aspekt.sk/content/knizna-edicia/aka-praca-taka-placa</w:t>
      </w:r>
    </w:p>
  </w:endnote>
  <w:endnote w:id="2">
    <w:p w:rsidR="00D554C0" w:rsidRPr="00C56C00" w:rsidRDefault="00D554C0" w:rsidP="00DA23D9">
      <w:pPr>
        <w:pStyle w:val="Textvysvetlivky"/>
        <w:spacing w:before="120"/>
        <w:rPr>
          <w:rFonts w:cs="Courier New"/>
        </w:rPr>
      </w:pPr>
      <w:r w:rsidRPr="00C56C00">
        <w:rPr>
          <w:rStyle w:val="Odkaznavysvetlivku"/>
          <w:rFonts w:cs="Courier New"/>
        </w:rPr>
        <w:endnoteRef/>
      </w:r>
      <w:r w:rsidRPr="00C56C00">
        <w:rPr>
          <w:rFonts w:cs="Courier New"/>
        </w:rPr>
        <w:t xml:space="preserve"> </w:t>
      </w:r>
      <w:proofErr w:type="spellStart"/>
      <w:r w:rsidRPr="00C56C00">
        <w:t>Abrams</w:t>
      </w:r>
      <w:proofErr w:type="spellEnd"/>
      <w:r w:rsidRPr="00C56C00">
        <w:t xml:space="preserve">, </w:t>
      </w:r>
      <w:proofErr w:type="spellStart"/>
      <w:r w:rsidRPr="00C56C00">
        <w:t>Lynn</w:t>
      </w:r>
      <w:proofErr w:type="spellEnd"/>
      <w:r w:rsidRPr="00C56C00">
        <w:t xml:space="preserve">: </w:t>
      </w:r>
      <w:proofErr w:type="spellStart"/>
      <w:r w:rsidRPr="00C56C00">
        <w:t>Zrození</w:t>
      </w:r>
      <w:proofErr w:type="spellEnd"/>
      <w:r w:rsidRPr="00C56C00">
        <w:t xml:space="preserve"> modernej ženy, </w:t>
      </w:r>
      <w:proofErr w:type="spellStart"/>
      <w:r w:rsidRPr="00C56C00">
        <w:t>Europe</w:t>
      </w:r>
      <w:proofErr w:type="spellEnd"/>
      <w:r w:rsidRPr="00C56C00">
        <w:t xml:space="preserve"> 1789-1918 ( </w:t>
      </w:r>
      <w:proofErr w:type="spellStart"/>
      <w:r w:rsidRPr="00C56C00">
        <w:t>Pearson</w:t>
      </w:r>
      <w:proofErr w:type="spellEnd"/>
      <w:r w:rsidRPr="00C56C00">
        <w:t xml:space="preserve"> </w:t>
      </w:r>
      <w:proofErr w:type="spellStart"/>
      <w:r w:rsidRPr="00C56C00">
        <w:t>Education</w:t>
      </w:r>
      <w:proofErr w:type="spellEnd"/>
      <w:r w:rsidRPr="00C56C00">
        <w:t xml:space="preserve"> 2002) preklad do češtiny Eva </w:t>
      </w:r>
      <w:proofErr w:type="spellStart"/>
      <w:r w:rsidRPr="00C56C00">
        <w:t>Lajkepová</w:t>
      </w:r>
      <w:proofErr w:type="spellEnd"/>
      <w:r w:rsidRPr="00C56C00">
        <w:t xml:space="preserve"> (vydalo Centrum </w:t>
      </w:r>
      <w:proofErr w:type="spellStart"/>
      <w:r w:rsidRPr="00C56C00">
        <w:t>pro</w:t>
      </w:r>
      <w:proofErr w:type="spellEnd"/>
      <w:r w:rsidRPr="00C56C00">
        <w:t xml:space="preserve"> </w:t>
      </w:r>
      <w:proofErr w:type="spellStart"/>
      <w:r w:rsidRPr="00C56C00">
        <w:t>studium</w:t>
      </w:r>
      <w:proofErr w:type="spellEnd"/>
      <w:r w:rsidRPr="00C56C00">
        <w:t xml:space="preserve"> demokracie a kultúry, 2005) </w:t>
      </w:r>
    </w:p>
  </w:endnote>
  <w:endnote w:id="3">
    <w:p w:rsidR="00D554C0" w:rsidRPr="00C56C00" w:rsidRDefault="00D554C0" w:rsidP="00DA23D9">
      <w:pPr>
        <w:pStyle w:val="Textvysvetlivky"/>
        <w:spacing w:before="120"/>
        <w:rPr>
          <w:rFonts w:cs="Courier New"/>
        </w:rPr>
      </w:pPr>
      <w:r w:rsidRPr="00C56C00">
        <w:rPr>
          <w:rStyle w:val="Odkaznavysvetlivku"/>
          <w:rFonts w:cs="Courier New"/>
        </w:rPr>
        <w:endnoteRef/>
      </w:r>
      <w:r w:rsidRPr="00C56C00">
        <w:rPr>
          <w:rFonts w:cs="Courier New"/>
        </w:rPr>
        <w:t xml:space="preserve"> </w:t>
      </w:r>
      <w:proofErr w:type="spellStart"/>
      <w:r w:rsidR="00EE0A94">
        <w:t>Tamtiež</w:t>
      </w:r>
      <w:proofErr w:type="spellEnd"/>
    </w:p>
  </w:endnote>
  <w:endnote w:id="4">
    <w:p w:rsidR="00D554C0" w:rsidRPr="00C56C00" w:rsidRDefault="00D554C0" w:rsidP="00DA23D9">
      <w:pPr>
        <w:pStyle w:val="Textvysvetlivky"/>
        <w:spacing w:before="120"/>
        <w:rPr>
          <w:rFonts w:cs="Courier New"/>
          <w:i/>
        </w:rPr>
      </w:pPr>
      <w:r w:rsidRPr="00C56C00">
        <w:rPr>
          <w:rStyle w:val="Odkaznavysvetlivku"/>
          <w:rFonts w:cs="Courier New"/>
        </w:rPr>
        <w:endnoteRef/>
      </w:r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K.Honeyman</w:t>
      </w:r>
      <w:proofErr w:type="spellEnd"/>
      <w:r w:rsidRPr="00C56C00">
        <w:rPr>
          <w:rFonts w:cs="Courier New"/>
        </w:rPr>
        <w:t xml:space="preserve"> and J. </w:t>
      </w:r>
      <w:proofErr w:type="spellStart"/>
      <w:r w:rsidRPr="00C56C00">
        <w:rPr>
          <w:rFonts w:cs="Courier New"/>
        </w:rPr>
        <w:t>Goodma</w:t>
      </w:r>
      <w:proofErr w:type="spellEnd"/>
      <w:r w:rsidRPr="00C56C00">
        <w:rPr>
          <w:rFonts w:cs="Courier New"/>
        </w:rPr>
        <w:t xml:space="preserve">: </w:t>
      </w:r>
      <w:proofErr w:type="spellStart"/>
      <w:r w:rsidRPr="00C56C00">
        <w:rPr>
          <w:rFonts w:cs="Courier New"/>
        </w:rPr>
        <w:t>Women´s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work</w:t>
      </w:r>
      <w:proofErr w:type="spellEnd"/>
      <w:r w:rsidRPr="00C56C00">
        <w:rPr>
          <w:rFonts w:cs="Courier New"/>
        </w:rPr>
        <w:t xml:space="preserve">, </w:t>
      </w:r>
      <w:proofErr w:type="spellStart"/>
      <w:r w:rsidRPr="00C56C00">
        <w:rPr>
          <w:rFonts w:cs="Courier New"/>
        </w:rPr>
        <w:t>gender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conflict</w:t>
      </w:r>
      <w:proofErr w:type="spellEnd"/>
      <w:r w:rsidRPr="00C56C00">
        <w:rPr>
          <w:rFonts w:cs="Courier New"/>
        </w:rPr>
        <w:t xml:space="preserve">, and </w:t>
      </w:r>
      <w:proofErr w:type="spellStart"/>
      <w:r w:rsidRPr="00C56C00">
        <w:rPr>
          <w:rFonts w:cs="Courier New"/>
        </w:rPr>
        <w:t>labour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markets</w:t>
      </w:r>
      <w:proofErr w:type="spellEnd"/>
      <w:r w:rsidRPr="00C56C00">
        <w:rPr>
          <w:rFonts w:cs="Courier New"/>
        </w:rPr>
        <w:t xml:space="preserve"> in </w:t>
      </w:r>
      <w:proofErr w:type="spellStart"/>
      <w:r w:rsidRPr="00C56C00">
        <w:rPr>
          <w:rFonts w:cs="Courier New"/>
        </w:rPr>
        <w:t>Europe</w:t>
      </w:r>
      <w:proofErr w:type="spellEnd"/>
      <w:r w:rsidRPr="00C56C00">
        <w:rPr>
          <w:rFonts w:cs="Courier New"/>
        </w:rPr>
        <w:t xml:space="preserve">, 1500-1900, </w:t>
      </w:r>
      <w:proofErr w:type="spellStart"/>
      <w:r w:rsidRPr="00C56C00">
        <w:rPr>
          <w:rFonts w:cs="Courier New"/>
          <w:i/>
        </w:rPr>
        <w:t>Economic</w:t>
      </w:r>
      <w:proofErr w:type="spellEnd"/>
      <w:r w:rsidRPr="00C56C00">
        <w:rPr>
          <w:rFonts w:cs="Courier New"/>
          <w:i/>
        </w:rPr>
        <w:t xml:space="preserve"> </w:t>
      </w:r>
      <w:proofErr w:type="spellStart"/>
      <w:r w:rsidRPr="00C56C00">
        <w:rPr>
          <w:rFonts w:cs="Courier New"/>
          <w:i/>
        </w:rPr>
        <w:t>History</w:t>
      </w:r>
      <w:proofErr w:type="spellEnd"/>
      <w:r w:rsidRPr="00C56C00">
        <w:rPr>
          <w:rFonts w:cs="Courier New"/>
          <w:i/>
        </w:rPr>
        <w:t xml:space="preserve"> </w:t>
      </w:r>
      <w:proofErr w:type="spellStart"/>
      <w:r w:rsidRPr="00C56C00">
        <w:rPr>
          <w:rFonts w:cs="Courier New"/>
          <w:i/>
        </w:rPr>
        <w:t>Review</w:t>
      </w:r>
      <w:proofErr w:type="spellEnd"/>
      <w:r w:rsidRPr="00C56C00">
        <w:rPr>
          <w:rFonts w:cs="Courier New"/>
          <w:i/>
        </w:rPr>
        <w:t xml:space="preserve"> </w:t>
      </w:r>
      <w:r w:rsidRPr="00C56C00">
        <w:rPr>
          <w:rFonts w:cs="Courier New"/>
        </w:rPr>
        <w:t>44 (1991)</w:t>
      </w:r>
      <w:r w:rsidR="00EE0A94">
        <w:rPr>
          <w:rFonts w:cs="Courier New"/>
          <w:i/>
        </w:rPr>
        <w:t xml:space="preserve"> </w:t>
      </w:r>
    </w:p>
  </w:endnote>
  <w:endnote w:id="5">
    <w:p w:rsidR="00D554C0" w:rsidRPr="00C56C00" w:rsidRDefault="00D554C0" w:rsidP="00DA23D9">
      <w:pPr>
        <w:pStyle w:val="Textpoznmkypodiarou"/>
        <w:spacing w:before="120"/>
        <w:rPr>
          <w:rFonts w:asciiTheme="majorHAnsi" w:hAnsiTheme="majorHAnsi" w:cs="Courier New"/>
        </w:rPr>
      </w:pPr>
      <w:r w:rsidRPr="00C56C00">
        <w:rPr>
          <w:rStyle w:val="Odkaznavysvetlivku"/>
          <w:rFonts w:asciiTheme="majorHAnsi" w:hAnsiTheme="majorHAnsi" w:cs="Courier New"/>
        </w:rPr>
        <w:endnoteRef/>
      </w:r>
      <w:r w:rsidRPr="00C56C00">
        <w:rPr>
          <w:rFonts w:asciiTheme="majorHAnsi" w:hAnsiTheme="majorHAnsi" w:cs="Courier New"/>
        </w:rPr>
        <w:t xml:space="preserve"> Glos, B. (1937): </w:t>
      </w:r>
      <w:r w:rsidRPr="00C56C00">
        <w:rPr>
          <w:rFonts w:asciiTheme="majorHAnsi" w:hAnsiTheme="majorHAnsi" w:cs="Courier New"/>
          <w:i/>
        </w:rPr>
        <w:t xml:space="preserve">Práce a mzdy </w:t>
      </w:r>
      <w:proofErr w:type="spellStart"/>
      <w:r w:rsidRPr="00C56C00">
        <w:rPr>
          <w:rFonts w:asciiTheme="majorHAnsi" w:hAnsiTheme="majorHAnsi" w:cs="Courier New"/>
          <w:i/>
        </w:rPr>
        <w:t>žen</w:t>
      </w:r>
      <w:proofErr w:type="spellEnd"/>
      <w:r w:rsidRPr="00C56C00">
        <w:rPr>
          <w:rFonts w:asciiTheme="majorHAnsi" w:hAnsiTheme="majorHAnsi" w:cs="Courier New"/>
        </w:rPr>
        <w:t xml:space="preserve">. </w:t>
      </w:r>
      <w:proofErr w:type="spellStart"/>
      <w:r w:rsidRPr="00C56C00">
        <w:rPr>
          <w:rFonts w:asciiTheme="majorHAnsi" w:hAnsiTheme="majorHAnsi" w:cs="Courier New"/>
        </w:rPr>
        <w:t>Sociální</w:t>
      </w:r>
      <w:proofErr w:type="spellEnd"/>
      <w:r w:rsidRPr="00C56C00">
        <w:rPr>
          <w:rFonts w:asciiTheme="majorHAnsi" w:hAnsiTheme="majorHAnsi" w:cs="Courier New"/>
        </w:rPr>
        <w:t xml:space="preserve"> ústav, Praha.</w:t>
      </w:r>
    </w:p>
  </w:endnote>
  <w:endnote w:id="6">
    <w:p w:rsidR="00D554C0" w:rsidRPr="00C56C00" w:rsidRDefault="00D554C0" w:rsidP="00DA23D9">
      <w:pPr>
        <w:pStyle w:val="Textvysvetlivky"/>
        <w:spacing w:before="120"/>
        <w:rPr>
          <w:rFonts w:cs="Courier New"/>
        </w:rPr>
      </w:pPr>
      <w:r w:rsidRPr="00C56C00">
        <w:rPr>
          <w:rStyle w:val="Odkaznavysvetlivku"/>
          <w:rFonts w:cs="Courier New"/>
        </w:rPr>
        <w:endnoteRef/>
      </w:r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Bonnie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Smith</w:t>
      </w:r>
      <w:proofErr w:type="spellEnd"/>
      <w:r w:rsidRPr="00C56C00">
        <w:rPr>
          <w:rFonts w:cs="Courier New"/>
        </w:rPr>
        <w:t xml:space="preserve">, </w:t>
      </w:r>
      <w:proofErr w:type="spellStart"/>
      <w:r w:rsidRPr="00C56C00">
        <w:rPr>
          <w:rFonts w:cs="Courier New"/>
          <w:i/>
          <w:iCs/>
        </w:rPr>
        <w:t>Changing</w:t>
      </w:r>
      <w:proofErr w:type="spellEnd"/>
      <w:r w:rsidRPr="00C56C00">
        <w:rPr>
          <w:rFonts w:cs="Courier New"/>
          <w:i/>
          <w:iCs/>
        </w:rPr>
        <w:t xml:space="preserve"> </w:t>
      </w:r>
      <w:proofErr w:type="spellStart"/>
      <w:r w:rsidRPr="00C56C00">
        <w:rPr>
          <w:rFonts w:cs="Courier New"/>
          <w:i/>
          <w:iCs/>
        </w:rPr>
        <w:t>Lives</w:t>
      </w:r>
      <w:proofErr w:type="spellEnd"/>
      <w:r w:rsidRPr="00C56C00">
        <w:rPr>
          <w:rFonts w:cs="Courier New"/>
          <w:i/>
          <w:iCs/>
        </w:rPr>
        <w:t xml:space="preserve">: </w:t>
      </w:r>
      <w:proofErr w:type="spellStart"/>
      <w:r w:rsidRPr="00C56C00">
        <w:rPr>
          <w:rFonts w:cs="Courier New"/>
          <w:i/>
          <w:iCs/>
        </w:rPr>
        <w:t>Women</w:t>
      </w:r>
      <w:proofErr w:type="spellEnd"/>
      <w:r w:rsidRPr="00C56C00">
        <w:rPr>
          <w:rFonts w:cs="Courier New"/>
          <w:i/>
          <w:iCs/>
        </w:rPr>
        <w:t xml:space="preserve"> in </w:t>
      </w:r>
      <w:proofErr w:type="spellStart"/>
      <w:r w:rsidRPr="00C56C00">
        <w:rPr>
          <w:rFonts w:cs="Courier New"/>
          <w:i/>
          <w:iCs/>
        </w:rPr>
        <w:t>European</w:t>
      </w:r>
      <w:proofErr w:type="spellEnd"/>
      <w:r w:rsidRPr="00C56C00">
        <w:rPr>
          <w:rFonts w:cs="Courier New"/>
          <w:i/>
          <w:iCs/>
        </w:rPr>
        <w:t xml:space="preserve"> </w:t>
      </w:r>
      <w:proofErr w:type="spellStart"/>
      <w:r w:rsidRPr="00C56C00">
        <w:rPr>
          <w:rFonts w:cs="Courier New"/>
          <w:i/>
          <w:iCs/>
        </w:rPr>
        <w:t>History</w:t>
      </w:r>
      <w:proofErr w:type="spellEnd"/>
      <w:r w:rsidRPr="00C56C00">
        <w:rPr>
          <w:rFonts w:cs="Courier New"/>
          <w:i/>
          <w:iCs/>
        </w:rPr>
        <w:t xml:space="preserve"> </w:t>
      </w:r>
      <w:proofErr w:type="spellStart"/>
      <w:r w:rsidRPr="00C56C00">
        <w:rPr>
          <w:rFonts w:cs="Courier New"/>
          <w:i/>
          <w:iCs/>
        </w:rPr>
        <w:t>Since</w:t>
      </w:r>
      <w:proofErr w:type="spellEnd"/>
      <w:r w:rsidRPr="00C56C00">
        <w:rPr>
          <w:rFonts w:cs="Courier New"/>
          <w:i/>
          <w:iCs/>
        </w:rPr>
        <w:t xml:space="preserve"> 1700</w:t>
      </w:r>
      <w:r w:rsidR="00EE0A94">
        <w:rPr>
          <w:rFonts w:cs="Courier New"/>
        </w:rPr>
        <w:t xml:space="preserve"> (D. C. </w:t>
      </w:r>
      <w:proofErr w:type="spellStart"/>
      <w:r w:rsidR="00EE0A94">
        <w:rPr>
          <w:rFonts w:cs="Courier New"/>
        </w:rPr>
        <w:t>Heath</w:t>
      </w:r>
      <w:proofErr w:type="spellEnd"/>
      <w:r w:rsidR="00EE0A94">
        <w:rPr>
          <w:rFonts w:cs="Courier New"/>
        </w:rPr>
        <w:t>, 1989)</w:t>
      </w:r>
    </w:p>
  </w:endnote>
  <w:endnote w:id="7">
    <w:p w:rsidR="00D554C0" w:rsidRPr="00C56C00" w:rsidRDefault="00D554C0" w:rsidP="00DA23D9">
      <w:pPr>
        <w:spacing w:before="120"/>
        <w:rPr>
          <w:rFonts w:asciiTheme="majorHAnsi" w:hAnsiTheme="majorHAnsi" w:cs="Courier New"/>
          <w:sz w:val="20"/>
          <w:szCs w:val="20"/>
        </w:rPr>
      </w:pPr>
      <w:r w:rsidRPr="00C56C00">
        <w:rPr>
          <w:rStyle w:val="Odkaznavysvetlivku"/>
          <w:rFonts w:asciiTheme="majorHAnsi" w:hAnsiTheme="majorHAnsi" w:cs="Courier New"/>
          <w:sz w:val="20"/>
          <w:szCs w:val="20"/>
        </w:rPr>
        <w:endnoteRef/>
      </w:r>
      <w:r w:rsidRPr="00C56C00">
        <w:rPr>
          <w:rFonts w:asciiTheme="majorHAnsi" w:hAnsiTheme="majorHAnsi" w:cs="Courier New"/>
          <w:sz w:val="20"/>
          <w:szCs w:val="20"/>
        </w:rPr>
        <w:t xml:space="preserve"> </w:t>
      </w:r>
      <w:bookmarkStart w:id="9" w:name="jump190"/>
      <w:bookmarkEnd w:id="9"/>
      <w:proofErr w:type="spellStart"/>
      <w:r w:rsidRPr="00C56C00">
        <w:rPr>
          <w:rFonts w:asciiTheme="majorHAnsi" w:hAnsiTheme="majorHAnsi" w:cs="Courier New"/>
          <w:sz w:val="20"/>
          <w:szCs w:val="20"/>
        </w:rPr>
        <w:t>Bauer</w:t>
      </w:r>
      <w:proofErr w:type="spellEnd"/>
      <w:r w:rsidRPr="00C56C00">
        <w:rPr>
          <w:rFonts w:asciiTheme="majorHAnsi" w:hAnsiTheme="majorHAnsi" w:cs="Courier New"/>
          <w:sz w:val="20"/>
          <w:szCs w:val="20"/>
        </w:rPr>
        <w:t xml:space="preserve">, </w:t>
      </w:r>
      <w:proofErr w:type="spellStart"/>
      <w:r w:rsidRPr="00C56C00">
        <w:rPr>
          <w:rFonts w:asciiTheme="majorHAnsi" w:hAnsiTheme="majorHAnsi" w:cs="Courier New"/>
          <w:sz w:val="20"/>
          <w:szCs w:val="20"/>
        </w:rPr>
        <w:t>Margit</w:t>
      </w:r>
      <w:proofErr w:type="spellEnd"/>
      <w:r w:rsidRPr="00C56C00">
        <w:rPr>
          <w:rFonts w:asciiTheme="majorHAnsi" w:hAnsiTheme="majorHAnsi" w:cs="Courier New"/>
          <w:sz w:val="20"/>
          <w:szCs w:val="20"/>
        </w:rPr>
        <w:t>: Ženy vo východnej Európe: z blata do kaluže</w:t>
      </w:r>
      <w:r w:rsidRPr="00C56C00">
        <w:rPr>
          <w:rFonts w:asciiTheme="majorHAnsi" w:hAnsiTheme="majorHAnsi" w:cs="Courier New"/>
          <w:sz w:val="20"/>
          <w:szCs w:val="20"/>
        </w:rPr>
        <w:fldChar w:fldCharType="begin"/>
      </w:r>
      <w:r w:rsidRPr="00C56C00">
        <w:rPr>
          <w:rFonts w:asciiTheme="majorHAnsi" w:hAnsiTheme="majorHAnsi" w:cs="Courier New"/>
          <w:sz w:val="20"/>
          <w:szCs w:val="20"/>
        </w:rPr>
        <w:instrText xml:space="preserve"> INCLUDEPICTURE "http://sop.revoluce.info/img/leer.gif" \* MERGEFORMATINET </w:instrText>
      </w:r>
      <w:r w:rsidRPr="00C56C00">
        <w:rPr>
          <w:rFonts w:asciiTheme="majorHAnsi" w:hAnsiTheme="majorHAnsi" w:cs="Courier New"/>
          <w:sz w:val="20"/>
          <w:szCs w:val="20"/>
        </w:rPr>
        <w:fldChar w:fldCharType="separate"/>
      </w:r>
      <w:r w:rsidRPr="00C56C00">
        <w:rPr>
          <w:rFonts w:asciiTheme="majorHAnsi" w:hAnsiTheme="majorHAnsi" w:cs="Courier New"/>
          <w:sz w:val="20"/>
          <w:szCs w:val="20"/>
        </w:rPr>
        <w:fldChar w:fldCharType="begin"/>
      </w:r>
      <w:r w:rsidRPr="00C56C00">
        <w:rPr>
          <w:rFonts w:asciiTheme="majorHAnsi" w:hAnsiTheme="majorHAnsi" w:cs="Courier New"/>
          <w:sz w:val="20"/>
          <w:szCs w:val="20"/>
        </w:rPr>
        <w:instrText xml:space="preserve"> INCLUDEPICTURE  "http://sop.revoluce.info/img/leer.gif" \* MERGEFORMATINET </w:instrText>
      </w:r>
      <w:r w:rsidRPr="00C56C00">
        <w:rPr>
          <w:rFonts w:asciiTheme="majorHAnsi" w:hAnsiTheme="majorHAnsi" w:cs="Courier New"/>
          <w:sz w:val="20"/>
          <w:szCs w:val="20"/>
        </w:rPr>
        <w:fldChar w:fldCharType="separate"/>
      </w:r>
      <w:r w:rsidRPr="00C56C00">
        <w:rPr>
          <w:rFonts w:asciiTheme="majorHAnsi" w:hAnsiTheme="majorHAnsi" w:cs="Courier New"/>
          <w:sz w:val="20"/>
          <w:szCs w:val="20"/>
        </w:rPr>
        <w:fldChar w:fldCharType="begin"/>
      </w:r>
      <w:r w:rsidRPr="00C56C00">
        <w:rPr>
          <w:rFonts w:asciiTheme="majorHAnsi" w:hAnsiTheme="majorHAnsi" w:cs="Courier New"/>
          <w:sz w:val="20"/>
          <w:szCs w:val="20"/>
        </w:rPr>
        <w:instrText xml:space="preserve"> INCLUDEPICTURE  "http://sop.revoluce.info/img/leer.gif" \* MERGEFORMATINET </w:instrText>
      </w:r>
      <w:r w:rsidRPr="00C56C00">
        <w:rPr>
          <w:rFonts w:asciiTheme="majorHAnsi" w:hAnsiTheme="majorHAnsi" w:cs="Courier New"/>
          <w:sz w:val="20"/>
          <w:szCs w:val="20"/>
        </w:rPr>
        <w:fldChar w:fldCharType="separate"/>
      </w:r>
      <w:r>
        <w:rPr>
          <w:rFonts w:asciiTheme="majorHAnsi" w:hAnsiTheme="majorHAnsi" w:cs="Courier New"/>
          <w:sz w:val="20"/>
          <w:szCs w:val="20"/>
        </w:rPr>
        <w:fldChar w:fldCharType="begin"/>
      </w:r>
      <w:r>
        <w:rPr>
          <w:rFonts w:asciiTheme="majorHAnsi" w:hAnsiTheme="majorHAnsi" w:cs="Courier New"/>
          <w:sz w:val="20"/>
          <w:szCs w:val="20"/>
        </w:rPr>
        <w:instrText xml:space="preserve"> INCLUDEPICTURE  "http://sop.revoluce.info/img/leer.gif" \* MERGEFORMATINET </w:instrText>
      </w:r>
      <w:r>
        <w:rPr>
          <w:rFonts w:asciiTheme="majorHAnsi" w:hAnsiTheme="majorHAnsi" w:cs="Courier New"/>
          <w:sz w:val="20"/>
          <w:szCs w:val="20"/>
        </w:rPr>
        <w:fldChar w:fldCharType="separate"/>
      </w:r>
      <w:r>
        <w:rPr>
          <w:rFonts w:asciiTheme="majorHAnsi" w:hAnsiTheme="majorHAnsi" w:cs="Courier New"/>
          <w:sz w:val="20"/>
          <w:szCs w:val="20"/>
        </w:rPr>
        <w:fldChar w:fldCharType="begin"/>
      </w:r>
      <w:r>
        <w:rPr>
          <w:rFonts w:asciiTheme="majorHAnsi" w:hAnsiTheme="majorHAnsi" w:cs="Courier New"/>
          <w:sz w:val="20"/>
          <w:szCs w:val="20"/>
        </w:rPr>
        <w:instrText xml:space="preserve"> INCLUDEPICTURE  "http://sop.revoluce.info/img/leer.gif" \* MERGEFORMATINET </w:instrText>
      </w:r>
      <w:r>
        <w:rPr>
          <w:rFonts w:asciiTheme="majorHAnsi" w:hAnsiTheme="majorHAnsi" w:cs="Courier New"/>
          <w:sz w:val="20"/>
          <w:szCs w:val="20"/>
        </w:rPr>
        <w:fldChar w:fldCharType="separate"/>
      </w:r>
      <w:r>
        <w:rPr>
          <w:rFonts w:asciiTheme="majorHAnsi" w:hAnsiTheme="majorHAnsi" w:cs="Courier New"/>
          <w:sz w:val="20"/>
          <w:szCs w:val="20"/>
        </w:rPr>
        <w:fldChar w:fldCharType="begin"/>
      </w:r>
      <w:r>
        <w:rPr>
          <w:rFonts w:asciiTheme="majorHAnsi" w:hAnsiTheme="majorHAnsi" w:cs="Courier New"/>
          <w:sz w:val="20"/>
          <w:szCs w:val="20"/>
        </w:rPr>
        <w:instrText xml:space="preserve"> INCLUDEPICTURE  "http://sop.revoluce.info/img/leer.gif" \* MERGEFORMATINET </w:instrText>
      </w:r>
      <w:r>
        <w:rPr>
          <w:rFonts w:asciiTheme="majorHAnsi" w:hAnsiTheme="majorHAnsi" w:cs="Courier New"/>
          <w:sz w:val="20"/>
          <w:szCs w:val="20"/>
        </w:rPr>
        <w:fldChar w:fldCharType="separate"/>
      </w:r>
      <w:r>
        <w:rPr>
          <w:rFonts w:asciiTheme="majorHAnsi" w:hAnsiTheme="majorHAnsi" w:cs="Courier New"/>
          <w:sz w:val="20"/>
          <w:szCs w:val="20"/>
        </w:rPr>
        <w:fldChar w:fldCharType="begin"/>
      </w:r>
      <w:r>
        <w:rPr>
          <w:rFonts w:asciiTheme="majorHAnsi" w:hAnsiTheme="majorHAnsi" w:cs="Courier New"/>
          <w:sz w:val="20"/>
          <w:szCs w:val="20"/>
        </w:rPr>
        <w:instrText xml:space="preserve"> INCLUDEPICTURE  "http://sop.revoluce.info/img/leer.gif" \* MERGEFORMATINET </w:instrText>
      </w:r>
      <w:r>
        <w:rPr>
          <w:rFonts w:asciiTheme="majorHAnsi" w:hAnsiTheme="majorHAnsi" w:cs="Courier New"/>
          <w:sz w:val="20"/>
          <w:szCs w:val="20"/>
        </w:rPr>
        <w:fldChar w:fldCharType="separate"/>
      </w:r>
      <w:r>
        <w:rPr>
          <w:rFonts w:asciiTheme="majorHAnsi" w:hAnsiTheme="majorHAnsi" w:cs="Courier New"/>
          <w:sz w:val="20"/>
          <w:szCs w:val="20"/>
        </w:rPr>
        <w:fldChar w:fldCharType="begin"/>
      </w:r>
      <w:r>
        <w:rPr>
          <w:rFonts w:asciiTheme="majorHAnsi" w:hAnsiTheme="majorHAnsi" w:cs="Courier New"/>
          <w:sz w:val="20"/>
          <w:szCs w:val="20"/>
        </w:rPr>
        <w:instrText xml:space="preserve"> INCLUDEPICTURE  "http://sop.revoluce.info/img/leer.gif" \* MERGEFORMATINET </w:instrText>
      </w:r>
      <w:r>
        <w:rPr>
          <w:rFonts w:asciiTheme="majorHAnsi" w:hAnsiTheme="majorHAnsi" w:cs="Courier New"/>
          <w:sz w:val="20"/>
          <w:szCs w:val="20"/>
        </w:rPr>
        <w:fldChar w:fldCharType="separate"/>
      </w:r>
      <w:r>
        <w:rPr>
          <w:rFonts w:asciiTheme="majorHAnsi" w:hAnsiTheme="majorHAnsi" w:cs="Courier New"/>
          <w:sz w:val="20"/>
          <w:szCs w:val="20"/>
        </w:rPr>
        <w:fldChar w:fldCharType="begin"/>
      </w:r>
      <w:r>
        <w:rPr>
          <w:rFonts w:asciiTheme="majorHAnsi" w:hAnsiTheme="majorHAnsi" w:cs="Courier New"/>
          <w:sz w:val="20"/>
          <w:szCs w:val="20"/>
        </w:rPr>
        <w:instrText xml:space="preserve"> INCLUDEPICTURE  "http://sop.revoluce.info/img/leer.gif" \* MERGEFORMATINET </w:instrText>
      </w:r>
      <w:r>
        <w:rPr>
          <w:rFonts w:asciiTheme="majorHAnsi" w:hAnsiTheme="majorHAnsi" w:cs="Courier New"/>
          <w:sz w:val="20"/>
          <w:szCs w:val="20"/>
        </w:rPr>
        <w:fldChar w:fldCharType="separate"/>
      </w:r>
      <w:r>
        <w:rPr>
          <w:rFonts w:asciiTheme="majorHAnsi" w:hAnsiTheme="majorHAnsi" w:cs="Courier New"/>
          <w:sz w:val="20"/>
          <w:szCs w:val="20"/>
        </w:rPr>
        <w:fldChar w:fldCharType="begin"/>
      </w:r>
      <w:r>
        <w:rPr>
          <w:rFonts w:asciiTheme="majorHAnsi" w:hAnsiTheme="majorHAnsi" w:cs="Courier New"/>
          <w:sz w:val="20"/>
          <w:szCs w:val="20"/>
        </w:rPr>
        <w:instrText xml:space="preserve"> INCLUDEPICTURE  "http://sop.revoluce.info/img/leer.gif" \* MERGEFORMATINET </w:instrText>
      </w:r>
      <w:r>
        <w:rPr>
          <w:rFonts w:asciiTheme="majorHAnsi" w:hAnsiTheme="majorHAnsi" w:cs="Courier New"/>
          <w:sz w:val="20"/>
          <w:szCs w:val="20"/>
        </w:rPr>
        <w:fldChar w:fldCharType="separate"/>
      </w:r>
      <w:r>
        <w:rPr>
          <w:rFonts w:asciiTheme="majorHAnsi" w:hAnsiTheme="majorHAnsi" w:cs="Courier New"/>
          <w:sz w:val="20"/>
          <w:szCs w:val="20"/>
        </w:rPr>
        <w:fldChar w:fldCharType="begin"/>
      </w:r>
      <w:r>
        <w:rPr>
          <w:rFonts w:asciiTheme="majorHAnsi" w:hAnsiTheme="majorHAnsi" w:cs="Courier New"/>
          <w:sz w:val="20"/>
          <w:szCs w:val="20"/>
        </w:rPr>
        <w:instrText xml:space="preserve"> INCLUDEPICTURE  "http://sop.revoluce.info/img/leer.gif" \* MERGEFORMATINET </w:instrText>
      </w:r>
      <w:r>
        <w:rPr>
          <w:rFonts w:asciiTheme="majorHAnsi" w:hAnsiTheme="majorHAnsi" w:cs="Courier New"/>
          <w:sz w:val="20"/>
          <w:szCs w:val="20"/>
        </w:rPr>
        <w:fldChar w:fldCharType="separate"/>
      </w:r>
      <w:r>
        <w:rPr>
          <w:rFonts w:asciiTheme="majorHAnsi" w:hAnsiTheme="majorHAnsi" w:cs="Courier New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.6pt;height:6pt">
            <v:imagedata r:id="rId1" r:href="rId2"/>
          </v:shape>
        </w:pict>
      </w:r>
      <w:r>
        <w:rPr>
          <w:rFonts w:asciiTheme="majorHAnsi" w:hAnsiTheme="majorHAnsi" w:cs="Courier New"/>
          <w:sz w:val="20"/>
          <w:szCs w:val="20"/>
        </w:rPr>
        <w:fldChar w:fldCharType="end"/>
      </w:r>
      <w:r>
        <w:rPr>
          <w:rFonts w:asciiTheme="majorHAnsi" w:hAnsiTheme="majorHAnsi" w:cs="Courier New"/>
          <w:sz w:val="20"/>
          <w:szCs w:val="20"/>
        </w:rPr>
        <w:fldChar w:fldCharType="end"/>
      </w:r>
      <w:r>
        <w:rPr>
          <w:rFonts w:asciiTheme="majorHAnsi" w:hAnsiTheme="majorHAnsi" w:cs="Courier New"/>
          <w:sz w:val="20"/>
          <w:szCs w:val="20"/>
        </w:rPr>
        <w:fldChar w:fldCharType="end"/>
      </w:r>
      <w:r>
        <w:rPr>
          <w:rFonts w:asciiTheme="majorHAnsi" w:hAnsiTheme="majorHAnsi" w:cs="Courier New"/>
          <w:sz w:val="20"/>
          <w:szCs w:val="20"/>
        </w:rPr>
        <w:fldChar w:fldCharType="end"/>
      </w:r>
      <w:r>
        <w:rPr>
          <w:rFonts w:asciiTheme="majorHAnsi" w:hAnsiTheme="majorHAnsi" w:cs="Courier New"/>
          <w:sz w:val="20"/>
          <w:szCs w:val="20"/>
        </w:rPr>
        <w:fldChar w:fldCharType="end"/>
      </w:r>
      <w:r>
        <w:rPr>
          <w:rFonts w:asciiTheme="majorHAnsi" w:hAnsiTheme="majorHAnsi" w:cs="Courier New"/>
          <w:sz w:val="20"/>
          <w:szCs w:val="20"/>
        </w:rPr>
        <w:fldChar w:fldCharType="end"/>
      </w:r>
      <w:r>
        <w:rPr>
          <w:rFonts w:asciiTheme="majorHAnsi" w:hAnsiTheme="majorHAnsi" w:cs="Courier New"/>
          <w:sz w:val="20"/>
          <w:szCs w:val="20"/>
        </w:rPr>
        <w:fldChar w:fldCharType="end"/>
      </w:r>
      <w:r>
        <w:rPr>
          <w:rFonts w:asciiTheme="majorHAnsi" w:hAnsiTheme="majorHAnsi" w:cs="Courier New"/>
          <w:sz w:val="20"/>
          <w:szCs w:val="20"/>
        </w:rPr>
        <w:fldChar w:fldCharType="end"/>
      </w:r>
      <w:r w:rsidRPr="00C56C00">
        <w:rPr>
          <w:rFonts w:asciiTheme="majorHAnsi" w:hAnsiTheme="majorHAnsi" w:cs="Courier New"/>
          <w:sz w:val="20"/>
          <w:szCs w:val="20"/>
        </w:rPr>
        <w:fldChar w:fldCharType="end"/>
      </w:r>
      <w:r w:rsidRPr="00C56C00">
        <w:rPr>
          <w:rFonts w:asciiTheme="majorHAnsi" w:hAnsiTheme="majorHAnsi" w:cs="Courier New"/>
          <w:sz w:val="20"/>
          <w:szCs w:val="20"/>
        </w:rPr>
        <w:fldChar w:fldCharType="end"/>
      </w:r>
      <w:r w:rsidRPr="00C56C00">
        <w:rPr>
          <w:rFonts w:asciiTheme="majorHAnsi" w:hAnsiTheme="majorHAnsi" w:cs="Courier New"/>
          <w:sz w:val="20"/>
          <w:szCs w:val="20"/>
        </w:rPr>
        <w:fldChar w:fldCharType="end"/>
      </w:r>
      <w:r w:rsidRPr="00C56C00">
        <w:rPr>
          <w:rFonts w:asciiTheme="majorHAnsi" w:hAnsiTheme="majorHAnsi" w:cs="Courier New"/>
          <w:sz w:val="20"/>
          <w:szCs w:val="20"/>
        </w:rPr>
        <w:t xml:space="preserve">, in: </w:t>
      </w:r>
      <w:proofErr w:type="spellStart"/>
      <w:r w:rsidRPr="00C56C00">
        <w:rPr>
          <w:rFonts w:asciiTheme="majorHAnsi" w:hAnsiTheme="majorHAnsi" w:cs="Courier New"/>
          <w:i/>
          <w:sz w:val="20"/>
          <w:szCs w:val="20"/>
        </w:rPr>
        <w:t>Revolutionärer</w:t>
      </w:r>
      <w:proofErr w:type="spellEnd"/>
      <w:r w:rsidRPr="00C56C00">
        <w:rPr>
          <w:rFonts w:asciiTheme="majorHAnsi" w:hAnsiTheme="majorHAnsi" w:cs="Courier New"/>
          <w:i/>
          <w:sz w:val="20"/>
          <w:szCs w:val="20"/>
        </w:rPr>
        <w:t xml:space="preserve"> </w:t>
      </w:r>
      <w:proofErr w:type="spellStart"/>
      <w:r w:rsidRPr="00C56C00">
        <w:rPr>
          <w:rFonts w:asciiTheme="majorHAnsi" w:hAnsiTheme="majorHAnsi" w:cs="Courier New"/>
          <w:i/>
          <w:sz w:val="20"/>
          <w:szCs w:val="20"/>
        </w:rPr>
        <w:t>Marxismus</w:t>
      </w:r>
      <w:proofErr w:type="spellEnd"/>
      <w:r w:rsidRPr="00C56C00">
        <w:rPr>
          <w:rFonts w:asciiTheme="majorHAnsi" w:hAnsiTheme="majorHAnsi" w:cs="Courier New"/>
          <w:sz w:val="20"/>
          <w:szCs w:val="20"/>
        </w:rPr>
        <w:t xml:space="preserve"> č.28, 1999, český preklad </w:t>
      </w:r>
      <w:proofErr w:type="spellStart"/>
      <w:r w:rsidRPr="00C56C00">
        <w:rPr>
          <w:rFonts w:asciiTheme="majorHAnsi" w:hAnsiTheme="majorHAnsi" w:cs="Courier New"/>
          <w:sz w:val="20"/>
          <w:szCs w:val="20"/>
        </w:rPr>
        <w:t>Kajo</w:t>
      </w:r>
      <w:proofErr w:type="spellEnd"/>
      <w:r w:rsidRPr="00C56C00">
        <w:rPr>
          <w:rFonts w:asciiTheme="majorHAnsi" w:hAnsiTheme="majorHAnsi" w:cs="Courier New"/>
          <w:sz w:val="20"/>
          <w:szCs w:val="20"/>
        </w:rPr>
        <w:t xml:space="preserve"> Spurný</w:t>
      </w:r>
    </w:p>
  </w:endnote>
  <w:endnote w:id="8">
    <w:p w:rsidR="00D554C0" w:rsidRPr="00C56C00" w:rsidRDefault="00D554C0" w:rsidP="00DA23D9">
      <w:pPr>
        <w:pStyle w:val="Textvysvetlivky"/>
        <w:spacing w:before="120"/>
        <w:rPr>
          <w:rFonts w:cs="Courier New"/>
        </w:rPr>
      </w:pPr>
      <w:r w:rsidRPr="00C56C00">
        <w:rPr>
          <w:rStyle w:val="Odkaznavysvetlivku"/>
          <w:rFonts w:cs="Courier New"/>
        </w:rPr>
        <w:endnoteRef/>
      </w:r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Eberhardt</w:t>
      </w:r>
      <w:proofErr w:type="spellEnd"/>
      <w:r w:rsidRPr="00C56C00">
        <w:rPr>
          <w:rFonts w:cs="Courier New"/>
        </w:rPr>
        <w:t xml:space="preserve">, Eva ; </w:t>
      </w:r>
      <w:proofErr w:type="spellStart"/>
      <w:r w:rsidRPr="00C56C00">
        <w:rPr>
          <w:rFonts w:cs="Courier New"/>
        </w:rPr>
        <w:t>Jacqueline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Heinen</w:t>
      </w:r>
      <w:proofErr w:type="spellEnd"/>
      <w:r w:rsidRPr="00C56C00">
        <w:rPr>
          <w:rFonts w:cs="Courier New"/>
        </w:rPr>
        <w:t xml:space="preserve">. - </w:t>
      </w:r>
      <w:proofErr w:type="spellStart"/>
      <w:r w:rsidRPr="00C56C00">
        <w:rPr>
          <w:rFonts w:cs="Courier New"/>
        </w:rPr>
        <w:t>Genf</w:t>
      </w:r>
      <w:proofErr w:type="spellEnd"/>
      <w:r w:rsidRPr="00C56C00">
        <w:rPr>
          <w:rFonts w:cs="Courier New"/>
        </w:rPr>
        <w:t xml:space="preserve"> : </w:t>
      </w:r>
      <w:proofErr w:type="spellStart"/>
      <w:r w:rsidRPr="00C56C00">
        <w:rPr>
          <w:rFonts w:cs="Courier New"/>
        </w:rPr>
        <w:t>Internat</w:t>
      </w:r>
      <w:proofErr w:type="spellEnd"/>
      <w:r w:rsidRPr="00C56C00">
        <w:rPr>
          <w:rFonts w:cs="Courier New"/>
        </w:rPr>
        <w:t xml:space="preserve">. </w:t>
      </w:r>
      <w:proofErr w:type="spellStart"/>
      <w:r w:rsidRPr="00C56C00">
        <w:rPr>
          <w:rFonts w:cs="Courier New"/>
        </w:rPr>
        <w:t>Union</w:t>
      </w:r>
      <w:proofErr w:type="spellEnd"/>
      <w:r w:rsidRPr="00C56C00">
        <w:rPr>
          <w:rFonts w:cs="Courier New"/>
        </w:rPr>
        <w:t xml:space="preserve"> der </w:t>
      </w:r>
      <w:proofErr w:type="spellStart"/>
      <w:r w:rsidRPr="00C56C00">
        <w:rPr>
          <w:rFonts w:cs="Courier New"/>
        </w:rPr>
        <w:t>Lebens</w:t>
      </w:r>
      <w:proofErr w:type="spellEnd"/>
      <w:r w:rsidRPr="00C56C00">
        <w:rPr>
          <w:rFonts w:cs="Courier New"/>
        </w:rPr>
        <w:t xml:space="preserve">- </w:t>
      </w:r>
      <w:proofErr w:type="spellStart"/>
      <w:r w:rsidRPr="00C56C00">
        <w:rPr>
          <w:rFonts w:cs="Courier New"/>
        </w:rPr>
        <w:t>und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Genussmitelarbeiter-Gewerkschaften</w:t>
      </w:r>
      <w:proofErr w:type="spellEnd"/>
      <w:r w:rsidRPr="00C56C00">
        <w:rPr>
          <w:rFonts w:cs="Courier New"/>
        </w:rPr>
        <w:t xml:space="preserve">, 1993. - 47 S. : </w:t>
      </w:r>
      <w:proofErr w:type="spellStart"/>
      <w:r w:rsidRPr="00C56C00">
        <w:rPr>
          <w:rFonts w:cs="Courier New"/>
        </w:rPr>
        <w:t>Ill</w:t>
      </w:r>
      <w:proofErr w:type="spellEnd"/>
      <w:r w:rsidRPr="00C56C00">
        <w:rPr>
          <w:rFonts w:cs="Courier New"/>
        </w:rPr>
        <w:t>.. - (</w:t>
      </w:r>
      <w:proofErr w:type="spellStart"/>
      <w:r w:rsidRPr="00C56C00">
        <w:rPr>
          <w:rFonts w:cs="Courier New"/>
        </w:rPr>
        <w:t>Fragen</w:t>
      </w:r>
      <w:proofErr w:type="spellEnd"/>
      <w:r w:rsidRPr="00C56C00">
        <w:rPr>
          <w:rFonts w:cs="Courier New"/>
        </w:rPr>
        <w:t xml:space="preserve"> der </w:t>
      </w:r>
      <w:proofErr w:type="spellStart"/>
      <w:r w:rsidRPr="00C56C00">
        <w:rPr>
          <w:rFonts w:cs="Courier New"/>
        </w:rPr>
        <w:t>Arbeit</w:t>
      </w:r>
      <w:proofErr w:type="spellEnd"/>
      <w:r w:rsidRPr="00C56C00">
        <w:rPr>
          <w:rFonts w:cs="Courier New"/>
        </w:rPr>
        <w:t xml:space="preserve"> ; 8)</w:t>
      </w:r>
      <w:r w:rsidRPr="00C56C00">
        <w:rPr>
          <w:rFonts w:cs="Courier New"/>
          <w:color w:val="000000"/>
        </w:rPr>
        <w:t xml:space="preserve"> </w:t>
      </w:r>
    </w:p>
  </w:endnote>
  <w:endnote w:id="9">
    <w:p w:rsidR="00D554C0" w:rsidRPr="00C56C00" w:rsidRDefault="00D554C0" w:rsidP="00DA23D9">
      <w:pPr>
        <w:pStyle w:val="Textvysvetlivky"/>
        <w:spacing w:before="120"/>
        <w:rPr>
          <w:rFonts w:cs="Courier New"/>
        </w:rPr>
      </w:pPr>
      <w:r w:rsidRPr="00C56C00">
        <w:rPr>
          <w:rStyle w:val="Odkaznavysvetlivku"/>
          <w:rFonts w:cs="Courier New"/>
        </w:rPr>
        <w:endnoteRef/>
      </w:r>
      <w:r w:rsidR="00EE0A94">
        <w:rPr>
          <w:rFonts w:cs="Courier New"/>
        </w:rPr>
        <w:t xml:space="preserve"> </w:t>
      </w:r>
      <w:proofErr w:type="spellStart"/>
      <w:r w:rsidR="00EE0A94">
        <w:rPr>
          <w:rFonts w:cs="Courier New"/>
        </w:rPr>
        <w:t>Tamtiež</w:t>
      </w:r>
      <w:proofErr w:type="spellEnd"/>
    </w:p>
  </w:endnote>
  <w:endnote w:id="10">
    <w:p w:rsidR="00D554C0" w:rsidRPr="00C56C00" w:rsidRDefault="00D554C0" w:rsidP="00DA23D9">
      <w:pPr>
        <w:pStyle w:val="Textvysvetlivky"/>
        <w:spacing w:before="120"/>
        <w:rPr>
          <w:rFonts w:cs="Courier New"/>
        </w:rPr>
      </w:pPr>
      <w:r w:rsidRPr="00C56C00">
        <w:rPr>
          <w:rStyle w:val="Odkaznavysvetlivku"/>
          <w:rFonts w:cs="Courier New"/>
        </w:rPr>
        <w:endnoteRef/>
      </w:r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Bauer</w:t>
      </w:r>
      <w:proofErr w:type="spellEnd"/>
      <w:r>
        <w:rPr>
          <w:rFonts w:cs="Courier New"/>
        </w:rPr>
        <w:t>, viď para 7</w:t>
      </w:r>
    </w:p>
  </w:endnote>
  <w:endnote w:id="11">
    <w:p w:rsidR="00D554C0" w:rsidRPr="00C56C00" w:rsidRDefault="00D554C0" w:rsidP="00DA23D9">
      <w:pPr>
        <w:pStyle w:val="Textvysvetlivky"/>
        <w:spacing w:before="120"/>
        <w:rPr>
          <w:rFonts w:cs="Courier New"/>
        </w:rPr>
      </w:pPr>
      <w:r w:rsidRPr="00C56C00">
        <w:rPr>
          <w:rStyle w:val="Odkaznavysvetlivku"/>
          <w:rFonts w:cs="Courier New"/>
        </w:rPr>
        <w:endnoteRef/>
      </w:r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Barošová</w:t>
      </w:r>
      <w:proofErr w:type="spellEnd"/>
      <w:r w:rsidRPr="00C56C00">
        <w:rPr>
          <w:rFonts w:cs="Courier New"/>
        </w:rPr>
        <w:t>, Margita: Postavenie slovenských žien na trhu práce, Stredisko pre štúdium práce a rodiny, Bratislava, Prednáška na konferencii (sympóziu) „Rodové perspektívy v rozšírenej Európskej únii. Situácia žien v </w:t>
      </w:r>
      <w:proofErr w:type="spellStart"/>
      <w:r w:rsidRPr="00C56C00">
        <w:rPr>
          <w:rFonts w:cs="Courier New"/>
        </w:rPr>
        <w:t>rakúsko</w:t>
      </w:r>
      <w:proofErr w:type="spellEnd"/>
      <w:r w:rsidRPr="00C56C00">
        <w:rPr>
          <w:rFonts w:cs="Courier New"/>
        </w:rPr>
        <w:t xml:space="preserve"> – </w:t>
      </w:r>
      <w:proofErr w:type="spellStart"/>
      <w:r w:rsidRPr="00C56C00">
        <w:rPr>
          <w:rFonts w:cs="Courier New"/>
        </w:rPr>
        <w:t>maďarsko</w:t>
      </w:r>
      <w:proofErr w:type="spellEnd"/>
      <w:r w:rsidRPr="00C56C00">
        <w:rPr>
          <w:rFonts w:cs="Courier New"/>
        </w:rPr>
        <w:t xml:space="preserve"> - slovenskej pohraničnej oblasti“. 10.5.2004, Konferenčné centrum </w:t>
      </w:r>
      <w:r w:rsidRPr="00C56C00">
        <w:rPr>
          <w:rFonts w:cs="Courier New"/>
          <w:lang w:val="de-AT"/>
        </w:rPr>
        <w:t xml:space="preserve">Burg </w:t>
      </w:r>
      <w:proofErr w:type="spellStart"/>
      <w:r w:rsidRPr="00C56C00">
        <w:rPr>
          <w:rFonts w:cs="Courier New"/>
          <w:lang w:val="de-AT"/>
        </w:rPr>
        <w:t>Schlaining</w:t>
      </w:r>
      <w:proofErr w:type="spellEnd"/>
      <w:r w:rsidRPr="00C56C00">
        <w:rPr>
          <w:rFonts w:cs="Courier New"/>
          <w:lang w:val="de-AT"/>
        </w:rPr>
        <w:t xml:space="preserve"> (</w:t>
      </w:r>
      <w:proofErr w:type="spellStart"/>
      <w:r w:rsidRPr="00C56C00">
        <w:rPr>
          <w:rFonts w:cs="Courier New"/>
          <w:lang w:val="de-AT"/>
        </w:rPr>
        <w:t>Stadtschlaining</w:t>
      </w:r>
      <w:proofErr w:type="spellEnd"/>
      <w:r w:rsidRPr="00C56C00">
        <w:rPr>
          <w:rFonts w:cs="Courier New"/>
          <w:lang w:val="de-AT"/>
        </w:rPr>
        <w:t xml:space="preserve">, </w:t>
      </w:r>
      <w:proofErr w:type="spellStart"/>
      <w:r w:rsidRPr="00C56C00">
        <w:rPr>
          <w:rFonts w:cs="Courier New"/>
          <w:lang w:val="de-AT"/>
        </w:rPr>
        <w:t>Burgenlandsko</w:t>
      </w:r>
      <w:proofErr w:type="spellEnd"/>
      <w:r w:rsidRPr="00C56C00">
        <w:rPr>
          <w:rFonts w:cs="Courier New"/>
        </w:rPr>
        <w:t xml:space="preserve"> -  Rakúsko)</w:t>
      </w:r>
    </w:p>
  </w:endnote>
  <w:endnote w:id="12">
    <w:p w:rsidR="00D554C0" w:rsidRPr="00C56C00" w:rsidRDefault="00D554C0" w:rsidP="00DA23D9">
      <w:pPr>
        <w:pStyle w:val="Textvysvetlivky"/>
        <w:spacing w:before="120"/>
        <w:rPr>
          <w:rFonts w:cs="Courier New"/>
        </w:rPr>
      </w:pPr>
      <w:r w:rsidRPr="00C56C00">
        <w:rPr>
          <w:rFonts w:cs="Courier New"/>
          <w:vertAlign w:val="superscript"/>
        </w:rPr>
        <w:endnoteRef/>
      </w:r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Tamtiež</w:t>
      </w:r>
      <w:proofErr w:type="spellEnd"/>
    </w:p>
  </w:endnote>
  <w:endnote w:id="13">
    <w:p w:rsidR="00D554C0" w:rsidRPr="00C56C00" w:rsidRDefault="00D554C0" w:rsidP="00DA23D9">
      <w:pPr>
        <w:pStyle w:val="Textvysvetlivky"/>
        <w:spacing w:before="120"/>
        <w:rPr>
          <w:rFonts w:cs="Courier New"/>
        </w:rPr>
      </w:pPr>
      <w:r w:rsidRPr="00C56C00">
        <w:rPr>
          <w:rStyle w:val="Odkaznavysvetlivku"/>
          <w:rFonts w:cs="Courier New"/>
        </w:rPr>
        <w:endnoteRef/>
      </w:r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European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Commission</w:t>
      </w:r>
      <w:proofErr w:type="spellEnd"/>
      <w:r w:rsidRPr="00C56C00">
        <w:rPr>
          <w:rFonts w:cs="Courier New"/>
        </w:rPr>
        <w:t xml:space="preserve">: </w:t>
      </w:r>
      <w:proofErr w:type="spellStart"/>
      <w:r w:rsidRPr="00C56C00">
        <w:rPr>
          <w:rFonts w:cs="Courier New"/>
          <w:i/>
        </w:rPr>
        <w:t>Gender</w:t>
      </w:r>
      <w:proofErr w:type="spellEnd"/>
      <w:r w:rsidRPr="00C56C00">
        <w:rPr>
          <w:rFonts w:cs="Courier New"/>
          <w:i/>
        </w:rPr>
        <w:t xml:space="preserve"> </w:t>
      </w:r>
      <w:proofErr w:type="spellStart"/>
      <w:r w:rsidRPr="00C56C00">
        <w:rPr>
          <w:rFonts w:cs="Courier New"/>
          <w:i/>
        </w:rPr>
        <w:t>Equality</w:t>
      </w:r>
      <w:proofErr w:type="spellEnd"/>
      <w:r w:rsidRPr="00C56C00">
        <w:rPr>
          <w:rFonts w:cs="Courier New"/>
          <w:i/>
        </w:rPr>
        <w:t xml:space="preserve">: a step </w:t>
      </w:r>
      <w:proofErr w:type="spellStart"/>
      <w:r w:rsidRPr="00C56C00">
        <w:rPr>
          <w:rFonts w:cs="Courier New"/>
          <w:i/>
        </w:rPr>
        <w:t>ahead</w:t>
      </w:r>
      <w:proofErr w:type="spellEnd"/>
      <w:r w:rsidRPr="00C56C00">
        <w:rPr>
          <w:rFonts w:cs="Courier New"/>
          <w:i/>
        </w:rPr>
        <w:t xml:space="preserve"> A </w:t>
      </w:r>
      <w:proofErr w:type="spellStart"/>
      <w:r w:rsidRPr="00C56C00">
        <w:rPr>
          <w:rFonts w:cs="Courier New"/>
          <w:i/>
        </w:rPr>
        <w:t>Roadmap</w:t>
      </w:r>
      <w:proofErr w:type="spellEnd"/>
      <w:r w:rsidRPr="00C56C00">
        <w:rPr>
          <w:rFonts w:cs="Courier New"/>
          <w:i/>
        </w:rPr>
        <w:t xml:space="preserve"> </w:t>
      </w:r>
      <w:proofErr w:type="spellStart"/>
      <w:r w:rsidRPr="00C56C00">
        <w:rPr>
          <w:rFonts w:cs="Courier New"/>
          <w:i/>
        </w:rPr>
        <w:t>for</w:t>
      </w:r>
      <w:proofErr w:type="spellEnd"/>
      <w:r w:rsidRPr="00C56C00">
        <w:rPr>
          <w:rFonts w:cs="Courier New"/>
          <w:i/>
        </w:rPr>
        <w:t xml:space="preserve"> </w:t>
      </w:r>
      <w:proofErr w:type="spellStart"/>
      <w:r w:rsidRPr="00C56C00">
        <w:rPr>
          <w:rFonts w:cs="Courier New"/>
          <w:i/>
        </w:rPr>
        <w:t>the</w:t>
      </w:r>
      <w:proofErr w:type="spellEnd"/>
      <w:r w:rsidRPr="00C56C00">
        <w:rPr>
          <w:rFonts w:cs="Courier New"/>
          <w:i/>
        </w:rPr>
        <w:t xml:space="preserve"> </w:t>
      </w:r>
      <w:proofErr w:type="spellStart"/>
      <w:r w:rsidRPr="00C56C00">
        <w:rPr>
          <w:rFonts w:cs="Courier New"/>
          <w:i/>
        </w:rPr>
        <w:t>future</w:t>
      </w:r>
      <w:proofErr w:type="spellEnd"/>
      <w:r w:rsidRPr="00C56C00">
        <w:rPr>
          <w:rFonts w:cs="Courier New"/>
        </w:rPr>
        <w:t xml:space="preserve">, Report </w:t>
      </w:r>
      <w:proofErr w:type="spellStart"/>
      <w:r w:rsidRPr="00C56C00">
        <w:rPr>
          <w:rFonts w:cs="Courier New"/>
        </w:rPr>
        <w:t>from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the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conference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organised</w:t>
      </w:r>
      <w:proofErr w:type="spellEnd"/>
      <w:r w:rsidRPr="00C56C00">
        <w:rPr>
          <w:rFonts w:cs="Courier New"/>
        </w:rPr>
        <w:t xml:space="preserve"> by </w:t>
      </w:r>
      <w:proofErr w:type="spellStart"/>
      <w:r w:rsidRPr="00C56C00">
        <w:rPr>
          <w:rFonts w:cs="Courier New"/>
        </w:rPr>
        <w:t>the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European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Commission</w:t>
      </w:r>
      <w:proofErr w:type="spellEnd"/>
      <w:r w:rsidRPr="00C56C00">
        <w:rPr>
          <w:rFonts w:cs="Courier New"/>
        </w:rPr>
        <w:t xml:space="preserve"> on 4 and 5 </w:t>
      </w:r>
      <w:proofErr w:type="spellStart"/>
      <w:r w:rsidRPr="00C56C00">
        <w:rPr>
          <w:rFonts w:cs="Courier New"/>
        </w:rPr>
        <w:t>May</w:t>
      </w:r>
      <w:proofErr w:type="spellEnd"/>
      <w:r w:rsidRPr="00C56C00">
        <w:rPr>
          <w:rFonts w:cs="Courier New"/>
        </w:rPr>
        <w:t xml:space="preserve"> 2006, </w:t>
      </w:r>
      <w:proofErr w:type="spellStart"/>
      <w:r w:rsidRPr="00C56C00">
        <w:rPr>
          <w:rFonts w:cs="Courier New"/>
        </w:rPr>
        <w:t>Directorate-General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for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Employment</w:t>
      </w:r>
      <w:proofErr w:type="spellEnd"/>
      <w:r w:rsidRPr="00C56C00">
        <w:rPr>
          <w:rFonts w:cs="Courier New"/>
        </w:rPr>
        <w:t xml:space="preserve">, </w:t>
      </w:r>
      <w:proofErr w:type="spellStart"/>
      <w:r w:rsidRPr="00C56C00">
        <w:rPr>
          <w:rFonts w:cs="Courier New"/>
        </w:rPr>
        <w:t>Social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Aff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airs</w:t>
      </w:r>
      <w:proofErr w:type="spellEnd"/>
      <w:r w:rsidRPr="00C56C00">
        <w:rPr>
          <w:rFonts w:cs="Courier New"/>
        </w:rPr>
        <w:t xml:space="preserve"> and </w:t>
      </w:r>
      <w:proofErr w:type="spellStart"/>
      <w:r w:rsidRPr="00C56C00">
        <w:rPr>
          <w:rFonts w:cs="Courier New"/>
        </w:rPr>
        <w:t>Equal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Opportunities</w:t>
      </w:r>
      <w:proofErr w:type="spellEnd"/>
      <w:r w:rsidRPr="00C56C00">
        <w:rPr>
          <w:rFonts w:cs="Courier New"/>
        </w:rPr>
        <w:t xml:space="preserve">, </w:t>
      </w:r>
      <w:proofErr w:type="spellStart"/>
      <w:r w:rsidRPr="00C56C00">
        <w:rPr>
          <w:rFonts w:cs="Courier New"/>
        </w:rPr>
        <w:t>Manuscript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completed</w:t>
      </w:r>
      <w:proofErr w:type="spellEnd"/>
      <w:r w:rsidRPr="00C56C00">
        <w:rPr>
          <w:rFonts w:cs="Courier New"/>
        </w:rPr>
        <w:t xml:space="preserve"> in </w:t>
      </w:r>
      <w:proofErr w:type="spellStart"/>
      <w:r w:rsidRPr="00C56C00">
        <w:rPr>
          <w:rFonts w:cs="Courier New"/>
        </w:rPr>
        <w:t>July</w:t>
      </w:r>
      <w:proofErr w:type="spellEnd"/>
      <w:r w:rsidRPr="00C56C00">
        <w:rPr>
          <w:rFonts w:cs="Courier New"/>
        </w:rPr>
        <w:t xml:space="preserve"> 2006</w:t>
      </w:r>
    </w:p>
  </w:endnote>
  <w:endnote w:id="14">
    <w:p w:rsidR="00D554C0" w:rsidRPr="00C56C00" w:rsidRDefault="00D554C0" w:rsidP="00DA23D9">
      <w:pPr>
        <w:pStyle w:val="Textvysvetlivky"/>
        <w:spacing w:before="120"/>
        <w:rPr>
          <w:rFonts w:cs="Courier New"/>
        </w:rPr>
      </w:pPr>
      <w:r w:rsidRPr="00C56C00">
        <w:rPr>
          <w:rStyle w:val="Odkaznavysvetlivku"/>
          <w:rFonts w:cs="Courier New"/>
        </w:rPr>
        <w:endnoteRef/>
      </w:r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Webster</w:t>
      </w:r>
      <w:proofErr w:type="spellEnd"/>
      <w:r w:rsidRPr="00C56C00">
        <w:rPr>
          <w:rFonts w:cs="Courier New"/>
        </w:rPr>
        <w:t xml:space="preserve">, J.: </w:t>
      </w:r>
      <w:proofErr w:type="spellStart"/>
      <w:r w:rsidRPr="00C56C00">
        <w:rPr>
          <w:rFonts w:cs="Courier New"/>
          <w:i/>
        </w:rPr>
        <w:t>Shaping</w:t>
      </w:r>
      <w:proofErr w:type="spellEnd"/>
      <w:r w:rsidRPr="00C56C00">
        <w:rPr>
          <w:rFonts w:cs="Courier New"/>
          <w:i/>
        </w:rPr>
        <w:t xml:space="preserve"> </w:t>
      </w:r>
      <w:proofErr w:type="spellStart"/>
      <w:r w:rsidRPr="00C56C00">
        <w:rPr>
          <w:rFonts w:cs="Courier New"/>
          <w:i/>
        </w:rPr>
        <w:t>women´s</w:t>
      </w:r>
      <w:proofErr w:type="spellEnd"/>
      <w:r w:rsidRPr="00C56C00">
        <w:rPr>
          <w:rFonts w:cs="Courier New"/>
          <w:i/>
        </w:rPr>
        <w:t xml:space="preserve"> </w:t>
      </w:r>
      <w:proofErr w:type="spellStart"/>
      <w:r w:rsidRPr="00C56C00">
        <w:rPr>
          <w:rFonts w:cs="Courier New"/>
          <w:i/>
        </w:rPr>
        <w:t>work</w:t>
      </w:r>
      <w:proofErr w:type="spellEnd"/>
      <w:r w:rsidRPr="00C56C00">
        <w:rPr>
          <w:rFonts w:cs="Courier New"/>
          <w:i/>
        </w:rPr>
        <w:t xml:space="preserve">: </w:t>
      </w:r>
      <w:proofErr w:type="spellStart"/>
      <w:r w:rsidRPr="00C56C00">
        <w:rPr>
          <w:rFonts w:cs="Courier New"/>
          <w:i/>
        </w:rPr>
        <w:t>gender</w:t>
      </w:r>
      <w:proofErr w:type="spellEnd"/>
      <w:r w:rsidRPr="00C56C00">
        <w:rPr>
          <w:rFonts w:cs="Courier New"/>
          <w:i/>
        </w:rPr>
        <w:t xml:space="preserve">, </w:t>
      </w:r>
      <w:proofErr w:type="spellStart"/>
      <w:r w:rsidRPr="00C56C00">
        <w:rPr>
          <w:rFonts w:cs="Courier New"/>
          <w:i/>
        </w:rPr>
        <w:t>employement</w:t>
      </w:r>
      <w:proofErr w:type="spellEnd"/>
      <w:r w:rsidRPr="00C56C00">
        <w:rPr>
          <w:rFonts w:cs="Courier New"/>
          <w:i/>
        </w:rPr>
        <w:t xml:space="preserve"> and </w:t>
      </w:r>
      <w:proofErr w:type="spellStart"/>
      <w:r w:rsidRPr="00C56C00">
        <w:rPr>
          <w:rFonts w:cs="Courier New"/>
          <w:i/>
        </w:rPr>
        <w:t>information</w:t>
      </w:r>
      <w:proofErr w:type="spellEnd"/>
      <w:r w:rsidRPr="00C56C00">
        <w:rPr>
          <w:rFonts w:cs="Courier New"/>
          <w:i/>
        </w:rPr>
        <w:t xml:space="preserve"> </w:t>
      </w:r>
      <w:proofErr w:type="spellStart"/>
      <w:r w:rsidRPr="00C56C00">
        <w:rPr>
          <w:rFonts w:cs="Courier New"/>
          <w:i/>
        </w:rPr>
        <w:t>technology</w:t>
      </w:r>
      <w:proofErr w:type="spellEnd"/>
      <w:r w:rsidRPr="00C56C00">
        <w:rPr>
          <w:rFonts w:cs="Courier New"/>
        </w:rPr>
        <w:t xml:space="preserve">, </w:t>
      </w:r>
      <w:proofErr w:type="spellStart"/>
      <w:r w:rsidRPr="00C56C00">
        <w:rPr>
          <w:rFonts w:cs="Courier New"/>
        </w:rPr>
        <w:t>Longman</w:t>
      </w:r>
      <w:proofErr w:type="spellEnd"/>
      <w:r w:rsidRPr="00C56C00">
        <w:rPr>
          <w:rFonts w:cs="Courier New"/>
        </w:rPr>
        <w:t xml:space="preserve">, </w:t>
      </w:r>
      <w:proofErr w:type="spellStart"/>
      <w:r w:rsidRPr="00C56C00">
        <w:rPr>
          <w:rFonts w:cs="Courier New"/>
        </w:rPr>
        <w:t>Ney</w:t>
      </w:r>
      <w:proofErr w:type="spellEnd"/>
      <w:r w:rsidRPr="00C56C00">
        <w:rPr>
          <w:rFonts w:cs="Courier New"/>
        </w:rPr>
        <w:t xml:space="preserve"> York, 1996 </w:t>
      </w:r>
    </w:p>
  </w:endnote>
  <w:endnote w:id="15">
    <w:p w:rsidR="00D554C0" w:rsidRPr="00C56C00" w:rsidRDefault="00D554C0" w:rsidP="00DA23D9">
      <w:pPr>
        <w:pStyle w:val="Textvysvetlivky"/>
        <w:spacing w:before="120"/>
        <w:rPr>
          <w:rFonts w:cs="Courier New"/>
        </w:rPr>
      </w:pPr>
      <w:r w:rsidRPr="00C56C00">
        <w:rPr>
          <w:rStyle w:val="Odkaznavysvetlivku"/>
          <w:rFonts w:cs="Courier New"/>
        </w:rPr>
        <w:endnoteRef/>
      </w:r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Pettiti</w:t>
      </w:r>
      <w:proofErr w:type="spellEnd"/>
      <w:r w:rsidRPr="00C56C00">
        <w:rPr>
          <w:rFonts w:cs="Courier New"/>
        </w:rPr>
        <w:t xml:space="preserve">, </w:t>
      </w:r>
      <w:proofErr w:type="spellStart"/>
      <w:r w:rsidRPr="00C56C00">
        <w:rPr>
          <w:rFonts w:cs="Courier New"/>
        </w:rPr>
        <w:t>Christophe</w:t>
      </w:r>
      <w:proofErr w:type="spellEnd"/>
      <w:r w:rsidRPr="00C56C00">
        <w:rPr>
          <w:rFonts w:cs="Courier New"/>
        </w:rPr>
        <w:t xml:space="preserve">, </w:t>
      </w:r>
      <w:proofErr w:type="spellStart"/>
      <w:r w:rsidRPr="00C56C00">
        <w:rPr>
          <w:rFonts w:cs="Courier New"/>
          <w:i/>
        </w:rPr>
        <w:t>Equal</w:t>
      </w:r>
      <w:proofErr w:type="spellEnd"/>
      <w:r w:rsidRPr="00C56C00">
        <w:rPr>
          <w:rFonts w:cs="Courier New"/>
          <w:i/>
        </w:rPr>
        <w:t xml:space="preserve"> </w:t>
      </w:r>
      <w:proofErr w:type="spellStart"/>
      <w:r w:rsidRPr="00C56C00">
        <w:rPr>
          <w:rFonts w:cs="Courier New"/>
          <w:i/>
        </w:rPr>
        <w:t>Pay</w:t>
      </w:r>
      <w:proofErr w:type="spellEnd"/>
      <w:r w:rsidRPr="00C56C00">
        <w:rPr>
          <w:rFonts w:cs="Courier New"/>
          <w:i/>
        </w:rPr>
        <w:t xml:space="preserve"> in </w:t>
      </w:r>
      <w:proofErr w:type="spellStart"/>
      <w:r w:rsidRPr="00C56C00">
        <w:rPr>
          <w:rFonts w:cs="Courier New"/>
          <w:i/>
        </w:rPr>
        <w:t>France</w:t>
      </w:r>
      <w:proofErr w:type="spellEnd"/>
      <w:r w:rsidRPr="00C56C00">
        <w:rPr>
          <w:rFonts w:cs="Courier New"/>
        </w:rPr>
        <w:t xml:space="preserve">. F. </w:t>
      </w:r>
      <w:proofErr w:type="spellStart"/>
      <w:r w:rsidRPr="00C56C00">
        <w:rPr>
          <w:rFonts w:cs="Courier New"/>
        </w:rPr>
        <w:t>Eyraud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et</w:t>
      </w:r>
      <w:proofErr w:type="spellEnd"/>
      <w:r w:rsidRPr="00C56C00">
        <w:rPr>
          <w:rFonts w:cs="Courier New"/>
        </w:rPr>
        <w:t xml:space="preserve"> al., </w:t>
      </w:r>
      <w:proofErr w:type="spellStart"/>
      <w:r w:rsidRPr="00C56C00">
        <w:rPr>
          <w:rFonts w:cs="Courier New"/>
        </w:rPr>
        <w:t>Equal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Pay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Protection</w:t>
      </w:r>
      <w:proofErr w:type="spellEnd"/>
      <w:r w:rsidRPr="00C56C00">
        <w:rPr>
          <w:rFonts w:cs="Courier New"/>
        </w:rPr>
        <w:t xml:space="preserve"> in </w:t>
      </w:r>
      <w:proofErr w:type="spellStart"/>
      <w:r w:rsidRPr="00C56C00">
        <w:rPr>
          <w:rFonts w:cs="Courier New"/>
        </w:rPr>
        <w:t>Industrialised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Market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Economies</w:t>
      </w:r>
      <w:proofErr w:type="spellEnd"/>
      <w:r w:rsidRPr="00C56C00">
        <w:rPr>
          <w:rFonts w:cs="Courier New"/>
        </w:rPr>
        <w:t xml:space="preserve">: In </w:t>
      </w:r>
      <w:proofErr w:type="spellStart"/>
      <w:r w:rsidRPr="00C56C00">
        <w:rPr>
          <w:rFonts w:cs="Courier New"/>
        </w:rPr>
        <w:t>Search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of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Greater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Effectiveness</w:t>
      </w:r>
      <w:proofErr w:type="spellEnd"/>
      <w:r w:rsidRPr="00C56C00">
        <w:rPr>
          <w:rFonts w:cs="Courier New"/>
        </w:rPr>
        <w:t xml:space="preserve">. ILO, </w:t>
      </w:r>
      <w:proofErr w:type="spellStart"/>
      <w:r w:rsidRPr="00C56C00">
        <w:rPr>
          <w:rFonts w:cs="Courier New"/>
        </w:rPr>
        <w:t>Geneva</w:t>
      </w:r>
      <w:proofErr w:type="spellEnd"/>
      <w:r w:rsidRPr="00C56C00">
        <w:rPr>
          <w:rFonts w:cs="Courier New"/>
        </w:rPr>
        <w:t xml:space="preserve"> 1993</w:t>
      </w:r>
    </w:p>
  </w:endnote>
  <w:endnote w:id="16">
    <w:p w:rsidR="00D554C0" w:rsidRPr="00C56C00" w:rsidRDefault="00D554C0" w:rsidP="00DA23D9">
      <w:pPr>
        <w:spacing w:before="120"/>
        <w:rPr>
          <w:rFonts w:asciiTheme="majorHAnsi" w:hAnsiTheme="majorHAnsi" w:cs="Courier New"/>
          <w:sz w:val="20"/>
          <w:szCs w:val="20"/>
        </w:rPr>
      </w:pPr>
      <w:r w:rsidRPr="00C56C00">
        <w:rPr>
          <w:rStyle w:val="Odkaznavysvetlivku"/>
          <w:rFonts w:asciiTheme="majorHAnsi" w:hAnsiTheme="majorHAnsi" w:cs="Courier New"/>
          <w:sz w:val="20"/>
          <w:szCs w:val="20"/>
        </w:rPr>
        <w:endnoteRef/>
      </w:r>
      <w:r w:rsidRPr="00C56C00">
        <w:rPr>
          <w:rFonts w:asciiTheme="majorHAnsi" w:hAnsiTheme="majorHAnsi" w:cs="Courier New"/>
          <w:sz w:val="20"/>
          <w:szCs w:val="20"/>
        </w:rPr>
        <w:t xml:space="preserve"> </w:t>
      </w:r>
      <w:proofErr w:type="spellStart"/>
      <w:r w:rsidRPr="00C56C00">
        <w:rPr>
          <w:rFonts w:asciiTheme="majorHAnsi" w:hAnsiTheme="majorHAnsi" w:cs="Courier New"/>
          <w:sz w:val="20"/>
          <w:szCs w:val="20"/>
        </w:rPr>
        <w:t>Määttä</w:t>
      </w:r>
      <w:proofErr w:type="spellEnd"/>
      <w:r w:rsidRPr="00C56C00">
        <w:rPr>
          <w:rFonts w:asciiTheme="majorHAnsi" w:hAnsiTheme="majorHAnsi" w:cs="Courier New"/>
          <w:sz w:val="20"/>
          <w:szCs w:val="20"/>
        </w:rPr>
        <w:t xml:space="preserve">, Paula: </w:t>
      </w:r>
      <w:proofErr w:type="spellStart"/>
      <w:r w:rsidRPr="00C56C00">
        <w:rPr>
          <w:rFonts w:asciiTheme="majorHAnsi" w:hAnsiTheme="majorHAnsi" w:cs="Courier New"/>
          <w:i/>
          <w:sz w:val="20"/>
          <w:szCs w:val="20"/>
        </w:rPr>
        <w:t>Equal</w:t>
      </w:r>
      <w:proofErr w:type="spellEnd"/>
      <w:r w:rsidRPr="00C56C00">
        <w:rPr>
          <w:rFonts w:asciiTheme="majorHAnsi" w:hAnsiTheme="majorHAnsi" w:cs="Courier New"/>
          <w:i/>
          <w:sz w:val="20"/>
          <w:szCs w:val="20"/>
        </w:rPr>
        <w:t xml:space="preserve"> </w:t>
      </w:r>
      <w:proofErr w:type="spellStart"/>
      <w:r w:rsidRPr="00C56C00">
        <w:rPr>
          <w:rFonts w:asciiTheme="majorHAnsi" w:hAnsiTheme="majorHAnsi" w:cs="Courier New"/>
          <w:i/>
          <w:sz w:val="20"/>
          <w:szCs w:val="20"/>
        </w:rPr>
        <w:t>pay</w:t>
      </w:r>
      <w:proofErr w:type="spellEnd"/>
      <w:r w:rsidRPr="00C56C00">
        <w:rPr>
          <w:rFonts w:asciiTheme="majorHAnsi" w:hAnsiTheme="majorHAnsi" w:cs="Courier New"/>
          <w:i/>
          <w:sz w:val="20"/>
          <w:szCs w:val="20"/>
        </w:rPr>
        <w:t xml:space="preserve"> </w:t>
      </w:r>
      <w:proofErr w:type="spellStart"/>
      <w:r w:rsidRPr="00C56C00">
        <w:rPr>
          <w:rFonts w:asciiTheme="majorHAnsi" w:hAnsiTheme="majorHAnsi" w:cs="Courier New"/>
          <w:i/>
          <w:sz w:val="20"/>
          <w:szCs w:val="20"/>
        </w:rPr>
        <w:t>policies</w:t>
      </w:r>
      <w:proofErr w:type="spellEnd"/>
      <w:r w:rsidRPr="00C56C00">
        <w:rPr>
          <w:rFonts w:asciiTheme="majorHAnsi" w:hAnsiTheme="majorHAnsi" w:cs="Courier New"/>
          <w:i/>
          <w:sz w:val="20"/>
          <w:szCs w:val="20"/>
        </w:rPr>
        <w:t xml:space="preserve">: </w:t>
      </w:r>
      <w:proofErr w:type="spellStart"/>
      <w:r w:rsidRPr="00C56C00">
        <w:rPr>
          <w:rFonts w:asciiTheme="majorHAnsi" w:hAnsiTheme="majorHAnsi" w:cs="Courier New"/>
          <w:i/>
          <w:sz w:val="20"/>
          <w:szCs w:val="20"/>
        </w:rPr>
        <w:t>International</w:t>
      </w:r>
      <w:proofErr w:type="spellEnd"/>
      <w:r w:rsidRPr="00C56C00">
        <w:rPr>
          <w:rFonts w:asciiTheme="majorHAnsi" w:hAnsiTheme="majorHAnsi" w:cs="Courier New"/>
          <w:i/>
          <w:sz w:val="20"/>
          <w:szCs w:val="20"/>
        </w:rPr>
        <w:t xml:space="preserve"> </w:t>
      </w:r>
      <w:proofErr w:type="spellStart"/>
      <w:r w:rsidRPr="00C56C00">
        <w:rPr>
          <w:rFonts w:asciiTheme="majorHAnsi" w:hAnsiTheme="majorHAnsi" w:cs="Courier New"/>
          <w:i/>
          <w:sz w:val="20"/>
          <w:szCs w:val="20"/>
        </w:rPr>
        <w:t>review</w:t>
      </w:r>
      <w:proofErr w:type="spellEnd"/>
      <w:r w:rsidRPr="00C56C00">
        <w:rPr>
          <w:rFonts w:asciiTheme="majorHAnsi" w:hAnsiTheme="majorHAnsi" w:cs="Courier New"/>
          <w:i/>
          <w:sz w:val="20"/>
          <w:szCs w:val="20"/>
        </w:rPr>
        <w:t xml:space="preserve"> </w:t>
      </w:r>
      <w:proofErr w:type="spellStart"/>
      <w:r w:rsidRPr="00C56C00">
        <w:rPr>
          <w:rFonts w:asciiTheme="majorHAnsi" w:hAnsiTheme="majorHAnsi" w:cs="Courier New"/>
          <w:i/>
          <w:sz w:val="20"/>
          <w:szCs w:val="20"/>
        </w:rPr>
        <w:t>of</w:t>
      </w:r>
      <w:proofErr w:type="spellEnd"/>
      <w:r w:rsidRPr="00C56C00">
        <w:rPr>
          <w:rFonts w:asciiTheme="majorHAnsi" w:hAnsiTheme="majorHAnsi" w:cs="Courier New"/>
          <w:i/>
          <w:sz w:val="20"/>
          <w:szCs w:val="20"/>
        </w:rPr>
        <w:t xml:space="preserve"> </w:t>
      </w:r>
      <w:proofErr w:type="spellStart"/>
      <w:r w:rsidRPr="00C56C00">
        <w:rPr>
          <w:rFonts w:asciiTheme="majorHAnsi" w:hAnsiTheme="majorHAnsi" w:cs="Courier New"/>
          <w:i/>
          <w:sz w:val="20"/>
          <w:szCs w:val="20"/>
        </w:rPr>
        <w:t>selected</w:t>
      </w:r>
      <w:proofErr w:type="spellEnd"/>
      <w:r w:rsidRPr="00C56C00">
        <w:rPr>
          <w:rFonts w:asciiTheme="majorHAnsi" w:hAnsiTheme="majorHAnsi" w:cs="Courier New"/>
          <w:i/>
          <w:sz w:val="20"/>
          <w:szCs w:val="20"/>
        </w:rPr>
        <w:t xml:space="preserve"> </w:t>
      </w:r>
      <w:proofErr w:type="spellStart"/>
      <w:r w:rsidRPr="00C56C00">
        <w:rPr>
          <w:rFonts w:asciiTheme="majorHAnsi" w:hAnsiTheme="majorHAnsi" w:cs="Courier New"/>
          <w:i/>
          <w:sz w:val="20"/>
          <w:szCs w:val="20"/>
        </w:rPr>
        <w:t>developing</w:t>
      </w:r>
      <w:proofErr w:type="spellEnd"/>
      <w:r w:rsidRPr="00C56C00">
        <w:rPr>
          <w:rFonts w:asciiTheme="majorHAnsi" w:hAnsiTheme="majorHAnsi" w:cs="Courier New"/>
          <w:i/>
          <w:sz w:val="20"/>
          <w:szCs w:val="20"/>
        </w:rPr>
        <w:t xml:space="preserve"> and </w:t>
      </w:r>
      <w:proofErr w:type="spellStart"/>
      <w:r w:rsidRPr="00C56C00">
        <w:rPr>
          <w:rFonts w:asciiTheme="majorHAnsi" w:hAnsiTheme="majorHAnsi" w:cs="Courier New"/>
          <w:i/>
          <w:sz w:val="20"/>
          <w:szCs w:val="20"/>
        </w:rPr>
        <w:t>developed</w:t>
      </w:r>
      <w:proofErr w:type="spellEnd"/>
      <w:r w:rsidRPr="00C56C00">
        <w:rPr>
          <w:rFonts w:asciiTheme="majorHAnsi" w:hAnsiTheme="majorHAnsi" w:cs="Courier New"/>
          <w:i/>
          <w:sz w:val="20"/>
          <w:szCs w:val="20"/>
        </w:rPr>
        <w:t xml:space="preserve"> </w:t>
      </w:r>
      <w:proofErr w:type="spellStart"/>
      <w:r w:rsidRPr="00C56C00">
        <w:rPr>
          <w:rFonts w:asciiTheme="majorHAnsi" w:hAnsiTheme="majorHAnsi" w:cs="Courier New"/>
          <w:i/>
          <w:sz w:val="20"/>
          <w:szCs w:val="20"/>
        </w:rPr>
        <w:t>countries</w:t>
      </w:r>
      <w:proofErr w:type="spellEnd"/>
      <w:r w:rsidR="00EE0A94">
        <w:rPr>
          <w:rFonts w:asciiTheme="majorHAnsi" w:hAnsiTheme="majorHAnsi" w:cs="Courier New"/>
          <w:sz w:val="20"/>
          <w:szCs w:val="20"/>
        </w:rPr>
        <w:t>, ILO</w:t>
      </w:r>
    </w:p>
  </w:endnote>
  <w:endnote w:id="17">
    <w:p w:rsidR="00D554C0" w:rsidRPr="00C56C00" w:rsidRDefault="00D554C0" w:rsidP="00DA23D9">
      <w:pPr>
        <w:pStyle w:val="Textvysvetlivky"/>
        <w:spacing w:before="120"/>
        <w:rPr>
          <w:rFonts w:cs="Courier New"/>
        </w:rPr>
      </w:pPr>
      <w:r w:rsidRPr="00C56C00">
        <w:rPr>
          <w:rStyle w:val="Odkaznavysvetlivku"/>
          <w:rFonts w:cs="Courier New"/>
        </w:rPr>
        <w:endnoteRef/>
      </w:r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Tamtiež</w:t>
      </w:r>
      <w:proofErr w:type="spellEnd"/>
      <w:r w:rsidRPr="00C56C00">
        <w:rPr>
          <w:rFonts w:cs="Courier New"/>
        </w:rPr>
        <w:t xml:space="preserve"> </w:t>
      </w:r>
    </w:p>
  </w:endnote>
  <w:endnote w:id="18">
    <w:p w:rsidR="00D554C0" w:rsidRPr="00C56C00" w:rsidRDefault="00D554C0" w:rsidP="00DA23D9">
      <w:pPr>
        <w:spacing w:before="120"/>
        <w:rPr>
          <w:rFonts w:asciiTheme="majorHAnsi" w:hAnsiTheme="majorHAnsi" w:cs="Courier New"/>
          <w:sz w:val="20"/>
          <w:szCs w:val="20"/>
        </w:rPr>
      </w:pPr>
      <w:r w:rsidRPr="00C56C00">
        <w:rPr>
          <w:rStyle w:val="Odkaznavysvetlivku"/>
          <w:rFonts w:asciiTheme="majorHAnsi" w:hAnsiTheme="majorHAnsi" w:cs="Courier New"/>
          <w:sz w:val="20"/>
          <w:szCs w:val="20"/>
        </w:rPr>
        <w:endnoteRef/>
      </w:r>
      <w:r w:rsidRPr="00C56C00">
        <w:rPr>
          <w:rFonts w:asciiTheme="majorHAnsi" w:hAnsiTheme="majorHAnsi" w:cs="Courier New"/>
          <w:sz w:val="20"/>
          <w:szCs w:val="20"/>
        </w:rPr>
        <w:t xml:space="preserve"> http://www.nosweat.org.uk/node/525</w:t>
      </w:r>
    </w:p>
  </w:endnote>
  <w:endnote w:id="19">
    <w:p w:rsidR="00D554C0" w:rsidRPr="00C56C00" w:rsidRDefault="00D554C0" w:rsidP="00DA23D9">
      <w:pPr>
        <w:autoSpaceDE w:val="0"/>
        <w:autoSpaceDN w:val="0"/>
        <w:adjustRightInd w:val="0"/>
        <w:spacing w:before="120"/>
        <w:rPr>
          <w:rFonts w:asciiTheme="majorHAnsi" w:hAnsiTheme="majorHAnsi" w:cs="Courier New"/>
          <w:sz w:val="20"/>
          <w:szCs w:val="20"/>
        </w:rPr>
      </w:pPr>
      <w:r w:rsidRPr="00C56C00">
        <w:rPr>
          <w:rStyle w:val="Odkaznavysvetlivku"/>
          <w:rFonts w:asciiTheme="majorHAnsi" w:hAnsiTheme="majorHAnsi" w:cs="Courier New"/>
          <w:sz w:val="20"/>
          <w:szCs w:val="20"/>
        </w:rPr>
        <w:endnoteRef/>
      </w:r>
      <w:r w:rsidRPr="00C56C00">
        <w:rPr>
          <w:rFonts w:asciiTheme="majorHAnsi" w:hAnsiTheme="majorHAnsi" w:cs="Courier New"/>
          <w:sz w:val="20"/>
          <w:szCs w:val="20"/>
        </w:rPr>
        <w:t xml:space="preserve"> </w:t>
      </w:r>
      <w:r w:rsidRPr="00C56C00">
        <w:rPr>
          <w:rFonts w:asciiTheme="majorHAnsi" w:hAnsiTheme="majorHAnsi" w:cs="Courier New"/>
          <w:color w:val="000000"/>
          <w:sz w:val="20"/>
          <w:szCs w:val="20"/>
        </w:rPr>
        <w:t xml:space="preserve">Works </w:t>
      </w:r>
      <w:proofErr w:type="spellStart"/>
      <w:r w:rsidRPr="00C56C00">
        <w:rPr>
          <w:rFonts w:asciiTheme="majorHAnsi" w:hAnsiTheme="majorHAnsi" w:cs="Courier New"/>
          <w:color w:val="000000"/>
          <w:sz w:val="20"/>
          <w:szCs w:val="20"/>
        </w:rPr>
        <w:t>Constitution</w:t>
      </w:r>
      <w:proofErr w:type="spellEnd"/>
      <w:r w:rsidRPr="00C56C00">
        <w:rPr>
          <w:rFonts w:asciiTheme="majorHAnsi" w:hAnsiTheme="majorHAnsi" w:cs="Courier New"/>
          <w:color w:val="000000"/>
          <w:sz w:val="20"/>
          <w:szCs w:val="20"/>
        </w:rPr>
        <w:t xml:space="preserve"> </w:t>
      </w:r>
      <w:proofErr w:type="spellStart"/>
      <w:r w:rsidRPr="00C56C00">
        <w:rPr>
          <w:rFonts w:asciiTheme="majorHAnsi" w:hAnsiTheme="majorHAnsi" w:cs="Courier New"/>
          <w:color w:val="000000"/>
          <w:sz w:val="20"/>
          <w:szCs w:val="20"/>
        </w:rPr>
        <w:t>Act</w:t>
      </w:r>
      <w:proofErr w:type="spellEnd"/>
      <w:r w:rsidRPr="00C56C00">
        <w:rPr>
          <w:rFonts w:asciiTheme="majorHAnsi" w:hAnsiTheme="majorHAnsi" w:cs="Courier New"/>
          <w:color w:val="000000"/>
          <w:sz w:val="20"/>
          <w:szCs w:val="20"/>
        </w:rPr>
        <w:t xml:space="preserve">. </w:t>
      </w:r>
      <w:proofErr w:type="spellStart"/>
      <w:r w:rsidRPr="00C56C00">
        <w:rPr>
          <w:rFonts w:asciiTheme="majorHAnsi" w:hAnsiTheme="majorHAnsi" w:cs="Courier New"/>
          <w:color w:val="000000"/>
          <w:sz w:val="20"/>
          <w:szCs w:val="20"/>
        </w:rPr>
        <w:t>Federal</w:t>
      </w:r>
      <w:proofErr w:type="spellEnd"/>
      <w:r w:rsidRPr="00C56C00">
        <w:rPr>
          <w:rFonts w:asciiTheme="majorHAnsi" w:hAnsiTheme="majorHAnsi" w:cs="Courier New"/>
          <w:color w:val="000000"/>
          <w:sz w:val="20"/>
          <w:szCs w:val="20"/>
        </w:rPr>
        <w:t xml:space="preserve"> </w:t>
      </w:r>
      <w:proofErr w:type="spellStart"/>
      <w:r w:rsidRPr="00C56C00">
        <w:rPr>
          <w:rFonts w:asciiTheme="majorHAnsi" w:hAnsiTheme="majorHAnsi" w:cs="Courier New"/>
          <w:color w:val="000000"/>
          <w:sz w:val="20"/>
          <w:szCs w:val="20"/>
        </w:rPr>
        <w:t>Republic</w:t>
      </w:r>
      <w:proofErr w:type="spellEnd"/>
      <w:r w:rsidRPr="00C56C00">
        <w:rPr>
          <w:rFonts w:asciiTheme="majorHAnsi" w:hAnsiTheme="majorHAnsi" w:cs="Courier New"/>
          <w:color w:val="000000"/>
          <w:sz w:val="20"/>
          <w:szCs w:val="20"/>
        </w:rPr>
        <w:t xml:space="preserve"> </w:t>
      </w:r>
      <w:proofErr w:type="spellStart"/>
      <w:r w:rsidRPr="00C56C00">
        <w:rPr>
          <w:rFonts w:asciiTheme="majorHAnsi" w:hAnsiTheme="majorHAnsi" w:cs="Courier New"/>
          <w:color w:val="000000"/>
          <w:sz w:val="20"/>
          <w:szCs w:val="20"/>
        </w:rPr>
        <w:t>of</w:t>
      </w:r>
      <w:proofErr w:type="spellEnd"/>
      <w:r w:rsidRPr="00C56C00">
        <w:rPr>
          <w:rFonts w:asciiTheme="majorHAnsi" w:hAnsiTheme="majorHAnsi" w:cs="Courier New"/>
          <w:color w:val="000000"/>
          <w:sz w:val="20"/>
          <w:szCs w:val="20"/>
        </w:rPr>
        <w:t xml:space="preserve"> </w:t>
      </w:r>
      <w:proofErr w:type="spellStart"/>
      <w:r w:rsidRPr="00C56C00">
        <w:rPr>
          <w:rFonts w:asciiTheme="majorHAnsi" w:hAnsiTheme="majorHAnsi" w:cs="Courier New"/>
          <w:color w:val="000000"/>
          <w:sz w:val="20"/>
          <w:szCs w:val="20"/>
        </w:rPr>
        <w:t>Germany</w:t>
      </w:r>
      <w:proofErr w:type="spellEnd"/>
      <w:r w:rsidRPr="00C56C00">
        <w:rPr>
          <w:rFonts w:asciiTheme="majorHAnsi" w:hAnsiTheme="majorHAnsi" w:cs="Courier New"/>
          <w:color w:val="000000"/>
          <w:sz w:val="20"/>
          <w:szCs w:val="20"/>
        </w:rPr>
        <w:t xml:space="preserve">. </w:t>
      </w:r>
      <w:proofErr w:type="spellStart"/>
      <w:r w:rsidRPr="00C56C00">
        <w:rPr>
          <w:rFonts w:asciiTheme="majorHAnsi" w:hAnsiTheme="majorHAnsi" w:cs="Courier New"/>
          <w:color w:val="000000"/>
          <w:sz w:val="20"/>
          <w:szCs w:val="20"/>
        </w:rPr>
        <w:t>Bundesgesetzblatt</w:t>
      </w:r>
      <w:proofErr w:type="spellEnd"/>
      <w:r w:rsidRPr="00C56C00">
        <w:rPr>
          <w:rFonts w:asciiTheme="majorHAnsi" w:hAnsiTheme="majorHAnsi" w:cs="Courier New"/>
          <w:color w:val="000000"/>
          <w:sz w:val="20"/>
          <w:szCs w:val="20"/>
        </w:rPr>
        <w:t>, Part I, 18 Jan.1972</w:t>
      </w:r>
    </w:p>
  </w:endnote>
  <w:endnote w:id="20">
    <w:p w:rsidR="00D554C0" w:rsidRPr="00C56C00" w:rsidRDefault="00D554C0" w:rsidP="00DA23D9">
      <w:pPr>
        <w:pStyle w:val="Textvysvetlivky"/>
        <w:spacing w:before="120"/>
        <w:rPr>
          <w:rFonts w:cs="Courier New"/>
        </w:rPr>
      </w:pPr>
      <w:r w:rsidRPr="00C56C00">
        <w:rPr>
          <w:rStyle w:val="Odkaznavysvetlivku"/>
          <w:rFonts w:cs="Courier New"/>
        </w:rPr>
        <w:endnoteRef/>
      </w:r>
      <w:r w:rsidRPr="00C56C00">
        <w:rPr>
          <w:rFonts w:cs="Courier New"/>
        </w:rPr>
        <w:t xml:space="preserve">  </w:t>
      </w:r>
      <w:proofErr w:type="spellStart"/>
      <w:r w:rsidRPr="00C56C00">
        <w:rPr>
          <w:rFonts w:cs="Courier New"/>
          <w:color w:val="000000"/>
        </w:rPr>
        <w:t>Act</w:t>
      </w:r>
      <w:proofErr w:type="spellEnd"/>
      <w:r w:rsidRPr="00C56C00">
        <w:rPr>
          <w:rFonts w:cs="Courier New"/>
          <w:color w:val="000000"/>
        </w:rPr>
        <w:t xml:space="preserve"> </w:t>
      </w:r>
      <w:proofErr w:type="spellStart"/>
      <w:r w:rsidRPr="00C56C00">
        <w:rPr>
          <w:rFonts w:cs="Courier New"/>
          <w:color w:val="000000"/>
        </w:rPr>
        <w:t>respecting</w:t>
      </w:r>
      <w:proofErr w:type="spellEnd"/>
      <w:r w:rsidRPr="00C56C00">
        <w:rPr>
          <w:rFonts w:cs="Courier New"/>
          <w:color w:val="000000"/>
        </w:rPr>
        <w:t xml:space="preserve"> </w:t>
      </w:r>
      <w:proofErr w:type="spellStart"/>
      <w:r w:rsidRPr="00C56C00">
        <w:rPr>
          <w:rFonts w:cs="Courier New"/>
          <w:color w:val="000000"/>
        </w:rPr>
        <w:t>contracts</w:t>
      </w:r>
      <w:proofErr w:type="spellEnd"/>
      <w:r w:rsidRPr="00C56C00">
        <w:rPr>
          <w:rFonts w:cs="Courier New"/>
          <w:color w:val="000000"/>
        </w:rPr>
        <w:t xml:space="preserve"> </w:t>
      </w:r>
      <w:proofErr w:type="spellStart"/>
      <w:r w:rsidRPr="00C56C00">
        <w:rPr>
          <w:rFonts w:cs="Courier New"/>
          <w:color w:val="000000"/>
        </w:rPr>
        <w:t>of</w:t>
      </w:r>
      <w:proofErr w:type="spellEnd"/>
      <w:r w:rsidRPr="00C56C00">
        <w:rPr>
          <w:rFonts w:cs="Courier New"/>
          <w:color w:val="000000"/>
        </w:rPr>
        <w:t xml:space="preserve"> </w:t>
      </w:r>
      <w:proofErr w:type="spellStart"/>
      <w:r w:rsidRPr="00C56C00">
        <w:rPr>
          <w:rFonts w:cs="Courier New"/>
          <w:color w:val="000000"/>
        </w:rPr>
        <w:t>employment</w:t>
      </w:r>
      <w:proofErr w:type="spellEnd"/>
      <w:r w:rsidRPr="00C56C00">
        <w:rPr>
          <w:rFonts w:cs="Courier New"/>
          <w:color w:val="000000"/>
        </w:rPr>
        <w:t xml:space="preserve">. 30 </w:t>
      </w:r>
      <w:proofErr w:type="spellStart"/>
      <w:r w:rsidRPr="00C56C00">
        <w:rPr>
          <w:rFonts w:cs="Courier New"/>
          <w:color w:val="000000"/>
        </w:rPr>
        <w:t>April</w:t>
      </w:r>
      <w:proofErr w:type="spellEnd"/>
      <w:r w:rsidRPr="00C56C00">
        <w:rPr>
          <w:rFonts w:cs="Courier New"/>
          <w:color w:val="000000"/>
        </w:rPr>
        <w:t xml:space="preserve"> 1970. </w:t>
      </w:r>
      <w:proofErr w:type="spellStart"/>
      <w:r w:rsidRPr="00C56C00">
        <w:rPr>
          <w:rFonts w:cs="Courier New"/>
          <w:color w:val="000000"/>
        </w:rPr>
        <w:t>Finland</w:t>
      </w:r>
      <w:proofErr w:type="spellEnd"/>
    </w:p>
  </w:endnote>
  <w:endnote w:id="21">
    <w:p w:rsidR="00D554C0" w:rsidRPr="00C56C00" w:rsidRDefault="00D554C0" w:rsidP="00DA23D9">
      <w:pPr>
        <w:pStyle w:val="Zkladntext"/>
        <w:spacing w:before="120" w:after="0"/>
        <w:rPr>
          <w:rFonts w:asciiTheme="majorHAnsi" w:hAnsiTheme="majorHAnsi" w:cs="Courier New"/>
          <w:sz w:val="20"/>
          <w:szCs w:val="20"/>
        </w:rPr>
      </w:pPr>
      <w:r w:rsidRPr="00C56C00">
        <w:rPr>
          <w:rStyle w:val="Odkaznavysvetlivku"/>
          <w:rFonts w:asciiTheme="majorHAnsi" w:hAnsiTheme="majorHAnsi" w:cs="Courier New"/>
          <w:sz w:val="20"/>
          <w:szCs w:val="20"/>
        </w:rPr>
        <w:endnoteRef/>
      </w:r>
      <w:r w:rsidRPr="00C56C00">
        <w:rPr>
          <w:rFonts w:asciiTheme="majorHAnsi" w:hAnsiTheme="majorHAnsi" w:cs="Courier New"/>
          <w:sz w:val="20"/>
          <w:szCs w:val="20"/>
        </w:rPr>
        <w:t xml:space="preserve"> </w:t>
      </w:r>
      <w:proofErr w:type="spellStart"/>
      <w:r w:rsidRPr="00C56C00">
        <w:rPr>
          <w:rFonts w:asciiTheme="majorHAnsi" w:hAnsiTheme="majorHAnsi" w:cs="Courier New"/>
          <w:sz w:val="20"/>
          <w:szCs w:val="20"/>
        </w:rPr>
        <w:t>Novacký</w:t>
      </w:r>
      <w:proofErr w:type="spellEnd"/>
      <w:r w:rsidRPr="00C56C00">
        <w:rPr>
          <w:rFonts w:asciiTheme="majorHAnsi" w:hAnsiTheme="majorHAnsi" w:cs="Courier New"/>
          <w:sz w:val="20"/>
          <w:szCs w:val="20"/>
        </w:rPr>
        <w:t xml:space="preserve">, A. (1969): </w:t>
      </w:r>
      <w:r w:rsidRPr="00C56C00">
        <w:rPr>
          <w:rFonts w:asciiTheme="majorHAnsi" w:hAnsiTheme="majorHAnsi" w:cs="Courier New"/>
          <w:i/>
          <w:sz w:val="20"/>
          <w:szCs w:val="20"/>
        </w:rPr>
        <w:t>Rozdiely vo mzdách mužov a žien v ČSSR</w:t>
      </w:r>
      <w:r w:rsidRPr="00C56C00">
        <w:rPr>
          <w:rFonts w:asciiTheme="majorHAnsi" w:hAnsiTheme="majorHAnsi" w:cs="Courier New"/>
          <w:sz w:val="20"/>
          <w:szCs w:val="20"/>
        </w:rPr>
        <w:t>. Československý výskumný ústav práce, Bratislava</w:t>
      </w:r>
    </w:p>
  </w:endnote>
  <w:endnote w:id="22">
    <w:p w:rsidR="00D554C0" w:rsidRPr="00C56C00" w:rsidRDefault="00D554C0" w:rsidP="00DA23D9">
      <w:pPr>
        <w:pStyle w:val="Textvysvetlivky"/>
        <w:spacing w:before="120"/>
        <w:rPr>
          <w:rFonts w:cs="Courier New"/>
          <w:color w:val="000000"/>
        </w:rPr>
      </w:pPr>
      <w:r w:rsidRPr="00C56C00">
        <w:rPr>
          <w:rStyle w:val="Odkaznavysvetlivku"/>
          <w:rFonts w:cs="Courier New"/>
        </w:rPr>
        <w:endnoteRef/>
      </w:r>
      <w:r w:rsidRPr="00C56C00">
        <w:rPr>
          <w:rFonts w:cs="Courier New"/>
        </w:rPr>
        <w:t xml:space="preserve"> </w:t>
      </w:r>
      <w:r w:rsidRPr="00C56C00">
        <w:rPr>
          <w:rFonts w:cs="Courier New"/>
          <w:bCs/>
          <w:color w:val="000000"/>
        </w:rPr>
        <w:t xml:space="preserve">Zmluva o založení Európskeho hospodárskeho spoločenstva </w:t>
      </w:r>
      <w:r w:rsidRPr="00C56C00">
        <w:rPr>
          <w:rFonts w:cs="Courier New"/>
          <w:color w:val="000000"/>
        </w:rPr>
        <w:t>(1957), tzv. Rímska zmluva</w:t>
      </w:r>
    </w:p>
  </w:endnote>
  <w:endnote w:id="23">
    <w:p w:rsidR="00D554C0" w:rsidRPr="00C56C00" w:rsidRDefault="00D554C0" w:rsidP="00DA23D9">
      <w:pPr>
        <w:pStyle w:val="Textvysvetlivky"/>
        <w:spacing w:before="120"/>
        <w:rPr>
          <w:rFonts w:cs="Courier New"/>
        </w:rPr>
      </w:pPr>
      <w:r w:rsidRPr="00C56C00">
        <w:rPr>
          <w:rStyle w:val="Odkaznavysvetlivku"/>
          <w:rFonts w:cs="Courier New"/>
        </w:rPr>
        <w:endnoteRef/>
      </w:r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European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Citizen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Action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Service</w:t>
      </w:r>
      <w:proofErr w:type="spellEnd"/>
      <w:r w:rsidRPr="00C56C00">
        <w:rPr>
          <w:rFonts w:cs="Courier New"/>
        </w:rPr>
        <w:t xml:space="preserve">: 5O </w:t>
      </w:r>
      <w:proofErr w:type="spellStart"/>
      <w:r w:rsidRPr="00C56C00">
        <w:rPr>
          <w:rFonts w:cs="Courier New"/>
        </w:rPr>
        <w:t>Question</w:t>
      </w:r>
      <w:proofErr w:type="spellEnd"/>
      <w:r w:rsidRPr="00C56C00">
        <w:rPr>
          <w:rFonts w:cs="Courier New"/>
        </w:rPr>
        <w:t xml:space="preserve"> and </w:t>
      </w:r>
      <w:proofErr w:type="spellStart"/>
      <w:r w:rsidRPr="00C56C00">
        <w:rPr>
          <w:rFonts w:cs="Courier New"/>
        </w:rPr>
        <w:t>Answers</w:t>
      </w:r>
      <w:proofErr w:type="spellEnd"/>
      <w:r w:rsidRPr="00C56C00">
        <w:rPr>
          <w:rFonts w:cs="Courier New"/>
        </w:rPr>
        <w:t xml:space="preserve"> on </w:t>
      </w:r>
      <w:proofErr w:type="spellStart"/>
      <w:r w:rsidRPr="00C56C00">
        <w:rPr>
          <w:rFonts w:cs="Courier New"/>
        </w:rPr>
        <w:t>Citizens</w:t>
      </w:r>
      <w:proofErr w:type="spellEnd"/>
      <w:r w:rsidRPr="00C56C00">
        <w:rPr>
          <w:rFonts w:cs="Courier New"/>
        </w:rPr>
        <w:t xml:space="preserve"> and </w:t>
      </w:r>
      <w:proofErr w:type="spellStart"/>
      <w:r w:rsidRPr="00C56C00">
        <w:rPr>
          <w:rFonts w:cs="Courier New"/>
        </w:rPr>
        <w:t>the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Treaty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of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Rome</w:t>
      </w:r>
      <w:proofErr w:type="spellEnd"/>
    </w:p>
  </w:endnote>
  <w:endnote w:id="24">
    <w:p w:rsidR="00D554C0" w:rsidRPr="00C56C00" w:rsidRDefault="00D554C0" w:rsidP="00DA23D9">
      <w:pPr>
        <w:pStyle w:val="Textvysvetlivky"/>
        <w:spacing w:before="120"/>
        <w:rPr>
          <w:rFonts w:cs="Courier New"/>
        </w:rPr>
      </w:pPr>
      <w:r w:rsidRPr="00C56C00">
        <w:rPr>
          <w:rStyle w:val="Odkaznavysvetlivku"/>
          <w:rFonts w:cs="Courier New"/>
        </w:rPr>
        <w:endnoteRef/>
      </w:r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Defrenne</w:t>
      </w:r>
      <w:proofErr w:type="spellEnd"/>
      <w:r w:rsidRPr="00C56C00">
        <w:rPr>
          <w:rFonts w:cs="Courier New"/>
        </w:rPr>
        <w:t xml:space="preserve"> v </w:t>
      </w:r>
      <w:proofErr w:type="spellStart"/>
      <w:r w:rsidRPr="00C56C00">
        <w:rPr>
          <w:rFonts w:cs="Courier New"/>
        </w:rPr>
        <w:t>Sabena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case</w:t>
      </w:r>
      <w:proofErr w:type="spellEnd"/>
      <w:r w:rsidRPr="00C56C00">
        <w:rPr>
          <w:rFonts w:cs="Courier New"/>
        </w:rPr>
        <w:t xml:space="preserve"> 43/75; [1976] ECR 1365</w:t>
      </w:r>
    </w:p>
  </w:endnote>
  <w:endnote w:id="25">
    <w:p w:rsidR="00D554C0" w:rsidRPr="00C56C00" w:rsidRDefault="00D554C0" w:rsidP="00EE0A94">
      <w:pPr>
        <w:pStyle w:val="Textvysvetlivky"/>
      </w:pPr>
      <w:r w:rsidRPr="00C56C00">
        <w:rPr>
          <w:rStyle w:val="Odkaznavysvetlivku"/>
          <w:rFonts w:cs="Courier New"/>
        </w:rPr>
        <w:endnoteRef/>
      </w:r>
      <w:r w:rsidRPr="00C56C00">
        <w:t xml:space="preserve"> </w:t>
      </w:r>
      <w:proofErr w:type="spellStart"/>
      <w:r w:rsidRPr="00C56C00">
        <w:t>Treaty</w:t>
      </w:r>
      <w:proofErr w:type="spellEnd"/>
      <w:r w:rsidRPr="00C56C00">
        <w:t xml:space="preserve"> </w:t>
      </w:r>
      <w:proofErr w:type="spellStart"/>
      <w:r w:rsidRPr="00C56C00">
        <w:t>establishing</w:t>
      </w:r>
      <w:proofErr w:type="spellEnd"/>
      <w:r w:rsidRPr="00C56C00">
        <w:t xml:space="preserve"> </w:t>
      </w:r>
      <w:proofErr w:type="spellStart"/>
      <w:r w:rsidRPr="00C56C00">
        <w:t>the</w:t>
      </w:r>
      <w:proofErr w:type="spellEnd"/>
      <w:r w:rsidRPr="00C56C00">
        <w:t xml:space="preserve"> </w:t>
      </w:r>
      <w:proofErr w:type="spellStart"/>
      <w:r w:rsidRPr="00C56C00">
        <w:t>European</w:t>
      </w:r>
      <w:proofErr w:type="spellEnd"/>
      <w:r w:rsidRPr="00C56C00">
        <w:t xml:space="preserve"> </w:t>
      </w:r>
      <w:proofErr w:type="spellStart"/>
      <w:r w:rsidRPr="00C56C00">
        <w:t>Communities</w:t>
      </w:r>
      <w:proofErr w:type="spellEnd"/>
      <w:r w:rsidRPr="00C56C00">
        <w:t xml:space="preserve"> (</w:t>
      </w:r>
      <w:proofErr w:type="spellStart"/>
      <w:r w:rsidRPr="00C56C00">
        <w:t>as</w:t>
      </w:r>
      <w:proofErr w:type="spellEnd"/>
      <w:r w:rsidRPr="00C56C00">
        <w:t xml:space="preserve"> </w:t>
      </w:r>
      <w:proofErr w:type="spellStart"/>
      <w:r w:rsidRPr="00C56C00">
        <w:t>amended</w:t>
      </w:r>
      <w:proofErr w:type="spellEnd"/>
      <w:r w:rsidRPr="00C56C00">
        <w:t xml:space="preserve"> by </w:t>
      </w:r>
      <w:proofErr w:type="spellStart"/>
      <w:r w:rsidRPr="00C56C00">
        <w:t>the</w:t>
      </w:r>
      <w:proofErr w:type="spellEnd"/>
      <w:r w:rsidRPr="00C56C00">
        <w:t xml:space="preserve"> Amsterdam </w:t>
      </w:r>
      <w:proofErr w:type="spellStart"/>
      <w:r w:rsidRPr="00C56C00">
        <w:t>Treaty</w:t>
      </w:r>
      <w:proofErr w:type="spellEnd"/>
      <w:r w:rsidRPr="00C56C00">
        <w:t>), 1997, Art. 141</w:t>
      </w:r>
    </w:p>
  </w:endnote>
  <w:endnote w:id="26">
    <w:p w:rsidR="00D554C0" w:rsidRPr="00C56C00" w:rsidRDefault="00D554C0" w:rsidP="009319A6">
      <w:pPr>
        <w:pStyle w:val="Textvysvetlivky"/>
        <w:spacing w:before="120"/>
        <w:rPr>
          <w:rFonts w:cs="Courier New"/>
        </w:rPr>
      </w:pPr>
      <w:r w:rsidRPr="00C56C00">
        <w:rPr>
          <w:rFonts w:cs="Courier New"/>
          <w:vertAlign w:val="superscript"/>
        </w:rPr>
        <w:endnoteRef/>
      </w:r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Equal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Pay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Directive</w:t>
      </w:r>
      <w:proofErr w:type="spellEnd"/>
      <w:r w:rsidRPr="00C56C00">
        <w:rPr>
          <w:rFonts w:cs="Courier New"/>
        </w:rPr>
        <w:t xml:space="preserve"> 75/117/EEC</w:t>
      </w:r>
    </w:p>
  </w:endnote>
  <w:endnote w:id="27">
    <w:p w:rsidR="00D554C0" w:rsidRPr="00C56C00" w:rsidRDefault="00D554C0" w:rsidP="00DB3771">
      <w:pPr>
        <w:pStyle w:val="1NNote"/>
        <w:spacing w:before="120"/>
        <w:jc w:val="left"/>
        <w:rPr>
          <w:rFonts w:asciiTheme="majorHAnsi" w:hAnsiTheme="majorHAnsi" w:cs="Courier New"/>
          <w:b w:val="0"/>
          <w:caps w:val="0"/>
          <w:sz w:val="20"/>
        </w:rPr>
      </w:pPr>
      <w:r w:rsidRPr="00C56C00">
        <w:rPr>
          <w:rStyle w:val="Odkaznavysvetlivku"/>
          <w:rFonts w:asciiTheme="majorHAnsi" w:hAnsiTheme="majorHAnsi" w:cs="Courier New"/>
          <w:sz w:val="20"/>
        </w:rPr>
        <w:endnoteRef/>
      </w:r>
      <w:r w:rsidRPr="00C56C00">
        <w:rPr>
          <w:rFonts w:asciiTheme="majorHAnsi" w:hAnsiTheme="majorHAnsi" w:cs="Courier New"/>
          <w:sz w:val="20"/>
        </w:rPr>
        <w:t xml:space="preserve"> </w:t>
      </w:r>
      <w:proofErr w:type="spellStart"/>
      <w:r w:rsidRPr="00C56C00">
        <w:rPr>
          <w:rFonts w:asciiTheme="majorHAnsi" w:hAnsiTheme="majorHAnsi" w:cs="Courier New"/>
          <w:b w:val="0"/>
          <w:caps w:val="0"/>
          <w:sz w:val="20"/>
        </w:rPr>
        <w:t>Komisia</w:t>
      </w:r>
      <w:proofErr w:type="spellEnd"/>
      <w:r w:rsidRPr="00C56C00">
        <w:rPr>
          <w:rFonts w:asciiTheme="majorHAnsi" w:hAnsiTheme="majorHAnsi" w:cs="Courier New"/>
          <w:b w:val="0"/>
          <w:caps w:val="0"/>
          <w:sz w:val="20"/>
        </w:rPr>
        <w:t xml:space="preserve"> </w:t>
      </w:r>
      <w:proofErr w:type="spellStart"/>
      <w:r w:rsidRPr="00C56C00">
        <w:rPr>
          <w:rFonts w:asciiTheme="majorHAnsi" w:hAnsiTheme="majorHAnsi" w:cs="Courier New"/>
          <w:b w:val="0"/>
          <w:caps w:val="0"/>
          <w:sz w:val="20"/>
        </w:rPr>
        <w:t>podniká</w:t>
      </w:r>
      <w:proofErr w:type="spellEnd"/>
      <w:r w:rsidRPr="00C56C00">
        <w:rPr>
          <w:rFonts w:asciiTheme="majorHAnsi" w:hAnsiTheme="majorHAnsi" w:cs="Courier New"/>
          <w:b w:val="0"/>
          <w:caps w:val="0"/>
          <w:sz w:val="20"/>
        </w:rPr>
        <w:t xml:space="preserve"> </w:t>
      </w:r>
      <w:proofErr w:type="spellStart"/>
      <w:r w:rsidRPr="00C56C00">
        <w:rPr>
          <w:rFonts w:asciiTheme="majorHAnsi" w:hAnsiTheme="majorHAnsi" w:cs="Courier New"/>
          <w:b w:val="0"/>
          <w:caps w:val="0"/>
          <w:sz w:val="20"/>
        </w:rPr>
        <w:t>kroky</w:t>
      </w:r>
      <w:proofErr w:type="spellEnd"/>
      <w:r w:rsidRPr="00C56C00">
        <w:rPr>
          <w:rFonts w:asciiTheme="majorHAnsi" w:hAnsiTheme="majorHAnsi" w:cs="Courier New"/>
          <w:b w:val="0"/>
          <w:caps w:val="0"/>
          <w:sz w:val="20"/>
        </w:rPr>
        <w:t xml:space="preserve"> </w:t>
      </w:r>
      <w:proofErr w:type="spellStart"/>
      <w:r w:rsidRPr="00C56C00">
        <w:rPr>
          <w:rFonts w:asciiTheme="majorHAnsi" w:hAnsiTheme="majorHAnsi" w:cs="Courier New"/>
          <w:b w:val="0"/>
          <w:caps w:val="0"/>
          <w:sz w:val="20"/>
        </w:rPr>
        <w:t>na</w:t>
      </w:r>
      <w:proofErr w:type="spellEnd"/>
      <w:r w:rsidRPr="00C56C00">
        <w:rPr>
          <w:rFonts w:asciiTheme="majorHAnsi" w:hAnsiTheme="majorHAnsi" w:cs="Courier New"/>
          <w:b w:val="0"/>
          <w:caps w:val="0"/>
          <w:sz w:val="20"/>
        </w:rPr>
        <w:t xml:space="preserve"> </w:t>
      </w:r>
      <w:proofErr w:type="spellStart"/>
      <w:r w:rsidRPr="00C56C00">
        <w:rPr>
          <w:rFonts w:asciiTheme="majorHAnsi" w:hAnsiTheme="majorHAnsi" w:cs="Courier New"/>
          <w:b w:val="0"/>
          <w:caps w:val="0"/>
          <w:sz w:val="20"/>
        </w:rPr>
        <w:t>odstránenie</w:t>
      </w:r>
      <w:proofErr w:type="spellEnd"/>
      <w:r w:rsidRPr="00C56C00">
        <w:rPr>
          <w:rFonts w:asciiTheme="majorHAnsi" w:hAnsiTheme="majorHAnsi" w:cs="Courier New"/>
          <w:b w:val="0"/>
          <w:caps w:val="0"/>
          <w:sz w:val="20"/>
        </w:rPr>
        <w:t xml:space="preserve"> </w:t>
      </w:r>
      <w:proofErr w:type="spellStart"/>
      <w:r w:rsidRPr="00C56C00">
        <w:rPr>
          <w:rFonts w:asciiTheme="majorHAnsi" w:hAnsiTheme="majorHAnsi" w:cs="Courier New"/>
          <w:b w:val="0"/>
          <w:caps w:val="0"/>
          <w:sz w:val="20"/>
        </w:rPr>
        <w:t>rozdielov</w:t>
      </w:r>
      <w:proofErr w:type="spellEnd"/>
      <w:r w:rsidRPr="00C56C00">
        <w:rPr>
          <w:rFonts w:asciiTheme="majorHAnsi" w:hAnsiTheme="majorHAnsi" w:cs="Courier New"/>
          <w:b w:val="0"/>
          <w:caps w:val="0"/>
          <w:sz w:val="20"/>
        </w:rPr>
        <w:t xml:space="preserve"> v </w:t>
      </w:r>
      <w:proofErr w:type="spellStart"/>
      <w:r w:rsidRPr="00C56C00">
        <w:rPr>
          <w:rFonts w:asciiTheme="majorHAnsi" w:hAnsiTheme="majorHAnsi" w:cs="Courier New"/>
          <w:b w:val="0"/>
          <w:caps w:val="0"/>
          <w:sz w:val="20"/>
        </w:rPr>
        <w:t>odmeňovaní</w:t>
      </w:r>
      <w:proofErr w:type="spellEnd"/>
      <w:r w:rsidRPr="00C56C00">
        <w:rPr>
          <w:rFonts w:asciiTheme="majorHAnsi" w:hAnsiTheme="majorHAnsi" w:cs="Courier New"/>
          <w:b w:val="0"/>
          <w:caps w:val="0"/>
          <w:sz w:val="20"/>
        </w:rPr>
        <w:t xml:space="preserve"> </w:t>
      </w:r>
      <w:proofErr w:type="spellStart"/>
      <w:r w:rsidRPr="00C56C00">
        <w:rPr>
          <w:rFonts w:asciiTheme="majorHAnsi" w:hAnsiTheme="majorHAnsi" w:cs="Courier New"/>
          <w:b w:val="0"/>
          <w:caps w:val="0"/>
          <w:sz w:val="20"/>
        </w:rPr>
        <w:t>mužov</w:t>
      </w:r>
      <w:proofErr w:type="spellEnd"/>
      <w:r w:rsidRPr="00C56C00">
        <w:rPr>
          <w:rFonts w:asciiTheme="majorHAnsi" w:hAnsiTheme="majorHAnsi" w:cs="Courier New"/>
          <w:b w:val="0"/>
          <w:caps w:val="0"/>
          <w:sz w:val="20"/>
        </w:rPr>
        <w:t xml:space="preserve"> a </w:t>
      </w:r>
      <w:proofErr w:type="spellStart"/>
      <w:r w:rsidRPr="00C56C00">
        <w:rPr>
          <w:rFonts w:asciiTheme="majorHAnsi" w:hAnsiTheme="majorHAnsi" w:cs="Courier New"/>
          <w:b w:val="0"/>
          <w:caps w:val="0"/>
          <w:sz w:val="20"/>
        </w:rPr>
        <w:t>žien</w:t>
      </w:r>
      <w:proofErr w:type="spellEnd"/>
      <w:r w:rsidRPr="00C56C00">
        <w:rPr>
          <w:rFonts w:asciiTheme="majorHAnsi" w:hAnsiTheme="majorHAnsi" w:cs="Courier New"/>
          <w:b w:val="0"/>
          <w:caps w:val="0"/>
          <w:sz w:val="20"/>
        </w:rPr>
        <w:t xml:space="preserve">, </w:t>
      </w:r>
      <w:proofErr w:type="spellStart"/>
      <w:r w:rsidRPr="00C56C00">
        <w:rPr>
          <w:rFonts w:asciiTheme="majorHAnsi" w:hAnsiTheme="majorHAnsi" w:cs="Courier New"/>
          <w:b w:val="0"/>
          <w:caps w:val="0"/>
          <w:sz w:val="20"/>
        </w:rPr>
        <w:t>tlačová</w:t>
      </w:r>
      <w:proofErr w:type="spellEnd"/>
      <w:r w:rsidRPr="00C56C00">
        <w:rPr>
          <w:rFonts w:asciiTheme="majorHAnsi" w:hAnsiTheme="majorHAnsi" w:cs="Courier New"/>
          <w:b w:val="0"/>
          <w:caps w:val="0"/>
          <w:sz w:val="20"/>
        </w:rPr>
        <w:t xml:space="preserve"> </w:t>
      </w:r>
      <w:proofErr w:type="spellStart"/>
      <w:r w:rsidRPr="00C56C00">
        <w:rPr>
          <w:rFonts w:asciiTheme="majorHAnsi" w:hAnsiTheme="majorHAnsi" w:cs="Courier New"/>
          <w:b w:val="0"/>
          <w:caps w:val="0"/>
          <w:sz w:val="20"/>
        </w:rPr>
        <w:t>správa</w:t>
      </w:r>
      <w:proofErr w:type="spellEnd"/>
      <w:r w:rsidRPr="00C56C00">
        <w:rPr>
          <w:rFonts w:asciiTheme="majorHAnsi" w:hAnsiTheme="majorHAnsi" w:cs="Courier New"/>
          <w:b w:val="0"/>
          <w:caps w:val="0"/>
          <w:sz w:val="20"/>
        </w:rPr>
        <w:t xml:space="preserve">, IP/07/1115, </w:t>
      </w:r>
      <w:proofErr w:type="spellStart"/>
      <w:r w:rsidRPr="00C56C00">
        <w:rPr>
          <w:rFonts w:asciiTheme="majorHAnsi" w:hAnsiTheme="majorHAnsi" w:cs="Courier New"/>
          <w:b w:val="0"/>
          <w:caps w:val="0"/>
          <w:sz w:val="20"/>
        </w:rPr>
        <w:t>Brusel</w:t>
      </w:r>
      <w:proofErr w:type="spellEnd"/>
      <w:r w:rsidRPr="00C56C00">
        <w:rPr>
          <w:rFonts w:asciiTheme="majorHAnsi" w:hAnsiTheme="majorHAnsi" w:cs="Courier New"/>
          <w:b w:val="0"/>
          <w:caps w:val="0"/>
          <w:sz w:val="20"/>
        </w:rPr>
        <w:t xml:space="preserve">, 18. </w:t>
      </w:r>
      <w:proofErr w:type="spellStart"/>
      <w:r w:rsidRPr="00C56C00">
        <w:rPr>
          <w:rFonts w:asciiTheme="majorHAnsi" w:hAnsiTheme="majorHAnsi" w:cs="Courier New"/>
          <w:b w:val="0"/>
          <w:caps w:val="0"/>
          <w:sz w:val="20"/>
        </w:rPr>
        <w:t>júla</w:t>
      </w:r>
      <w:proofErr w:type="spellEnd"/>
      <w:r w:rsidRPr="00C56C00">
        <w:rPr>
          <w:rFonts w:asciiTheme="majorHAnsi" w:hAnsiTheme="majorHAnsi" w:cs="Courier New"/>
          <w:b w:val="0"/>
          <w:caps w:val="0"/>
          <w:sz w:val="20"/>
        </w:rPr>
        <w:t xml:space="preserve"> 2007</w:t>
      </w:r>
      <w:r w:rsidRPr="00C56C00">
        <w:rPr>
          <w:rFonts w:asciiTheme="majorHAnsi" w:hAnsiTheme="majorHAnsi" w:cs="Courier New"/>
          <w:sz w:val="20"/>
        </w:rPr>
        <w:t xml:space="preserve"> </w:t>
      </w:r>
    </w:p>
  </w:endnote>
  <w:endnote w:id="28">
    <w:p w:rsidR="00D554C0" w:rsidRPr="00C56C00" w:rsidRDefault="00D554C0" w:rsidP="00DB3771">
      <w:pPr>
        <w:pStyle w:val="Textvysvetlivky"/>
        <w:spacing w:before="120"/>
        <w:rPr>
          <w:rFonts w:cs="Courier New"/>
        </w:rPr>
      </w:pPr>
      <w:r w:rsidRPr="00C56C00">
        <w:rPr>
          <w:rStyle w:val="Odkaznavysvetlivku"/>
          <w:rFonts w:cs="Courier New"/>
        </w:rPr>
        <w:endnoteRef/>
      </w:r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Tamtiež</w:t>
      </w:r>
      <w:proofErr w:type="spellEnd"/>
    </w:p>
  </w:endnote>
  <w:endnote w:id="29">
    <w:p w:rsidR="00D554C0" w:rsidRPr="00C56C00" w:rsidRDefault="00D554C0" w:rsidP="00DA23D9">
      <w:pPr>
        <w:pStyle w:val="Textvysvetlivky"/>
        <w:spacing w:before="120"/>
        <w:rPr>
          <w:rFonts w:cs="Courier New"/>
        </w:rPr>
      </w:pPr>
      <w:r w:rsidRPr="00C56C00">
        <w:rPr>
          <w:rStyle w:val="Odkaznavysvetlivku"/>
          <w:rFonts w:cs="Courier New"/>
        </w:rPr>
        <w:endnoteRef/>
      </w:r>
      <w:r w:rsidRPr="00C56C00">
        <w:rPr>
          <w:rFonts w:cs="Courier New"/>
        </w:rPr>
        <w:t xml:space="preserve"> Tlačová sp</w:t>
      </w:r>
      <w:r>
        <w:rPr>
          <w:rFonts w:cs="Courier New"/>
        </w:rPr>
        <w:t xml:space="preserve">ráva komisára </w:t>
      </w:r>
      <w:proofErr w:type="spellStart"/>
      <w:r>
        <w:rPr>
          <w:rFonts w:cs="Courier New"/>
        </w:rPr>
        <w:t>Špidlu</w:t>
      </w:r>
      <w:proofErr w:type="spellEnd"/>
      <w:r>
        <w:rPr>
          <w:rFonts w:cs="Courier New"/>
        </w:rPr>
        <w:t>, viď para 27</w:t>
      </w:r>
    </w:p>
  </w:endnote>
  <w:endnote w:id="30">
    <w:p w:rsidR="00D554C0" w:rsidRPr="00C56C00" w:rsidRDefault="00D554C0" w:rsidP="00DA23D9">
      <w:pPr>
        <w:pStyle w:val="Textvysvetlivky"/>
        <w:spacing w:before="120"/>
        <w:rPr>
          <w:rFonts w:cs="Courier New"/>
        </w:rPr>
      </w:pPr>
      <w:r w:rsidRPr="00C56C00">
        <w:rPr>
          <w:rStyle w:val="Odkaznavysvetlivku"/>
          <w:rFonts w:cs="Courier New"/>
        </w:rPr>
        <w:endnoteRef/>
      </w:r>
      <w:r w:rsidRPr="00C56C00">
        <w:rPr>
          <w:rFonts w:cs="Courier New"/>
        </w:rPr>
        <w:t xml:space="preserve"> Tlačová správa k</w:t>
      </w:r>
      <w:r>
        <w:rPr>
          <w:rFonts w:cs="Courier New"/>
        </w:rPr>
        <w:t xml:space="preserve">omisára </w:t>
      </w:r>
      <w:proofErr w:type="spellStart"/>
      <w:r>
        <w:rPr>
          <w:rFonts w:cs="Courier New"/>
        </w:rPr>
        <w:t>Špidlu</w:t>
      </w:r>
      <w:proofErr w:type="spellEnd"/>
      <w:r>
        <w:rPr>
          <w:rFonts w:cs="Courier New"/>
        </w:rPr>
        <w:t>, viď para 27</w:t>
      </w:r>
    </w:p>
  </w:endnote>
  <w:endnote w:id="31">
    <w:p w:rsidR="00D554C0" w:rsidRPr="00C56C00" w:rsidRDefault="00D554C0" w:rsidP="00F31B3D">
      <w:pPr>
        <w:pStyle w:val="Textvysvetlivky"/>
        <w:spacing w:before="120"/>
        <w:rPr>
          <w:rFonts w:cs="Courier New"/>
        </w:rPr>
      </w:pPr>
      <w:r w:rsidRPr="00C56C00">
        <w:rPr>
          <w:rStyle w:val="Odkaznavysvetlivku"/>
          <w:rFonts w:cs="Courier New"/>
        </w:rPr>
        <w:endnoteRef/>
      </w:r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Becker</w:t>
      </w:r>
      <w:proofErr w:type="spellEnd"/>
      <w:r w:rsidRPr="00C56C00">
        <w:rPr>
          <w:rFonts w:cs="Courier New"/>
        </w:rPr>
        <w:t xml:space="preserve">, </w:t>
      </w:r>
      <w:proofErr w:type="spellStart"/>
      <w:r w:rsidRPr="00C56C00">
        <w:rPr>
          <w:rFonts w:cs="Courier New"/>
        </w:rPr>
        <w:t>Gary</w:t>
      </w:r>
      <w:proofErr w:type="spellEnd"/>
      <w:r w:rsidRPr="00C56C00">
        <w:rPr>
          <w:rFonts w:cs="Courier New"/>
        </w:rPr>
        <w:t xml:space="preserve"> S.: </w:t>
      </w:r>
      <w:proofErr w:type="spellStart"/>
      <w:r w:rsidRPr="00C56C00">
        <w:rPr>
          <w:rFonts w:cs="Courier New"/>
          <w:i/>
        </w:rPr>
        <w:t>Teorie</w:t>
      </w:r>
      <w:proofErr w:type="spellEnd"/>
      <w:r w:rsidRPr="00C56C00">
        <w:rPr>
          <w:rFonts w:cs="Courier New"/>
          <w:i/>
        </w:rPr>
        <w:t xml:space="preserve"> preferencií</w:t>
      </w:r>
      <w:r w:rsidRPr="00C56C00">
        <w:rPr>
          <w:rFonts w:cs="Courier New"/>
        </w:rPr>
        <w:t xml:space="preserve">. Praha: </w:t>
      </w:r>
      <w:proofErr w:type="spellStart"/>
      <w:r w:rsidRPr="00C56C00">
        <w:rPr>
          <w:rFonts w:cs="Courier New"/>
        </w:rPr>
        <w:t>Grada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Publishing</w:t>
      </w:r>
      <w:proofErr w:type="spellEnd"/>
      <w:r w:rsidRPr="00C56C00">
        <w:rPr>
          <w:rFonts w:cs="Courier New"/>
        </w:rPr>
        <w:t xml:space="preserve">, </w:t>
      </w:r>
      <w:proofErr w:type="spellStart"/>
      <w:r w:rsidRPr="00C56C00">
        <w:rPr>
          <w:rFonts w:cs="Courier New"/>
        </w:rPr>
        <w:t>Liberální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institut</w:t>
      </w:r>
      <w:proofErr w:type="spellEnd"/>
      <w:r w:rsidRPr="00C56C00">
        <w:rPr>
          <w:rFonts w:cs="Courier New"/>
        </w:rPr>
        <w:t xml:space="preserve"> 1997</w:t>
      </w:r>
    </w:p>
  </w:endnote>
  <w:endnote w:id="32">
    <w:p w:rsidR="00D554C0" w:rsidRPr="00C56C00" w:rsidRDefault="00D554C0" w:rsidP="00F31B3D">
      <w:pPr>
        <w:autoSpaceDE w:val="0"/>
        <w:autoSpaceDN w:val="0"/>
        <w:adjustRightInd w:val="0"/>
        <w:spacing w:before="120"/>
        <w:rPr>
          <w:rFonts w:asciiTheme="majorHAnsi" w:hAnsiTheme="majorHAnsi" w:cs="Courier New"/>
          <w:sz w:val="20"/>
          <w:szCs w:val="20"/>
        </w:rPr>
      </w:pPr>
      <w:r w:rsidRPr="00C56C00">
        <w:rPr>
          <w:rStyle w:val="Odkaznavysvetlivku"/>
          <w:rFonts w:asciiTheme="majorHAnsi" w:hAnsiTheme="majorHAnsi" w:cs="Courier New"/>
          <w:sz w:val="20"/>
          <w:szCs w:val="20"/>
        </w:rPr>
        <w:endnoteRef/>
      </w:r>
      <w:r w:rsidRPr="00C56C00">
        <w:rPr>
          <w:rFonts w:asciiTheme="majorHAnsi" w:hAnsiTheme="majorHAnsi" w:cs="Courier New"/>
          <w:sz w:val="20"/>
          <w:szCs w:val="20"/>
        </w:rPr>
        <w:t xml:space="preserve"> </w:t>
      </w:r>
      <w:proofErr w:type="spellStart"/>
      <w:r w:rsidRPr="00C56C00">
        <w:rPr>
          <w:rFonts w:asciiTheme="majorHAnsi" w:hAnsiTheme="majorHAnsi" w:cs="Courier New"/>
          <w:sz w:val="20"/>
          <w:szCs w:val="20"/>
        </w:rPr>
        <w:t>Becker</w:t>
      </w:r>
      <w:proofErr w:type="spellEnd"/>
      <w:r w:rsidRPr="00C56C00">
        <w:rPr>
          <w:rFonts w:asciiTheme="majorHAnsi" w:hAnsiTheme="majorHAnsi" w:cs="Courier New"/>
          <w:sz w:val="20"/>
          <w:szCs w:val="20"/>
        </w:rPr>
        <w:t xml:space="preserve">, </w:t>
      </w:r>
      <w:proofErr w:type="spellStart"/>
      <w:r w:rsidRPr="00C56C00">
        <w:rPr>
          <w:rFonts w:asciiTheme="majorHAnsi" w:hAnsiTheme="majorHAnsi" w:cs="Courier New"/>
          <w:sz w:val="20"/>
          <w:szCs w:val="20"/>
        </w:rPr>
        <w:t>Gary</w:t>
      </w:r>
      <w:proofErr w:type="spellEnd"/>
      <w:r w:rsidRPr="00C56C00">
        <w:rPr>
          <w:rFonts w:asciiTheme="majorHAnsi" w:hAnsiTheme="majorHAnsi" w:cs="Courier New"/>
          <w:sz w:val="20"/>
          <w:szCs w:val="20"/>
        </w:rPr>
        <w:t xml:space="preserve"> S.: </w:t>
      </w:r>
      <w:proofErr w:type="spellStart"/>
      <w:r w:rsidRPr="00C56C00">
        <w:rPr>
          <w:rFonts w:asciiTheme="majorHAnsi" w:hAnsiTheme="majorHAnsi" w:cs="Courier New"/>
          <w:i/>
          <w:sz w:val="20"/>
          <w:szCs w:val="20"/>
        </w:rPr>
        <w:t>The</w:t>
      </w:r>
      <w:proofErr w:type="spellEnd"/>
      <w:r w:rsidRPr="00C56C00">
        <w:rPr>
          <w:rFonts w:asciiTheme="majorHAnsi" w:hAnsiTheme="majorHAnsi" w:cs="Courier New"/>
          <w:i/>
          <w:sz w:val="20"/>
          <w:szCs w:val="20"/>
        </w:rPr>
        <w:t xml:space="preserve"> </w:t>
      </w:r>
      <w:proofErr w:type="spellStart"/>
      <w:r w:rsidRPr="00C56C00">
        <w:rPr>
          <w:rFonts w:asciiTheme="majorHAnsi" w:hAnsiTheme="majorHAnsi" w:cs="Courier New"/>
          <w:i/>
          <w:sz w:val="20"/>
          <w:szCs w:val="20"/>
        </w:rPr>
        <w:t>Economic</w:t>
      </w:r>
      <w:proofErr w:type="spellEnd"/>
      <w:r w:rsidRPr="00C56C00">
        <w:rPr>
          <w:rFonts w:asciiTheme="majorHAnsi" w:hAnsiTheme="majorHAnsi" w:cs="Courier New"/>
          <w:i/>
          <w:sz w:val="20"/>
          <w:szCs w:val="20"/>
        </w:rPr>
        <w:t xml:space="preserve"> </w:t>
      </w:r>
      <w:proofErr w:type="spellStart"/>
      <w:r w:rsidRPr="00C56C00">
        <w:rPr>
          <w:rFonts w:asciiTheme="majorHAnsi" w:hAnsiTheme="majorHAnsi" w:cs="Courier New"/>
          <w:i/>
          <w:sz w:val="20"/>
          <w:szCs w:val="20"/>
        </w:rPr>
        <w:t>Way</w:t>
      </w:r>
      <w:proofErr w:type="spellEnd"/>
      <w:r w:rsidRPr="00C56C00">
        <w:rPr>
          <w:rFonts w:asciiTheme="majorHAnsi" w:hAnsiTheme="majorHAnsi" w:cs="Courier New"/>
          <w:i/>
          <w:sz w:val="20"/>
          <w:szCs w:val="20"/>
        </w:rPr>
        <w:t xml:space="preserve"> </w:t>
      </w:r>
      <w:proofErr w:type="spellStart"/>
      <w:r w:rsidRPr="00C56C00">
        <w:rPr>
          <w:rFonts w:asciiTheme="majorHAnsi" w:hAnsiTheme="majorHAnsi" w:cs="Courier New"/>
          <w:i/>
          <w:sz w:val="20"/>
          <w:szCs w:val="20"/>
        </w:rPr>
        <w:t>of</w:t>
      </w:r>
      <w:proofErr w:type="spellEnd"/>
      <w:r w:rsidRPr="00C56C00">
        <w:rPr>
          <w:rFonts w:asciiTheme="majorHAnsi" w:hAnsiTheme="majorHAnsi" w:cs="Courier New"/>
          <w:i/>
          <w:sz w:val="20"/>
          <w:szCs w:val="20"/>
        </w:rPr>
        <w:t xml:space="preserve"> </w:t>
      </w:r>
      <w:proofErr w:type="spellStart"/>
      <w:r w:rsidRPr="00C56C00">
        <w:rPr>
          <w:rFonts w:asciiTheme="majorHAnsi" w:hAnsiTheme="majorHAnsi" w:cs="Courier New"/>
          <w:i/>
          <w:sz w:val="20"/>
          <w:szCs w:val="20"/>
        </w:rPr>
        <w:t>Looking</w:t>
      </w:r>
      <w:proofErr w:type="spellEnd"/>
      <w:r w:rsidRPr="00C56C00">
        <w:rPr>
          <w:rFonts w:asciiTheme="majorHAnsi" w:hAnsiTheme="majorHAnsi" w:cs="Courier New"/>
          <w:i/>
          <w:sz w:val="20"/>
          <w:szCs w:val="20"/>
        </w:rPr>
        <w:t xml:space="preserve"> at </w:t>
      </w:r>
      <w:proofErr w:type="spellStart"/>
      <w:r w:rsidRPr="00C56C00">
        <w:rPr>
          <w:rFonts w:asciiTheme="majorHAnsi" w:hAnsiTheme="majorHAnsi" w:cs="Courier New"/>
          <w:i/>
          <w:sz w:val="20"/>
          <w:szCs w:val="20"/>
        </w:rPr>
        <w:t>Life</w:t>
      </w:r>
      <w:proofErr w:type="spellEnd"/>
      <w:r w:rsidRPr="00C56C00">
        <w:rPr>
          <w:rFonts w:asciiTheme="majorHAnsi" w:hAnsiTheme="majorHAnsi" w:cs="Courier New"/>
          <w:sz w:val="20"/>
          <w:szCs w:val="20"/>
        </w:rPr>
        <w:t xml:space="preserve">, </w:t>
      </w:r>
      <w:proofErr w:type="spellStart"/>
      <w:r w:rsidRPr="00C56C00">
        <w:rPr>
          <w:rFonts w:asciiTheme="majorHAnsi" w:hAnsiTheme="majorHAnsi" w:cs="Courier New"/>
          <w:sz w:val="20"/>
          <w:szCs w:val="20"/>
        </w:rPr>
        <w:t>Nobel</w:t>
      </w:r>
      <w:proofErr w:type="spellEnd"/>
      <w:r w:rsidRPr="00C56C00">
        <w:rPr>
          <w:rFonts w:asciiTheme="majorHAnsi" w:hAnsiTheme="majorHAnsi" w:cs="Courier New"/>
          <w:sz w:val="20"/>
          <w:szCs w:val="20"/>
        </w:rPr>
        <w:t xml:space="preserve"> </w:t>
      </w:r>
      <w:proofErr w:type="spellStart"/>
      <w:r w:rsidRPr="00C56C00">
        <w:rPr>
          <w:rFonts w:asciiTheme="majorHAnsi" w:hAnsiTheme="majorHAnsi" w:cs="Courier New"/>
          <w:sz w:val="20"/>
          <w:szCs w:val="20"/>
        </w:rPr>
        <w:t>Lecture</w:t>
      </w:r>
      <w:proofErr w:type="spellEnd"/>
      <w:r w:rsidRPr="00C56C00">
        <w:rPr>
          <w:rFonts w:asciiTheme="majorHAnsi" w:hAnsiTheme="majorHAnsi" w:cs="Courier New"/>
          <w:sz w:val="20"/>
          <w:szCs w:val="20"/>
        </w:rPr>
        <w:t xml:space="preserve">, December 9, 1992, Department </w:t>
      </w:r>
      <w:proofErr w:type="spellStart"/>
      <w:r w:rsidRPr="00C56C00">
        <w:rPr>
          <w:rFonts w:asciiTheme="majorHAnsi" w:hAnsiTheme="majorHAnsi" w:cs="Courier New"/>
          <w:sz w:val="20"/>
          <w:szCs w:val="20"/>
        </w:rPr>
        <w:t>of</w:t>
      </w:r>
      <w:proofErr w:type="spellEnd"/>
      <w:r w:rsidRPr="00C56C00">
        <w:rPr>
          <w:rFonts w:asciiTheme="majorHAnsi" w:hAnsiTheme="majorHAnsi" w:cs="Courier New"/>
          <w:sz w:val="20"/>
          <w:szCs w:val="20"/>
        </w:rPr>
        <w:t xml:space="preserve"> </w:t>
      </w:r>
      <w:proofErr w:type="spellStart"/>
      <w:r w:rsidRPr="00C56C00">
        <w:rPr>
          <w:rFonts w:asciiTheme="majorHAnsi" w:hAnsiTheme="majorHAnsi" w:cs="Courier New"/>
          <w:sz w:val="20"/>
          <w:szCs w:val="20"/>
        </w:rPr>
        <w:t>Economics</w:t>
      </w:r>
      <w:proofErr w:type="spellEnd"/>
      <w:r w:rsidRPr="00C56C00">
        <w:rPr>
          <w:rFonts w:asciiTheme="majorHAnsi" w:hAnsiTheme="majorHAnsi" w:cs="Courier New"/>
          <w:sz w:val="20"/>
          <w:szCs w:val="20"/>
        </w:rPr>
        <w:t xml:space="preserve">, </w:t>
      </w:r>
      <w:proofErr w:type="spellStart"/>
      <w:r w:rsidRPr="00C56C00">
        <w:rPr>
          <w:rFonts w:asciiTheme="majorHAnsi" w:hAnsiTheme="majorHAnsi" w:cs="Courier New"/>
          <w:sz w:val="20"/>
          <w:szCs w:val="20"/>
        </w:rPr>
        <w:t>University</w:t>
      </w:r>
      <w:proofErr w:type="spellEnd"/>
      <w:r w:rsidRPr="00C56C00">
        <w:rPr>
          <w:rFonts w:asciiTheme="majorHAnsi" w:hAnsiTheme="majorHAnsi" w:cs="Courier New"/>
          <w:sz w:val="20"/>
          <w:szCs w:val="20"/>
        </w:rPr>
        <w:t xml:space="preserve"> </w:t>
      </w:r>
      <w:proofErr w:type="spellStart"/>
      <w:r w:rsidRPr="00C56C00">
        <w:rPr>
          <w:rFonts w:asciiTheme="majorHAnsi" w:hAnsiTheme="majorHAnsi" w:cs="Courier New"/>
          <w:sz w:val="20"/>
          <w:szCs w:val="20"/>
        </w:rPr>
        <w:t>of</w:t>
      </w:r>
      <w:proofErr w:type="spellEnd"/>
      <w:r w:rsidRPr="00C56C00">
        <w:rPr>
          <w:rFonts w:asciiTheme="majorHAnsi" w:hAnsiTheme="majorHAnsi" w:cs="Courier New"/>
          <w:sz w:val="20"/>
          <w:szCs w:val="20"/>
        </w:rPr>
        <w:t xml:space="preserve"> Chicago, Chicago, IL. 60637, USA</w:t>
      </w:r>
    </w:p>
  </w:endnote>
  <w:endnote w:id="33">
    <w:p w:rsidR="00D554C0" w:rsidRPr="00C56C00" w:rsidRDefault="00D554C0" w:rsidP="00F31B3D">
      <w:pPr>
        <w:pStyle w:val="Textvysvetlivky"/>
        <w:spacing w:before="120"/>
        <w:rPr>
          <w:rFonts w:cs="Courier New"/>
        </w:rPr>
      </w:pPr>
      <w:r w:rsidRPr="00C56C00">
        <w:rPr>
          <w:rStyle w:val="Odkaznavysvetlivku"/>
          <w:rFonts w:cs="Courier New"/>
        </w:rPr>
        <w:endnoteRef/>
      </w:r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Tamtiež</w:t>
      </w:r>
      <w:proofErr w:type="spellEnd"/>
    </w:p>
  </w:endnote>
  <w:endnote w:id="34">
    <w:p w:rsidR="00D554C0" w:rsidRPr="00C56C00" w:rsidRDefault="00D554C0" w:rsidP="00F31B3D">
      <w:pPr>
        <w:pStyle w:val="Textvysvetlivky"/>
        <w:spacing w:before="120"/>
        <w:rPr>
          <w:rFonts w:cs="Courier New"/>
        </w:rPr>
      </w:pPr>
      <w:r w:rsidRPr="00C56C00">
        <w:rPr>
          <w:rStyle w:val="Odkaznavysvetlivku"/>
          <w:rFonts w:cs="Courier New"/>
        </w:rPr>
        <w:endnoteRef/>
      </w:r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  <w:lang w:val="en"/>
        </w:rPr>
        <w:t>Blau</w:t>
      </w:r>
      <w:proofErr w:type="spellEnd"/>
      <w:r w:rsidRPr="00C56C00">
        <w:rPr>
          <w:rFonts w:cs="Courier New"/>
          <w:lang w:val="en"/>
        </w:rPr>
        <w:t xml:space="preserve">, Francine and Lawrence Kahn (1997). "Swimming Upstream: Trends in the Gender Wage Differential in the 1980s." </w:t>
      </w:r>
      <w:r w:rsidRPr="00C56C00">
        <w:rPr>
          <w:rFonts w:cs="Courier New"/>
          <w:i/>
          <w:iCs/>
          <w:lang w:val="en"/>
        </w:rPr>
        <w:t>Journal of Labor Economics</w:t>
      </w:r>
      <w:r w:rsidRPr="00C56C00">
        <w:rPr>
          <w:rFonts w:cs="Courier New"/>
          <w:lang w:val="en"/>
        </w:rPr>
        <w:t>, volume 15 (1), part 1, January 1997</w:t>
      </w:r>
    </w:p>
  </w:endnote>
  <w:endnote w:id="35">
    <w:p w:rsidR="00D554C0" w:rsidRPr="00C56C00" w:rsidRDefault="00D554C0" w:rsidP="00F31B3D">
      <w:pPr>
        <w:pStyle w:val="Textvysvetlivky"/>
        <w:spacing w:before="120"/>
        <w:rPr>
          <w:rFonts w:cs="Courier New"/>
        </w:rPr>
      </w:pPr>
      <w:r w:rsidRPr="00C56C00">
        <w:rPr>
          <w:rStyle w:val="Odkaznavysvetlivku"/>
          <w:rFonts w:cs="Courier New"/>
        </w:rPr>
        <w:endnoteRef/>
      </w:r>
      <w:r w:rsidRPr="00C56C00">
        <w:rPr>
          <w:rFonts w:cs="Courier New"/>
        </w:rPr>
        <w:t xml:space="preserve"> </w:t>
      </w:r>
      <w:r w:rsidRPr="00C56C00">
        <w:rPr>
          <w:rFonts w:cs="Courier New"/>
          <w:lang w:val="en"/>
        </w:rPr>
        <w:t xml:space="preserve">Wood, Robert, Mary Corcoran, and Paul Courant (1993). "Pay Differences Among the Highly Paid: the male-female earnings gap in lawyers' salaries." </w:t>
      </w:r>
      <w:r w:rsidRPr="00C56C00">
        <w:rPr>
          <w:rFonts w:cs="Courier New"/>
          <w:i/>
          <w:iCs/>
          <w:lang w:val="en"/>
        </w:rPr>
        <w:t>Journal of Labor Economics</w:t>
      </w:r>
      <w:r w:rsidRPr="00C56C00">
        <w:rPr>
          <w:rFonts w:cs="Courier New"/>
          <w:lang w:val="en"/>
        </w:rPr>
        <w:t>, volume 11 (3),</w:t>
      </w:r>
    </w:p>
  </w:endnote>
  <w:endnote w:id="36">
    <w:p w:rsidR="00D554C0" w:rsidRPr="00C56C00" w:rsidRDefault="00D554C0" w:rsidP="00F31B3D">
      <w:pPr>
        <w:pStyle w:val="Textvysvetlivky"/>
        <w:spacing w:before="120"/>
        <w:rPr>
          <w:rFonts w:cs="Courier New"/>
        </w:rPr>
      </w:pPr>
      <w:r w:rsidRPr="00C56C00">
        <w:rPr>
          <w:rStyle w:val="Odkaznavysvetlivku"/>
          <w:rFonts w:cs="Courier New"/>
        </w:rPr>
        <w:endnoteRef/>
      </w:r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Olsen</w:t>
      </w:r>
      <w:proofErr w:type="spellEnd"/>
      <w:r w:rsidRPr="00C56C00">
        <w:rPr>
          <w:rFonts w:cs="Courier New"/>
        </w:rPr>
        <w:t xml:space="preserve">, </w:t>
      </w:r>
      <w:proofErr w:type="spellStart"/>
      <w:r w:rsidRPr="00C56C00">
        <w:rPr>
          <w:rFonts w:cs="Courier New"/>
        </w:rPr>
        <w:t>Wendy</w:t>
      </w:r>
      <w:proofErr w:type="spellEnd"/>
      <w:r w:rsidRPr="00C56C00">
        <w:rPr>
          <w:rFonts w:cs="Courier New"/>
        </w:rPr>
        <w:t xml:space="preserve"> (</w:t>
      </w:r>
      <w:proofErr w:type="spellStart"/>
      <w:r w:rsidRPr="00C56C00">
        <w:rPr>
          <w:rFonts w:cs="Courier New"/>
        </w:rPr>
        <w:t>University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of</w:t>
      </w:r>
      <w:proofErr w:type="spellEnd"/>
      <w:r w:rsidRPr="00C56C00">
        <w:rPr>
          <w:rFonts w:cs="Courier New"/>
        </w:rPr>
        <w:t xml:space="preserve"> Manchester) and </w:t>
      </w:r>
      <w:proofErr w:type="spellStart"/>
      <w:r w:rsidRPr="00C56C00">
        <w:rPr>
          <w:rFonts w:cs="Courier New"/>
        </w:rPr>
        <w:t>Walby</w:t>
      </w:r>
      <w:proofErr w:type="spellEnd"/>
      <w:r w:rsidRPr="00C56C00">
        <w:rPr>
          <w:rFonts w:cs="Courier New"/>
        </w:rPr>
        <w:t>, Sylvia (</w:t>
      </w:r>
      <w:proofErr w:type="spellStart"/>
      <w:r w:rsidRPr="00C56C00">
        <w:rPr>
          <w:rFonts w:cs="Courier New"/>
        </w:rPr>
        <w:t>University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of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Leeds</w:t>
      </w:r>
      <w:proofErr w:type="spellEnd"/>
      <w:r w:rsidRPr="00C56C00">
        <w:rPr>
          <w:rFonts w:cs="Courier New"/>
        </w:rPr>
        <w:t xml:space="preserve">): </w:t>
      </w:r>
      <w:proofErr w:type="spellStart"/>
      <w:r w:rsidRPr="00C56C00">
        <w:rPr>
          <w:rFonts w:cs="Courier New"/>
          <w:i/>
        </w:rPr>
        <w:t>Modelling</w:t>
      </w:r>
      <w:proofErr w:type="spellEnd"/>
      <w:r w:rsidRPr="00C56C00">
        <w:rPr>
          <w:rFonts w:cs="Courier New"/>
          <w:i/>
        </w:rPr>
        <w:t xml:space="preserve"> </w:t>
      </w:r>
      <w:proofErr w:type="spellStart"/>
      <w:r w:rsidRPr="00C56C00">
        <w:rPr>
          <w:rFonts w:cs="Courier New"/>
          <w:i/>
        </w:rPr>
        <w:t>gender</w:t>
      </w:r>
      <w:proofErr w:type="spellEnd"/>
      <w:r w:rsidRPr="00C56C00">
        <w:rPr>
          <w:rFonts w:cs="Courier New"/>
          <w:i/>
        </w:rPr>
        <w:t xml:space="preserve"> </w:t>
      </w:r>
      <w:proofErr w:type="spellStart"/>
      <w:r w:rsidRPr="00C56C00">
        <w:rPr>
          <w:rFonts w:cs="Courier New"/>
          <w:i/>
        </w:rPr>
        <w:t>pay</w:t>
      </w:r>
      <w:proofErr w:type="spellEnd"/>
      <w:r w:rsidRPr="00C56C00">
        <w:rPr>
          <w:rFonts w:cs="Courier New"/>
          <w:i/>
        </w:rPr>
        <w:t xml:space="preserve"> </w:t>
      </w:r>
      <w:proofErr w:type="spellStart"/>
      <w:r w:rsidRPr="00C56C00">
        <w:rPr>
          <w:rFonts w:cs="Courier New"/>
          <w:i/>
        </w:rPr>
        <w:t>gaps</w:t>
      </w:r>
      <w:proofErr w:type="spellEnd"/>
      <w:r w:rsidRPr="00C56C00">
        <w:rPr>
          <w:rFonts w:cs="Courier New"/>
          <w:i/>
        </w:rPr>
        <w:t xml:space="preserve">, </w:t>
      </w:r>
      <w:r w:rsidRPr="00C56C00">
        <w:rPr>
          <w:rFonts w:cs="Courier New"/>
        </w:rPr>
        <w:t xml:space="preserve">UK </w:t>
      </w:r>
      <w:proofErr w:type="spellStart"/>
      <w:r w:rsidRPr="00C56C00">
        <w:rPr>
          <w:rFonts w:cs="Courier New"/>
        </w:rPr>
        <w:t>Equal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Opportunities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Commission</w:t>
      </w:r>
      <w:proofErr w:type="spellEnd"/>
      <w:r w:rsidRPr="00C56C00">
        <w:rPr>
          <w:rFonts w:cs="Courier New"/>
        </w:rPr>
        <w:t xml:space="preserve">, </w:t>
      </w:r>
      <w:proofErr w:type="spellStart"/>
      <w:r w:rsidRPr="00C56C00">
        <w:rPr>
          <w:rFonts w:cs="Courier New"/>
        </w:rPr>
        <w:t>London</w:t>
      </w:r>
      <w:proofErr w:type="spellEnd"/>
      <w:r w:rsidRPr="00C56C00">
        <w:rPr>
          <w:rFonts w:cs="Courier New"/>
        </w:rPr>
        <w:t>, 2004</w:t>
      </w:r>
    </w:p>
  </w:endnote>
  <w:endnote w:id="37">
    <w:p w:rsidR="00D554C0" w:rsidRPr="00C56C00" w:rsidRDefault="00D554C0" w:rsidP="00F31B3D">
      <w:pPr>
        <w:pStyle w:val="Textvysvetlivky"/>
        <w:spacing w:before="120"/>
        <w:rPr>
          <w:rFonts w:cs="Courier New"/>
        </w:rPr>
      </w:pPr>
      <w:r w:rsidRPr="00C56C00">
        <w:rPr>
          <w:rStyle w:val="Odkaznavysvetlivku"/>
          <w:rFonts w:cs="Courier New"/>
        </w:rPr>
        <w:endnoteRef/>
      </w:r>
      <w:r w:rsidRPr="00C56C00">
        <w:rPr>
          <w:rFonts w:cs="Courier New"/>
        </w:rPr>
        <w:t xml:space="preserve"> </w:t>
      </w:r>
      <w:proofErr w:type="spellStart"/>
      <w:r w:rsidRPr="00906BBC">
        <w:rPr>
          <w:rFonts w:cs="Courier New"/>
        </w:rPr>
        <w:t>Flückiger</w:t>
      </w:r>
      <w:proofErr w:type="spellEnd"/>
      <w:r w:rsidRPr="00906BBC">
        <w:rPr>
          <w:rFonts w:cs="Courier New"/>
        </w:rPr>
        <w:t xml:space="preserve"> </w:t>
      </w:r>
      <w:proofErr w:type="spellStart"/>
      <w:r w:rsidRPr="00906BBC">
        <w:rPr>
          <w:rFonts w:cs="Courier New"/>
        </w:rPr>
        <w:t>Yves</w:t>
      </w:r>
      <w:proofErr w:type="spellEnd"/>
      <w:r w:rsidRPr="00906BBC">
        <w:rPr>
          <w:rFonts w:cs="Courier New"/>
        </w:rPr>
        <w:t xml:space="preserve">, </w:t>
      </w:r>
      <w:proofErr w:type="spellStart"/>
      <w:r w:rsidRPr="00906BBC">
        <w:rPr>
          <w:rFonts w:cs="Courier New"/>
        </w:rPr>
        <w:t>Ramirez</w:t>
      </w:r>
      <w:proofErr w:type="spellEnd"/>
      <w:r w:rsidRPr="00906BBC">
        <w:rPr>
          <w:rFonts w:cs="Courier New"/>
        </w:rPr>
        <w:t xml:space="preserve"> José: </w:t>
      </w:r>
      <w:proofErr w:type="spellStart"/>
      <w:r w:rsidRPr="00EE0A94">
        <w:rPr>
          <w:rFonts w:cs="Courier New"/>
          <w:i/>
        </w:rPr>
        <w:t>Analyse</w:t>
      </w:r>
      <w:proofErr w:type="spellEnd"/>
      <w:r w:rsidRPr="00EE0A94">
        <w:rPr>
          <w:rFonts w:cs="Courier New"/>
          <w:i/>
        </w:rPr>
        <w:t xml:space="preserve"> </w:t>
      </w:r>
      <w:proofErr w:type="spellStart"/>
      <w:r w:rsidRPr="00EE0A94">
        <w:rPr>
          <w:rFonts w:cs="Courier New"/>
          <w:i/>
        </w:rPr>
        <w:t>comparative</w:t>
      </w:r>
      <w:proofErr w:type="spellEnd"/>
      <w:r w:rsidRPr="00EE0A94">
        <w:rPr>
          <w:rFonts w:cs="Courier New"/>
          <w:i/>
        </w:rPr>
        <w:t xml:space="preserve"> des </w:t>
      </w:r>
      <w:proofErr w:type="spellStart"/>
      <w:r w:rsidRPr="00EE0A94">
        <w:rPr>
          <w:rFonts w:cs="Courier New"/>
          <w:i/>
        </w:rPr>
        <w:t>salaires</w:t>
      </w:r>
      <w:proofErr w:type="spellEnd"/>
      <w:r w:rsidRPr="00EE0A94">
        <w:rPr>
          <w:rFonts w:cs="Courier New"/>
          <w:i/>
        </w:rPr>
        <w:t xml:space="preserve"> </w:t>
      </w:r>
      <w:proofErr w:type="spellStart"/>
      <w:r w:rsidRPr="00EE0A94">
        <w:rPr>
          <w:rFonts w:cs="Courier New"/>
          <w:i/>
        </w:rPr>
        <w:t>entre</w:t>
      </w:r>
      <w:proofErr w:type="spellEnd"/>
      <w:r w:rsidRPr="00EE0A94">
        <w:rPr>
          <w:rFonts w:cs="Courier New"/>
          <w:i/>
        </w:rPr>
        <w:t xml:space="preserve"> les </w:t>
      </w:r>
      <w:proofErr w:type="spellStart"/>
      <w:r w:rsidRPr="00EE0A94">
        <w:rPr>
          <w:rFonts w:cs="Courier New"/>
          <w:i/>
        </w:rPr>
        <w:t>hommes</w:t>
      </w:r>
      <w:proofErr w:type="spellEnd"/>
      <w:r w:rsidRPr="00EE0A94">
        <w:rPr>
          <w:rFonts w:cs="Courier New"/>
          <w:i/>
        </w:rPr>
        <w:t xml:space="preserve"> </w:t>
      </w:r>
      <w:proofErr w:type="spellStart"/>
      <w:r w:rsidRPr="00EE0A94">
        <w:rPr>
          <w:rFonts w:cs="Courier New"/>
          <w:i/>
        </w:rPr>
        <w:t>et</w:t>
      </w:r>
      <w:proofErr w:type="spellEnd"/>
      <w:r w:rsidRPr="00EE0A94">
        <w:rPr>
          <w:rFonts w:cs="Courier New"/>
          <w:i/>
        </w:rPr>
        <w:t xml:space="preserve"> les </w:t>
      </w:r>
      <w:proofErr w:type="spellStart"/>
      <w:r w:rsidRPr="00EE0A94">
        <w:rPr>
          <w:rFonts w:cs="Courier New"/>
          <w:i/>
        </w:rPr>
        <w:t>femmes</w:t>
      </w:r>
      <w:proofErr w:type="spellEnd"/>
      <w:r w:rsidRPr="00EE0A94">
        <w:rPr>
          <w:rFonts w:cs="Courier New"/>
          <w:i/>
        </w:rPr>
        <w:t xml:space="preserve"> </w:t>
      </w:r>
      <w:proofErr w:type="spellStart"/>
      <w:r w:rsidRPr="00EE0A94">
        <w:rPr>
          <w:rFonts w:cs="Courier New"/>
          <w:i/>
        </w:rPr>
        <w:t>sur</w:t>
      </w:r>
      <w:proofErr w:type="spellEnd"/>
      <w:r w:rsidRPr="00EE0A94">
        <w:rPr>
          <w:rFonts w:cs="Courier New"/>
          <w:i/>
        </w:rPr>
        <w:t xml:space="preserve"> la base </w:t>
      </w:r>
      <w:proofErr w:type="spellStart"/>
      <w:r w:rsidRPr="00EE0A94">
        <w:rPr>
          <w:rFonts w:cs="Courier New"/>
          <w:i/>
        </w:rPr>
        <w:t>de</w:t>
      </w:r>
      <w:proofErr w:type="spellEnd"/>
      <w:r w:rsidRPr="00EE0A94">
        <w:rPr>
          <w:rFonts w:cs="Courier New"/>
          <w:i/>
        </w:rPr>
        <w:t xml:space="preserve"> la LSE 1994 </w:t>
      </w:r>
      <w:proofErr w:type="spellStart"/>
      <w:r w:rsidRPr="00EE0A94">
        <w:rPr>
          <w:rFonts w:cs="Courier New"/>
          <w:i/>
        </w:rPr>
        <w:t>et</w:t>
      </w:r>
      <w:proofErr w:type="spellEnd"/>
      <w:r w:rsidRPr="00EE0A94">
        <w:rPr>
          <w:rFonts w:cs="Courier New"/>
          <w:i/>
        </w:rPr>
        <w:t xml:space="preserve"> 1996.</w:t>
      </w:r>
      <w:r w:rsidRPr="00906BBC">
        <w:rPr>
          <w:rFonts w:cs="Courier New"/>
        </w:rPr>
        <w:t xml:space="preserve"> </w:t>
      </w:r>
      <w:proofErr w:type="spellStart"/>
      <w:r w:rsidRPr="00906BBC">
        <w:rPr>
          <w:rFonts w:cs="Courier New"/>
        </w:rPr>
        <w:t>Mandat</w:t>
      </w:r>
      <w:proofErr w:type="spellEnd"/>
      <w:r w:rsidRPr="00906BBC">
        <w:rPr>
          <w:rFonts w:cs="Courier New"/>
        </w:rPr>
        <w:t xml:space="preserve"> </w:t>
      </w:r>
      <w:proofErr w:type="spellStart"/>
      <w:r w:rsidRPr="00906BBC">
        <w:rPr>
          <w:rFonts w:cs="Courier New"/>
        </w:rPr>
        <w:t>du</w:t>
      </w:r>
      <w:proofErr w:type="spellEnd"/>
      <w:r w:rsidRPr="00906BBC">
        <w:rPr>
          <w:rFonts w:cs="Courier New"/>
        </w:rPr>
        <w:t xml:space="preserve"> </w:t>
      </w:r>
      <w:proofErr w:type="spellStart"/>
      <w:r w:rsidRPr="00906BBC">
        <w:rPr>
          <w:rFonts w:cs="Courier New"/>
        </w:rPr>
        <w:t>Bureau</w:t>
      </w:r>
      <w:proofErr w:type="spellEnd"/>
      <w:r w:rsidRPr="00906BBC">
        <w:rPr>
          <w:rFonts w:cs="Courier New"/>
        </w:rPr>
        <w:t xml:space="preserve"> </w:t>
      </w:r>
      <w:proofErr w:type="spellStart"/>
      <w:r w:rsidRPr="00906BBC">
        <w:rPr>
          <w:rFonts w:cs="Courier New"/>
        </w:rPr>
        <w:t>fédéral</w:t>
      </w:r>
      <w:proofErr w:type="spellEnd"/>
      <w:r w:rsidRPr="00906BBC">
        <w:rPr>
          <w:rFonts w:cs="Courier New"/>
        </w:rPr>
        <w:t xml:space="preserve"> </w:t>
      </w:r>
      <w:proofErr w:type="spellStart"/>
      <w:r w:rsidRPr="00906BBC">
        <w:rPr>
          <w:rFonts w:cs="Courier New"/>
        </w:rPr>
        <w:t>de</w:t>
      </w:r>
      <w:proofErr w:type="spellEnd"/>
      <w:r w:rsidRPr="00906BBC">
        <w:rPr>
          <w:rFonts w:cs="Courier New"/>
        </w:rPr>
        <w:t xml:space="preserve"> </w:t>
      </w:r>
      <w:proofErr w:type="spellStart"/>
      <w:r w:rsidRPr="00906BBC">
        <w:rPr>
          <w:rFonts w:cs="Courier New"/>
        </w:rPr>
        <w:t>l’égalité</w:t>
      </w:r>
      <w:proofErr w:type="spellEnd"/>
      <w:r w:rsidRPr="00906BBC">
        <w:rPr>
          <w:rFonts w:cs="Courier New"/>
        </w:rPr>
        <w:t xml:space="preserve"> </w:t>
      </w:r>
      <w:proofErr w:type="spellStart"/>
      <w:r w:rsidRPr="00906BBC">
        <w:rPr>
          <w:rFonts w:cs="Courier New"/>
        </w:rPr>
        <w:t>entre</w:t>
      </w:r>
      <w:proofErr w:type="spellEnd"/>
      <w:r w:rsidRPr="00906BBC">
        <w:rPr>
          <w:rFonts w:cs="Courier New"/>
        </w:rPr>
        <w:t xml:space="preserve"> </w:t>
      </w:r>
      <w:proofErr w:type="spellStart"/>
      <w:r w:rsidRPr="00906BBC">
        <w:rPr>
          <w:rFonts w:cs="Courier New"/>
        </w:rPr>
        <w:t>femmes</w:t>
      </w:r>
      <w:proofErr w:type="spellEnd"/>
      <w:r w:rsidRPr="00906BBC">
        <w:rPr>
          <w:rFonts w:cs="Courier New"/>
        </w:rPr>
        <w:t xml:space="preserve"> </w:t>
      </w:r>
      <w:proofErr w:type="spellStart"/>
      <w:r w:rsidRPr="00906BBC">
        <w:rPr>
          <w:rFonts w:cs="Courier New"/>
        </w:rPr>
        <w:t>et</w:t>
      </w:r>
      <w:proofErr w:type="spellEnd"/>
      <w:r w:rsidRPr="00906BBC">
        <w:rPr>
          <w:rFonts w:cs="Courier New"/>
        </w:rPr>
        <w:t xml:space="preserve"> </w:t>
      </w:r>
      <w:proofErr w:type="spellStart"/>
      <w:r w:rsidRPr="00906BBC">
        <w:rPr>
          <w:rFonts w:cs="Courier New"/>
        </w:rPr>
        <w:t>hommes</w:t>
      </w:r>
      <w:proofErr w:type="spellEnd"/>
      <w:r w:rsidRPr="00906BBC">
        <w:rPr>
          <w:rFonts w:cs="Courier New"/>
        </w:rPr>
        <w:t xml:space="preserve"> </w:t>
      </w:r>
      <w:proofErr w:type="spellStart"/>
      <w:r w:rsidRPr="00906BBC">
        <w:rPr>
          <w:rFonts w:cs="Courier New"/>
        </w:rPr>
        <w:t>et</w:t>
      </w:r>
      <w:proofErr w:type="spellEnd"/>
      <w:r w:rsidRPr="00906BBC">
        <w:rPr>
          <w:rFonts w:cs="Courier New"/>
        </w:rPr>
        <w:t xml:space="preserve"> </w:t>
      </w:r>
      <w:proofErr w:type="spellStart"/>
      <w:r w:rsidRPr="00906BBC">
        <w:rPr>
          <w:rFonts w:cs="Courier New"/>
        </w:rPr>
        <w:t>de</w:t>
      </w:r>
      <w:proofErr w:type="spellEnd"/>
      <w:r w:rsidRPr="00906BBC">
        <w:rPr>
          <w:rFonts w:cs="Courier New"/>
        </w:rPr>
        <w:t xml:space="preserve"> </w:t>
      </w:r>
      <w:proofErr w:type="spellStart"/>
      <w:r w:rsidRPr="00906BBC">
        <w:rPr>
          <w:rFonts w:cs="Courier New"/>
        </w:rPr>
        <w:t>l’office</w:t>
      </w:r>
      <w:proofErr w:type="spellEnd"/>
      <w:r w:rsidRPr="00906BBC">
        <w:rPr>
          <w:rFonts w:cs="Courier New"/>
        </w:rPr>
        <w:t xml:space="preserve"> </w:t>
      </w:r>
      <w:proofErr w:type="spellStart"/>
      <w:r w:rsidRPr="00906BBC">
        <w:rPr>
          <w:rFonts w:cs="Courier New"/>
        </w:rPr>
        <w:t>fédéral</w:t>
      </w:r>
      <w:proofErr w:type="spellEnd"/>
      <w:r w:rsidRPr="00906BBC">
        <w:rPr>
          <w:rFonts w:cs="Courier New"/>
        </w:rPr>
        <w:t xml:space="preserve"> </w:t>
      </w:r>
      <w:proofErr w:type="spellStart"/>
      <w:r w:rsidRPr="00906BBC">
        <w:rPr>
          <w:rFonts w:cs="Courier New"/>
        </w:rPr>
        <w:t>de</w:t>
      </w:r>
      <w:proofErr w:type="spellEnd"/>
      <w:r w:rsidRPr="00906BBC">
        <w:rPr>
          <w:rFonts w:cs="Courier New"/>
        </w:rPr>
        <w:t xml:space="preserve"> la </w:t>
      </w:r>
      <w:proofErr w:type="spellStart"/>
      <w:r w:rsidRPr="00906BBC">
        <w:rPr>
          <w:rFonts w:cs="Courier New"/>
        </w:rPr>
        <w:t>statistique</w:t>
      </w:r>
      <w:proofErr w:type="spellEnd"/>
      <w:r w:rsidRPr="00906BBC">
        <w:rPr>
          <w:rFonts w:cs="Courier New"/>
        </w:rPr>
        <w:t xml:space="preserve">, </w:t>
      </w:r>
      <w:proofErr w:type="spellStart"/>
      <w:r w:rsidRPr="00906BBC">
        <w:rPr>
          <w:rFonts w:cs="Courier New"/>
        </w:rPr>
        <w:t>Genf</w:t>
      </w:r>
      <w:proofErr w:type="spellEnd"/>
      <w:r w:rsidRPr="00906BBC">
        <w:rPr>
          <w:rFonts w:cs="Courier New"/>
        </w:rPr>
        <w:t xml:space="preserve">. </w:t>
      </w:r>
      <w:proofErr w:type="spellStart"/>
      <w:r w:rsidRPr="00906BBC">
        <w:rPr>
          <w:rFonts w:cs="Courier New"/>
        </w:rPr>
        <w:t>Observatoire</w:t>
      </w:r>
      <w:proofErr w:type="spellEnd"/>
      <w:r w:rsidRPr="00906BBC">
        <w:rPr>
          <w:rFonts w:cs="Courier New"/>
        </w:rPr>
        <w:t xml:space="preserve"> </w:t>
      </w:r>
      <w:proofErr w:type="spellStart"/>
      <w:r w:rsidRPr="00906BBC">
        <w:rPr>
          <w:rFonts w:cs="Courier New"/>
        </w:rPr>
        <w:t>Unive</w:t>
      </w:r>
      <w:r>
        <w:rPr>
          <w:rFonts w:cs="Courier New"/>
        </w:rPr>
        <w:t>rsitaire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de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l’Emploi</w:t>
      </w:r>
      <w:proofErr w:type="spellEnd"/>
      <w:r>
        <w:rPr>
          <w:rFonts w:cs="Courier New"/>
        </w:rPr>
        <w:t xml:space="preserve">. </w:t>
      </w:r>
      <w:proofErr w:type="spellStart"/>
      <w:r>
        <w:rPr>
          <w:rFonts w:cs="Courier New"/>
        </w:rPr>
        <w:t>Mai</w:t>
      </w:r>
      <w:proofErr w:type="spellEnd"/>
      <w:r>
        <w:rPr>
          <w:rFonts w:cs="Courier New"/>
        </w:rPr>
        <w:t xml:space="preserve"> 2000</w:t>
      </w:r>
    </w:p>
  </w:endnote>
  <w:endnote w:id="38">
    <w:p w:rsidR="00D554C0" w:rsidRPr="00C56C00" w:rsidRDefault="00D554C0" w:rsidP="00F31B3D">
      <w:pPr>
        <w:pStyle w:val="Textvysvetlivky"/>
        <w:spacing w:before="120"/>
        <w:rPr>
          <w:rFonts w:cs="Courier New"/>
        </w:rPr>
      </w:pPr>
      <w:r w:rsidRPr="00C56C00">
        <w:rPr>
          <w:rStyle w:val="Odkaznavysvetlivku"/>
          <w:rFonts w:cs="Courier New"/>
        </w:rPr>
        <w:endnoteRef/>
      </w:r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Pierella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Pacci</w:t>
      </w:r>
      <w:proofErr w:type="spellEnd"/>
      <w:r w:rsidRPr="00C56C00">
        <w:rPr>
          <w:rFonts w:cs="Courier New"/>
        </w:rPr>
        <w:t xml:space="preserve">: </w:t>
      </w:r>
      <w:proofErr w:type="spellStart"/>
      <w:r w:rsidR="00EE0A94" w:rsidRPr="00C56C00">
        <w:rPr>
          <w:rFonts w:cs="Courier New"/>
          <w:i/>
        </w:rPr>
        <w:t>The</w:t>
      </w:r>
      <w:proofErr w:type="spellEnd"/>
      <w:r w:rsidR="00EE0A94" w:rsidRPr="00C56C00">
        <w:rPr>
          <w:rFonts w:cs="Courier New"/>
          <w:i/>
        </w:rPr>
        <w:t xml:space="preserve"> </w:t>
      </w:r>
      <w:proofErr w:type="spellStart"/>
      <w:r w:rsidR="00EE0A94" w:rsidRPr="00C56C00">
        <w:rPr>
          <w:rFonts w:cs="Courier New"/>
          <w:i/>
        </w:rPr>
        <w:t>Quest</w:t>
      </w:r>
      <w:proofErr w:type="spellEnd"/>
      <w:r w:rsidR="00EE0A94" w:rsidRPr="00C56C00">
        <w:rPr>
          <w:rFonts w:cs="Courier New"/>
          <w:i/>
        </w:rPr>
        <w:t xml:space="preserve"> </w:t>
      </w:r>
      <w:proofErr w:type="spellStart"/>
      <w:r w:rsidR="00EE0A94" w:rsidRPr="00C56C00">
        <w:rPr>
          <w:rFonts w:cs="Courier New"/>
          <w:i/>
        </w:rPr>
        <w:t>For</w:t>
      </w:r>
      <w:proofErr w:type="spellEnd"/>
      <w:r w:rsidR="00EE0A94" w:rsidRPr="00C56C00">
        <w:rPr>
          <w:rFonts w:cs="Courier New"/>
          <w:i/>
        </w:rPr>
        <w:t xml:space="preserve"> </w:t>
      </w:r>
      <w:proofErr w:type="spellStart"/>
      <w:r w:rsidR="00EE0A94" w:rsidRPr="00C56C00">
        <w:rPr>
          <w:rFonts w:cs="Courier New"/>
          <w:i/>
        </w:rPr>
        <w:t>Equitable</w:t>
      </w:r>
      <w:proofErr w:type="spellEnd"/>
      <w:r w:rsidR="00EE0A94" w:rsidRPr="00C56C00">
        <w:rPr>
          <w:rFonts w:cs="Courier New"/>
          <w:i/>
        </w:rPr>
        <w:t xml:space="preserve"> </w:t>
      </w:r>
      <w:proofErr w:type="spellStart"/>
      <w:r w:rsidR="00EE0A94" w:rsidRPr="00C56C00">
        <w:rPr>
          <w:rFonts w:cs="Courier New"/>
          <w:i/>
        </w:rPr>
        <w:t>Growth</w:t>
      </w:r>
      <w:proofErr w:type="spellEnd"/>
      <w:r w:rsidR="00EE0A94" w:rsidRPr="00C56C00">
        <w:rPr>
          <w:rFonts w:cs="Courier New"/>
          <w:i/>
        </w:rPr>
        <w:t xml:space="preserve"> In </w:t>
      </w:r>
      <w:proofErr w:type="spellStart"/>
      <w:r w:rsidR="00EE0A94" w:rsidRPr="00C56C00">
        <w:rPr>
          <w:rFonts w:cs="Courier New"/>
          <w:i/>
        </w:rPr>
        <w:t>The</w:t>
      </w:r>
      <w:proofErr w:type="spellEnd"/>
      <w:r w:rsidR="00EE0A94" w:rsidRPr="00C56C00">
        <w:rPr>
          <w:rFonts w:cs="Courier New"/>
          <w:i/>
        </w:rPr>
        <w:t xml:space="preserve"> Slovak </w:t>
      </w:r>
      <w:proofErr w:type="spellStart"/>
      <w:r w:rsidR="00EE0A94" w:rsidRPr="00C56C00">
        <w:rPr>
          <w:rFonts w:cs="Courier New"/>
          <w:i/>
        </w:rPr>
        <w:t>Republic</w:t>
      </w:r>
      <w:proofErr w:type="spellEnd"/>
      <w:r w:rsidRPr="00C56C00">
        <w:rPr>
          <w:rFonts w:cs="Courier New"/>
        </w:rPr>
        <w:t>, Svetová banka, 2005, preklad autorky</w:t>
      </w:r>
    </w:p>
  </w:endnote>
  <w:endnote w:id="39">
    <w:p w:rsidR="00D554C0" w:rsidRPr="00C56C00" w:rsidRDefault="00D554C0" w:rsidP="00F31B3D">
      <w:pPr>
        <w:pStyle w:val="Textvysvetlivky"/>
        <w:spacing w:before="120"/>
        <w:rPr>
          <w:rFonts w:cs="Courier New"/>
        </w:rPr>
      </w:pPr>
      <w:r w:rsidRPr="00C56C00">
        <w:rPr>
          <w:rStyle w:val="Odkaznavysvetlivku"/>
          <w:rFonts w:cs="Courier New"/>
        </w:rPr>
        <w:endnoteRef/>
      </w:r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Colander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David</w:t>
      </w:r>
      <w:proofErr w:type="spellEnd"/>
      <w:r w:rsidRPr="00C56C00">
        <w:rPr>
          <w:rFonts w:cs="Courier New"/>
        </w:rPr>
        <w:t xml:space="preserve">, </w:t>
      </w:r>
      <w:proofErr w:type="spellStart"/>
      <w:r w:rsidRPr="00C56C00">
        <w:rPr>
          <w:rFonts w:cs="Courier New"/>
        </w:rPr>
        <w:t>Wayland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Woos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Joanna</w:t>
      </w:r>
      <w:proofErr w:type="spellEnd"/>
      <w:r w:rsidRPr="00C56C00">
        <w:rPr>
          <w:rFonts w:cs="Courier New"/>
        </w:rPr>
        <w:t>: „</w:t>
      </w:r>
      <w:proofErr w:type="spellStart"/>
      <w:r w:rsidRPr="00C56C00">
        <w:rPr>
          <w:rFonts w:cs="Courier New"/>
          <w:i/>
        </w:rPr>
        <w:t>Institutional</w:t>
      </w:r>
      <w:proofErr w:type="spellEnd"/>
      <w:r w:rsidRPr="00C56C00">
        <w:rPr>
          <w:rFonts w:cs="Courier New"/>
          <w:i/>
        </w:rPr>
        <w:t xml:space="preserve"> </w:t>
      </w:r>
      <w:proofErr w:type="spellStart"/>
      <w:r w:rsidRPr="00C56C00">
        <w:rPr>
          <w:rFonts w:cs="Courier New"/>
          <w:i/>
        </w:rPr>
        <w:t>Demand-Side</w:t>
      </w:r>
      <w:proofErr w:type="spellEnd"/>
      <w:r w:rsidRPr="00C56C00">
        <w:rPr>
          <w:rFonts w:cs="Courier New"/>
          <w:i/>
        </w:rPr>
        <w:t xml:space="preserve"> </w:t>
      </w:r>
      <w:proofErr w:type="spellStart"/>
      <w:r w:rsidRPr="00C56C00">
        <w:rPr>
          <w:rFonts w:cs="Courier New"/>
          <w:i/>
        </w:rPr>
        <w:t>Discrimination</w:t>
      </w:r>
      <w:proofErr w:type="spellEnd"/>
      <w:r w:rsidRPr="00C56C00">
        <w:rPr>
          <w:rFonts w:cs="Courier New"/>
          <w:i/>
        </w:rPr>
        <w:t xml:space="preserve"> </w:t>
      </w:r>
      <w:proofErr w:type="spellStart"/>
      <w:r w:rsidRPr="00C56C00">
        <w:rPr>
          <w:rFonts w:cs="Courier New"/>
          <w:i/>
        </w:rPr>
        <w:t>Against</w:t>
      </w:r>
      <w:proofErr w:type="spellEnd"/>
      <w:r w:rsidRPr="00C56C00">
        <w:rPr>
          <w:rFonts w:cs="Courier New"/>
          <w:i/>
        </w:rPr>
        <w:t xml:space="preserve"> </w:t>
      </w:r>
      <w:proofErr w:type="spellStart"/>
      <w:r w:rsidRPr="00C56C00">
        <w:rPr>
          <w:rFonts w:cs="Courier New"/>
          <w:i/>
        </w:rPr>
        <w:t>Women</w:t>
      </w:r>
      <w:proofErr w:type="spellEnd"/>
      <w:r w:rsidRPr="00C56C00">
        <w:rPr>
          <w:rFonts w:cs="Courier New"/>
          <w:i/>
        </w:rPr>
        <w:t xml:space="preserve"> and </w:t>
      </w:r>
      <w:proofErr w:type="spellStart"/>
      <w:r w:rsidRPr="00C56C00">
        <w:rPr>
          <w:rFonts w:cs="Courier New"/>
          <w:i/>
        </w:rPr>
        <w:t>the</w:t>
      </w:r>
      <w:proofErr w:type="spellEnd"/>
      <w:r w:rsidRPr="00C56C00">
        <w:rPr>
          <w:rFonts w:cs="Courier New"/>
          <w:i/>
        </w:rPr>
        <w:t xml:space="preserve"> </w:t>
      </w:r>
      <w:proofErr w:type="spellStart"/>
      <w:r w:rsidRPr="00C56C00">
        <w:rPr>
          <w:rFonts w:cs="Courier New"/>
          <w:i/>
        </w:rPr>
        <w:t>Human</w:t>
      </w:r>
      <w:proofErr w:type="spellEnd"/>
      <w:r w:rsidRPr="00C56C00">
        <w:rPr>
          <w:rFonts w:cs="Courier New"/>
          <w:i/>
        </w:rPr>
        <w:t xml:space="preserve"> </w:t>
      </w:r>
      <w:proofErr w:type="spellStart"/>
      <w:r w:rsidRPr="00C56C00">
        <w:rPr>
          <w:rFonts w:cs="Courier New"/>
          <w:i/>
        </w:rPr>
        <w:t>Capital</w:t>
      </w:r>
      <w:proofErr w:type="spellEnd"/>
      <w:r w:rsidRPr="00C56C00">
        <w:rPr>
          <w:rFonts w:cs="Courier New"/>
          <w:i/>
        </w:rPr>
        <w:t xml:space="preserve"> Model</w:t>
      </w:r>
      <w:r w:rsidRPr="00C56C00">
        <w:rPr>
          <w:rFonts w:cs="Courier New"/>
        </w:rPr>
        <w:t xml:space="preserve">“, in: </w:t>
      </w:r>
      <w:proofErr w:type="spellStart"/>
      <w:r w:rsidRPr="00C56C00">
        <w:rPr>
          <w:rFonts w:cs="Courier New"/>
        </w:rPr>
        <w:t>Feminist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Economics</w:t>
      </w:r>
      <w:proofErr w:type="spellEnd"/>
      <w:r w:rsidRPr="00C56C00">
        <w:rPr>
          <w:rFonts w:cs="Courier New"/>
        </w:rPr>
        <w:t xml:space="preserve">, </w:t>
      </w:r>
      <w:proofErr w:type="spellStart"/>
      <w:r w:rsidRPr="00C56C00">
        <w:rPr>
          <w:rFonts w:cs="Courier New"/>
        </w:rPr>
        <w:t>Vol</w:t>
      </w:r>
      <w:proofErr w:type="spellEnd"/>
      <w:r w:rsidRPr="00C56C00">
        <w:rPr>
          <w:rFonts w:cs="Courier New"/>
        </w:rPr>
        <w:t xml:space="preserve">. 3, </w:t>
      </w:r>
      <w:proofErr w:type="spellStart"/>
      <w:r w:rsidRPr="00C56C00">
        <w:rPr>
          <w:rFonts w:cs="Courier New"/>
        </w:rPr>
        <w:t>Nr</w:t>
      </w:r>
      <w:proofErr w:type="spellEnd"/>
      <w:r w:rsidRPr="00C56C00">
        <w:rPr>
          <w:rFonts w:cs="Courier New"/>
        </w:rPr>
        <w:t>. 1/97, preklad autorky</w:t>
      </w:r>
    </w:p>
  </w:endnote>
  <w:endnote w:id="40">
    <w:p w:rsidR="00D554C0" w:rsidRPr="00C56C00" w:rsidRDefault="00D554C0" w:rsidP="00F31B3D">
      <w:pPr>
        <w:pStyle w:val="Textvysvetlivky"/>
        <w:spacing w:before="120"/>
        <w:rPr>
          <w:rFonts w:cs="Courier New"/>
        </w:rPr>
      </w:pPr>
      <w:r w:rsidRPr="00C56C00">
        <w:rPr>
          <w:rStyle w:val="Odkaznavysvetlivku"/>
          <w:rFonts w:cs="Courier New"/>
        </w:rPr>
        <w:endnoteRef/>
      </w:r>
      <w:r w:rsidRPr="00C56C00">
        <w:rPr>
          <w:rFonts w:cs="Courier New"/>
        </w:rPr>
        <w:t xml:space="preserve"> </w:t>
      </w:r>
      <w:r w:rsidRPr="00040752">
        <w:rPr>
          <w:rFonts w:cs="Courier New"/>
        </w:rPr>
        <w:t xml:space="preserve">FARRELL, W. 2005. </w:t>
      </w:r>
      <w:proofErr w:type="spellStart"/>
      <w:r w:rsidRPr="00040752">
        <w:rPr>
          <w:rFonts w:cs="Courier New"/>
        </w:rPr>
        <w:t>Why</w:t>
      </w:r>
      <w:proofErr w:type="spellEnd"/>
      <w:r w:rsidRPr="00040752">
        <w:rPr>
          <w:rFonts w:cs="Courier New"/>
        </w:rPr>
        <w:t xml:space="preserve"> </w:t>
      </w:r>
      <w:proofErr w:type="spellStart"/>
      <w:r w:rsidRPr="00040752">
        <w:rPr>
          <w:rFonts w:cs="Courier New"/>
        </w:rPr>
        <w:t>Men</w:t>
      </w:r>
      <w:proofErr w:type="spellEnd"/>
      <w:r w:rsidRPr="00040752">
        <w:rPr>
          <w:rFonts w:cs="Courier New"/>
        </w:rPr>
        <w:t xml:space="preserve"> </w:t>
      </w:r>
      <w:proofErr w:type="spellStart"/>
      <w:r w:rsidRPr="00040752">
        <w:rPr>
          <w:rFonts w:cs="Courier New"/>
        </w:rPr>
        <w:t>Earn</w:t>
      </w:r>
      <w:proofErr w:type="spellEnd"/>
      <w:r w:rsidRPr="00040752">
        <w:rPr>
          <w:rFonts w:cs="Courier New"/>
        </w:rPr>
        <w:t xml:space="preserve"> More (</w:t>
      </w:r>
      <w:proofErr w:type="spellStart"/>
      <w:r w:rsidRPr="00040752">
        <w:rPr>
          <w:rFonts w:cs="Courier New"/>
        </w:rPr>
        <w:t>The</w:t>
      </w:r>
      <w:proofErr w:type="spellEnd"/>
      <w:r w:rsidRPr="00040752">
        <w:rPr>
          <w:rFonts w:cs="Courier New"/>
        </w:rPr>
        <w:t xml:space="preserve"> </w:t>
      </w:r>
      <w:proofErr w:type="spellStart"/>
      <w:r w:rsidRPr="00040752">
        <w:rPr>
          <w:rFonts w:cs="Courier New"/>
        </w:rPr>
        <w:t>Startling</w:t>
      </w:r>
      <w:proofErr w:type="spellEnd"/>
      <w:r w:rsidRPr="00040752">
        <w:rPr>
          <w:rFonts w:cs="Courier New"/>
        </w:rPr>
        <w:t xml:space="preserve"> </w:t>
      </w:r>
      <w:proofErr w:type="spellStart"/>
      <w:r w:rsidRPr="00040752">
        <w:rPr>
          <w:rFonts w:cs="Courier New"/>
        </w:rPr>
        <w:t>Truth</w:t>
      </w:r>
      <w:proofErr w:type="spellEnd"/>
      <w:r w:rsidRPr="00040752">
        <w:rPr>
          <w:rFonts w:cs="Courier New"/>
        </w:rPr>
        <w:t xml:space="preserve"> </w:t>
      </w:r>
      <w:proofErr w:type="spellStart"/>
      <w:r w:rsidRPr="00040752">
        <w:rPr>
          <w:rFonts w:cs="Courier New"/>
        </w:rPr>
        <w:t>Behind</w:t>
      </w:r>
      <w:proofErr w:type="spellEnd"/>
      <w:r w:rsidRPr="00040752">
        <w:rPr>
          <w:rFonts w:cs="Courier New"/>
        </w:rPr>
        <w:t xml:space="preserve"> </w:t>
      </w:r>
      <w:proofErr w:type="spellStart"/>
      <w:r w:rsidRPr="00040752">
        <w:rPr>
          <w:rFonts w:cs="Courier New"/>
        </w:rPr>
        <w:t>the</w:t>
      </w:r>
      <w:proofErr w:type="spellEnd"/>
      <w:r w:rsidRPr="00040752">
        <w:rPr>
          <w:rFonts w:cs="Courier New"/>
        </w:rPr>
        <w:t xml:space="preserve"> </w:t>
      </w:r>
      <w:proofErr w:type="spellStart"/>
      <w:r w:rsidRPr="00040752">
        <w:rPr>
          <w:rFonts w:cs="Courier New"/>
        </w:rPr>
        <w:t>Pay</w:t>
      </w:r>
      <w:proofErr w:type="spellEnd"/>
      <w:r w:rsidRPr="00040752">
        <w:rPr>
          <w:rFonts w:cs="Courier New"/>
        </w:rPr>
        <w:t xml:space="preserve"> </w:t>
      </w:r>
      <w:proofErr w:type="spellStart"/>
      <w:r w:rsidRPr="00040752">
        <w:rPr>
          <w:rFonts w:cs="Courier New"/>
        </w:rPr>
        <w:t>Gap</w:t>
      </w:r>
      <w:proofErr w:type="spellEnd"/>
      <w:r w:rsidRPr="00040752">
        <w:rPr>
          <w:rFonts w:cs="Courier New"/>
        </w:rPr>
        <w:t xml:space="preserve"> - and </w:t>
      </w:r>
      <w:proofErr w:type="spellStart"/>
      <w:r w:rsidRPr="00040752">
        <w:rPr>
          <w:rFonts w:cs="Courier New"/>
        </w:rPr>
        <w:t>What</w:t>
      </w:r>
      <w:proofErr w:type="spellEnd"/>
      <w:r w:rsidRPr="00040752">
        <w:rPr>
          <w:rFonts w:cs="Courier New"/>
        </w:rPr>
        <w:t xml:space="preserve"> </w:t>
      </w:r>
      <w:proofErr w:type="spellStart"/>
      <w:r w:rsidRPr="00040752">
        <w:rPr>
          <w:rFonts w:cs="Courier New"/>
        </w:rPr>
        <w:t>Women</w:t>
      </w:r>
      <w:proofErr w:type="spellEnd"/>
      <w:r w:rsidRPr="00040752">
        <w:rPr>
          <w:rFonts w:cs="Courier New"/>
        </w:rPr>
        <w:t xml:space="preserve"> </w:t>
      </w:r>
      <w:proofErr w:type="spellStart"/>
      <w:r w:rsidRPr="00040752">
        <w:rPr>
          <w:rFonts w:cs="Courier New"/>
        </w:rPr>
        <w:t>Can</w:t>
      </w:r>
      <w:proofErr w:type="spellEnd"/>
      <w:r w:rsidRPr="00040752">
        <w:rPr>
          <w:rFonts w:cs="Courier New"/>
        </w:rPr>
        <w:t xml:space="preserve"> Do </w:t>
      </w:r>
      <w:proofErr w:type="spellStart"/>
      <w:r w:rsidRPr="00040752">
        <w:rPr>
          <w:rFonts w:cs="Courier New"/>
        </w:rPr>
        <w:t>About</w:t>
      </w:r>
      <w:proofErr w:type="spellEnd"/>
      <w:r w:rsidRPr="00040752">
        <w:rPr>
          <w:rFonts w:cs="Courier New"/>
        </w:rPr>
        <w:t xml:space="preserve"> </w:t>
      </w:r>
      <w:proofErr w:type="spellStart"/>
      <w:r w:rsidRPr="00040752">
        <w:rPr>
          <w:rFonts w:cs="Courier New"/>
        </w:rPr>
        <w:t>It</w:t>
      </w:r>
      <w:proofErr w:type="spellEnd"/>
      <w:r w:rsidRPr="00040752">
        <w:rPr>
          <w:rFonts w:cs="Courier New"/>
        </w:rPr>
        <w:t xml:space="preserve">, </w:t>
      </w:r>
      <w:proofErr w:type="spellStart"/>
      <w:r w:rsidRPr="00040752">
        <w:rPr>
          <w:rFonts w:cs="Courier New"/>
        </w:rPr>
        <w:t>Amacom</w:t>
      </w:r>
      <w:proofErr w:type="spellEnd"/>
      <w:r w:rsidRPr="00040752">
        <w:rPr>
          <w:rFonts w:cs="Courier New"/>
        </w:rPr>
        <w:t>, ISBN- 978-0814472101</w:t>
      </w:r>
    </w:p>
  </w:endnote>
  <w:endnote w:id="41">
    <w:p w:rsidR="00D554C0" w:rsidRPr="00C56C00" w:rsidRDefault="00D554C0" w:rsidP="00F31B3D">
      <w:pPr>
        <w:pStyle w:val="Textvysvetlivky"/>
        <w:spacing w:before="120"/>
        <w:rPr>
          <w:rFonts w:cs="Courier New"/>
        </w:rPr>
      </w:pPr>
      <w:r w:rsidRPr="00C56C00">
        <w:rPr>
          <w:rStyle w:val="Odkaznavysvetlivku"/>
          <w:rFonts w:cs="Courier New"/>
        </w:rPr>
        <w:endnoteRef/>
      </w:r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Stiegler</w:t>
      </w:r>
      <w:proofErr w:type="spellEnd"/>
      <w:r w:rsidRPr="00C56C00">
        <w:rPr>
          <w:rFonts w:cs="Courier New"/>
        </w:rPr>
        <w:t xml:space="preserve">., Barbara: </w:t>
      </w:r>
      <w:proofErr w:type="spellStart"/>
      <w:r w:rsidRPr="00C56C00">
        <w:rPr>
          <w:rFonts w:cs="Courier New"/>
          <w:i/>
        </w:rPr>
        <w:t>Welcher</w:t>
      </w:r>
      <w:proofErr w:type="spellEnd"/>
      <w:r w:rsidRPr="00C56C00">
        <w:rPr>
          <w:rFonts w:cs="Courier New"/>
          <w:i/>
        </w:rPr>
        <w:t xml:space="preserve"> </w:t>
      </w:r>
      <w:proofErr w:type="spellStart"/>
      <w:r w:rsidRPr="00C56C00">
        <w:rPr>
          <w:rFonts w:cs="Courier New"/>
          <w:i/>
        </w:rPr>
        <w:t>Lohn</w:t>
      </w:r>
      <w:proofErr w:type="spellEnd"/>
      <w:r w:rsidRPr="00C56C00">
        <w:rPr>
          <w:rFonts w:cs="Courier New"/>
          <w:i/>
        </w:rPr>
        <w:t xml:space="preserve"> </w:t>
      </w:r>
      <w:proofErr w:type="spellStart"/>
      <w:r w:rsidRPr="00C56C00">
        <w:rPr>
          <w:rFonts w:cs="Courier New"/>
          <w:i/>
        </w:rPr>
        <w:t>für</w:t>
      </w:r>
      <w:proofErr w:type="spellEnd"/>
      <w:r w:rsidRPr="00C56C00">
        <w:rPr>
          <w:rFonts w:cs="Courier New"/>
          <w:i/>
        </w:rPr>
        <w:t xml:space="preserve"> </w:t>
      </w:r>
      <w:proofErr w:type="spellStart"/>
      <w:r w:rsidRPr="00C56C00">
        <w:rPr>
          <w:rFonts w:cs="Courier New"/>
          <w:i/>
        </w:rPr>
        <w:t>welche</w:t>
      </w:r>
      <w:proofErr w:type="spellEnd"/>
      <w:r w:rsidRPr="00C56C00">
        <w:rPr>
          <w:rFonts w:cs="Courier New"/>
          <w:i/>
        </w:rPr>
        <w:t xml:space="preserve"> </w:t>
      </w:r>
      <w:proofErr w:type="spellStart"/>
      <w:r w:rsidRPr="00C56C00">
        <w:rPr>
          <w:rFonts w:cs="Courier New"/>
          <w:i/>
        </w:rPr>
        <w:t>Arbeit</w:t>
      </w:r>
      <w:proofErr w:type="spellEnd"/>
      <w:r w:rsidRPr="00C56C00">
        <w:rPr>
          <w:rFonts w:cs="Courier New"/>
          <w:i/>
        </w:rPr>
        <w:t xml:space="preserve">? : </w:t>
      </w:r>
      <w:proofErr w:type="spellStart"/>
      <w:r w:rsidRPr="00C56C00">
        <w:rPr>
          <w:rFonts w:cs="Courier New"/>
          <w:i/>
        </w:rPr>
        <w:t>Über</w:t>
      </w:r>
      <w:proofErr w:type="spellEnd"/>
      <w:r w:rsidRPr="00C56C00">
        <w:rPr>
          <w:rFonts w:cs="Courier New"/>
          <w:i/>
        </w:rPr>
        <w:t xml:space="preserve"> </w:t>
      </w:r>
      <w:proofErr w:type="spellStart"/>
      <w:r w:rsidRPr="00C56C00">
        <w:rPr>
          <w:rFonts w:cs="Courier New"/>
          <w:i/>
        </w:rPr>
        <w:t>die</w:t>
      </w:r>
      <w:proofErr w:type="spellEnd"/>
      <w:r w:rsidRPr="00C56C00">
        <w:rPr>
          <w:rFonts w:cs="Courier New"/>
          <w:i/>
        </w:rPr>
        <w:t xml:space="preserve"> </w:t>
      </w:r>
      <w:proofErr w:type="spellStart"/>
      <w:r w:rsidRPr="00C56C00">
        <w:rPr>
          <w:rFonts w:cs="Courier New"/>
          <w:i/>
        </w:rPr>
        <w:t>Aufwertung</w:t>
      </w:r>
      <w:proofErr w:type="spellEnd"/>
      <w:r w:rsidRPr="00C56C00">
        <w:rPr>
          <w:rFonts w:cs="Courier New"/>
          <w:i/>
        </w:rPr>
        <w:t xml:space="preserve"> der </w:t>
      </w:r>
      <w:proofErr w:type="spellStart"/>
      <w:r w:rsidRPr="00C56C00">
        <w:rPr>
          <w:rFonts w:cs="Courier New"/>
          <w:i/>
        </w:rPr>
        <w:t>Frauenarbeit</w:t>
      </w:r>
      <w:proofErr w:type="spellEnd"/>
      <w:r w:rsidRPr="00C56C00">
        <w:rPr>
          <w:rFonts w:cs="Courier New"/>
        </w:rPr>
        <w:t xml:space="preserve"> / (</w:t>
      </w:r>
      <w:proofErr w:type="spellStart"/>
      <w:r w:rsidRPr="00C56C00">
        <w:rPr>
          <w:rFonts w:cs="Courier New"/>
        </w:rPr>
        <w:t>Expertisen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zur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Frauenforschung</w:t>
      </w:r>
      <w:proofErr w:type="spellEnd"/>
      <w:r w:rsidRPr="00C56C00">
        <w:rPr>
          <w:rFonts w:cs="Courier New"/>
        </w:rPr>
        <w:t xml:space="preserve">, </w:t>
      </w:r>
      <w:proofErr w:type="spellStart"/>
      <w:r w:rsidRPr="00C56C00">
        <w:rPr>
          <w:rFonts w:cs="Courier New"/>
        </w:rPr>
        <w:t>Electronic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ed</w:t>
      </w:r>
      <w:proofErr w:type="spellEnd"/>
      <w:r w:rsidRPr="00C56C00">
        <w:rPr>
          <w:rFonts w:cs="Courier New"/>
        </w:rPr>
        <w:t xml:space="preserve">.: Bonn : FES </w:t>
      </w:r>
      <w:proofErr w:type="spellStart"/>
      <w:r w:rsidRPr="00C56C00">
        <w:rPr>
          <w:rFonts w:cs="Courier New"/>
        </w:rPr>
        <w:t>Library</w:t>
      </w:r>
      <w:proofErr w:type="spellEnd"/>
      <w:r w:rsidRPr="00C56C00">
        <w:rPr>
          <w:rFonts w:cs="Courier New"/>
        </w:rPr>
        <w:t xml:space="preserve">, 2000 , preklad autorky </w:t>
      </w:r>
    </w:p>
  </w:endnote>
  <w:endnote w:id="42">
    <w:p w:rsidR="00D554C0" w:rsidRPr="00C56C00" w:rsidRDefault="00D554C0" w:rsidP="00F31B3D">
      <w:pPr>
        <w:pStyle w:val="Textvysvetlivky"/>
        <w:spacing w:before="120"/>
        <w:rPr>
          <w:rFonts w:cs="Courier New"/>
        </w:rPr>
      </w:pPr>
      <w:r w:rsidRPr="00C56C00">
        <w:rPr>
          <w:rStyle w:val="Odkaznavysvetlivku"/>
          <w:rFonts w:cs="Courier New"/>
        </w:rPr>
        <w:endnoteRef/>
      </w:r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Grimshaw</w:t>
      </w:r>
      <w:proofErr w:type="spellEnd"/>
      <w:r w:rsidRPr="00C56C00">
        <w:rPr>
          <w:rFonts w:cs="Courier New"/>
        </w:rPr>
        <w:t xml:space="preserve">, </w:t>
      </w:r>
      <w:proofErr w:type="spellStart"/>
      <w:r w:rsidRPr="00C56C00">
        <w:rPr>
          <w:rFonts w:cs="Courier New"/>
        </w:rPr>
        <w:t>Damian</w:t>
      </w:r>
      <w:proofErr w:type="spellEnd"/>
      <w:r w:rsidRPr="00C56C00">
        <w:rPr>
          <w:rFonts w:cs="Courier New"/>
        </w:rPr>
        <w:t xml:space="preserve"> and </w:t>
      </w:r>
      <w:proofErr w:type="spellStart"/>
      <w:r w:rsidRPr="00C56C00">
        <w:rPr>
          <w:rFonts w:cs="Courier New"/>
        </w:rPr>
        <w:t>Rubery</w:t>
      </w:r>
      <w:proofErr w:type="spellEnd"/>
      <w:r w:rsidRPr="00C56C00">
        <w:rPr>
          <w:rFonts w:cs="Courier New"/>
        </w:rPr>
        <w:t xml:space="preserve">, </w:t>
      </w:r>
      <w:proofErr w:type="spellStart"/>
      <w:r w:rsidRPr="00C56C00">
        <w:rPr>
          <w:rFonts w:cs="Courier New"/>
        </w:rPr>
        <w:t>Jill</w:t>
      </w:r>
      <w:proofErr w:type="spellEnd"/>
      <w:r w:rsidRPr="00C56C00">
        <w:rPr>
          <w:rFonts w:cs="Courier New"/>
        </w:rPr>
        <w:t xml:space="preserve">: </w:t>
      </w:r>
      <w:proofErr w:type="spellStart"/>
      <w:r w:rsidRPr="00C56C00">
        <w:rPr>
          <w:rFonts w:cs="Courier New"/>
          <w:i/>
        </w:rPr>
        <w:t>Undervaluing</w:t>
      </w:r>
      <w:proofErr w:type="spellEnd"/>
      <w:r w:rsidRPr="00C56C00">
        <w:rPr>
          <w:rFonts w:cs="Courier New"/>
          <w:i/>
        </w:rPr>
        <w:t xml:space="preserve"> </w:t>
      </w:r>
      <w:proofErr w:type="spellStart"/>
      <w:r w:rsidRPr="00C56C00">
        <w:rPr>
          <w:rFonts w:cs="Courier New"/>
          <w:i/>
        </w:rPr>
        <w:t>women's</w:t>
      </w:r>
      <w:proofErr w:type="spellEnd"/>
      <w:r w:rsidRPr="00C56C00">
        <w:rPr>
          <w:rFonts w:cs="Courier New"/>
          <w:i/>
        </w:rPr>
        <w:t xml:space="preserve"> </w:t>
      </w:r>
      <w:proofErr w:type="spellStart"/>
      <w:r w:rsidRPr="00C56C00">
        <w:rPr>
          <w:rFonts w:cs="Courier New"/>
          <w:i/>
        </w:rPr>
        <w:t>work</w:t>
      </w:r>
      <w:proofErr w:type="spellEnd"/>
      <w:r w:rsidRPr="00C56C00">
        <w:rPr>
          <w:rFonts w:cs="Courier New"/>
        </w:rPr>
        <w:t xml:space="preserve">. </w:t>
      </w:r>
      <w:proofErr w:type="spellStart"/>
      <w:r w:rsidRPr="00C56C00">
        <w:rPr>
          <w:rFonts w:cs="Courier New"/>
        </w:rPr>
        <w:t>European</w:t>
      </w:r>
      <w:proofErr w:type="spellEnd"/>
      <w:r w:rsidRPr="00C56C00">
        <w:rPr>
          <w:rFonts w:cs="Courier New"/>
        </w:rPr>
        <w:t xml:space="preserve"> Work and </w:t>
      </w:r>
      <w:proofErr w:type="spellStart"/>
      <w:r w:rsidRPr="00C56C00">
        <w:rPr>
          <w:rFonts w:cs="Courier New"/>
        </w:rPr>
        <w:t>Employment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Research</w:t>
      </w:r>
      <w:proofErr w:type="spellEnd"/>
      <w:r w:rsidRPr="00C56C00">
        <w:rPr>
          <w:rFonts w:cs="Courier New"/>
        </w:rPr>
        <w:t xml:space="preserve"> Centre </w:t>
      </w:r>
      <w:proofErr w:type="spellStart"/>
      <w:r w:rsidRPr="00C56C00">
        <w:rPr>
          <w:rFonts w:cs="Courier New"/>
        </w:rPr>
        <w:t>University</w:t>
      </w:r>
      <w:proofErr w:type="spellEnd"/>
      <w:r w:rsidRPr="00C56C00">
        <w:rPr>
          <w:rFonts w:cs="Courier New"/>
        </w:rPr>
        <w:t xml:space="preserve"> </w:t>
      </w:r>
      <w:proofErr w:type="spellStart"/>
      <w:r w:rsidRPr="00C56C00">
        <w:rPr>
          <w:rFonts w:cs="Courier New"/>
        </w:rPr>
        <w:t>of</w:t>
      </w:r>
      <w:proofErr w:type="spellEnd"/>
      <w:r w:rsidRPr="00C56C00">
        <w:rPr>
          <w:rFonts w:cs="Courier New"/>
        </w:rPr>
        <w:t xml:space="preserve"> Manchester, 2007</w:t>
      </w:r>
    </w:p>
  </w:endnote>
  <w:endnote w:id="43">
    <w:p w:rsidR="00D554C0" w:rsidRPr="00C56C00" w:rsidRDefault="00D554C0" w:rsidP="00F31B3D">
      <w:pPr>
        <w:pStyle w:val="Textvysvetlivky"/>
        <w:spacing w:before="120"/>
        <w:rPr>
          <w:rFonts w:cs="Courier New"/>
        </w:rPr>
      </w:pPr>
      <w:r w:rsidRPr="00C56C00">
        <w:rPr>
          <w:rStyle w:val="Odkaznavysvetlivku"/>
          <w:rFonts w:cs="Courier New"/>
        </w:rPr>
        <w:endnoteRef/>
      </w:r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Olsen</w:t>
      </w:r>
      <w:proofErr w:type="spellEnd"/>
      <w:r>
        <w:rPr>
          <w:rFonts w:cs="Courier New"/>
        </w:rPr>
        <w:t xml:space="preserve"> a </w:t>
      </w:r>
      <w:proofErr w:type="spellStart"/>
      <w:r>
        <w:rPr>
          <w:rFonts w:cs="Courier New"/>
        </w:rPr>
        <w:t>Walby</w:t>
      </w:r>
      <w:proofErr w:type="spellEnd"/>
      <w:r>
        <w:rPr>
          <w:rFonts w:cs="Courier New"/>
        </w:rPr>
        <w:t>, viď para 36</w:t>
      </w:r>
    </w:p>
  </w:endnote>
  <w:endnote w:id="44">
    <w:p w:rsidR="00D554C0" w:rsidRDefault="00D554C0" w:rsidP="00906BBC">
      <w:pPr>
        <w:pStyle w:val="Textvysvetlivky"/>
        <w:spacing w:before="120"/>
      </w:pPr>
      <w:r>
        <w:rPr>
          <w:rStyle w:val="Odkaznavysvetlivku"/>
        </w:rPr>
        <w:endnoteRef/>
      </w:r>
      <w:r>
        <w:t xml:space="preserve"> </w:t>
      </w:r>
      <w:proofErr w:type="spellStart"/>
      <w:r>
        <w:t>Pacci</w:t>
      </w:r>
      <w:proofErr w:type="spellEnd"/>
      <w:r>
        <w:t>, viď p</w:t>
      </w:r>
      <w:r w:rsidRPr="00906BBC">
        <w:rPr>
          <w:rFonts w:cs="Courier New"/>
        </w:rPr>
        <w:t>ara</w:t>
      </w:r>
      <w:r>
        <w:t xml:space="preserve"> 38</w:t>
      </w:r>
    </w:p>
  </w:endnote>
  <w:endnote w:id="45">
    <w:p w:rsidR="00D554C0" w:rsidRDefault="00D554C0" w:rsidP="00641638">
      <w:pPr>
        <w:pStyle w:val="Textvysvetlivky"/>
        <w:spacing w:before="120"/>
      </w:pPr>
      <w:r w:rsidRPr="00C56C00">
        <w:rPr>
          <w:rStyle w:val="Odkaznavysvetlivku"/>
        </w:rPr>
        <w:endnoteRef/>
      </w:r>
      <w:r w:rsidRPr="00C56C00">
        <w:t xml:space="preserve"> Boj proti rozdielom v odmeňovaní žien a mužov v Európskej únii, Luxemburg: Úrad pre vydávanie publikácií Európskej únie, 2014 ISBN 978-92-79-36084-8 doi:10.2838/45829</w:t>
      </w:r>
    </w:p>
  </w:endnote>
  <w:endnote w:id="46">
    <w:p w:rsidR="00D554C0" w:rsidRDefault="00D554C0" w:rsidP="00641638">
      <w:pPr>
        <w:pStyle w:val="Textvysvetlivky"/>
        <w:spacing w:before="120"/>
      </w:pPr>
      <w:r>
        <w:rPr>
          <w:rStyle w:val="Odkaznavysvetlivku"/>
        </w:rPr>
        <w:endnoteRef/>
      </w:r>
      <w:r>
        <w:t xml:space="preserve"> </w:t>
      </w:r>
      <w:proofErr w:type="spellStart"/>
      <w:r>
        <w:t>Tamtiež</w:t>
      </w:r>
      <w:proofErr w:type="spellEnd"/>
    </w:p>
  </w:endnote>
  <w:endnote w:id="47">
    <w:p w:rsidR="00D554C0" w:rsidRDefault="00D554C0" w:rsidP="004664BC">
      <w:pPr>
        <w:pStyle w:val="Textvysvetlivky"/>
        <w:spacing w:before="120"/>
      </w:pPr>
      <w:r>
        <w:rPr>
          <w:rStyle w:val="Odkaznavysvetlivku"/>
        </w:rPr>
        <w:endnoteRef/>
      </w:r>
      <w:r>
        <w:t xml:space="preserve"> Tamtiež</w:t>
      </w:r>
      <w:bookmarkStart w:id="22" w:name="_GoBack"/>
      <w:bookmarkEnd w:id="22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97449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D554C0" w:rsidRPr="001D7DF3" w:rsidRDefault="00D554C0">
        <w:pPr>
          <w:pStyle w:val="Pta"/>
          <w:jc w:val="right"/>
          <w:rPr>
            <w:sz w:val="20"/>
          </w:rPr>
        </w:pPr>
        <w:r w:rsidRPr="001D7DF3">
          <w:rPr>
            <w:sz w:val="20"/>
          </w:rPr>
          <w:fldChar w:fldCharType="begin"/>
        </w:r>
        <w:r w:rsidRPr="001D7DF3">
          <w:rPr>
            <w:sz w:val="20"/>
          </w:rPr>
          <w:instrText>PAGE   \* MERGEFORMAT</w:instrText>
        </w:r>
        <w:r w:rsidRPr="001D7DF3">
          <w:rPr>
            <w:sz w:val="20"/>
          </w:rPr>
          <w:fldChar w:fldCharType="separate"/>
        </w:r>
        <w:r w:rsidR="004E53CF" w:rsidRPr="004E53CF">
          <w:rPr>
            <w:noProof/>
          </w:rPr>
          <w:t>53</w:t>
        </w:r>
        <w:r w:rsidRPr="001D7DF3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C0" w:rsidRDefault="00D554C0" w:rsidP="00713644">
      <w:r>
        <w:separator/>
      </w:r>
    </w:p>
    <w:p w:rsidR="00D554C0" w:rsidRDefault="00D554C0" w:rsidP="00713644"/>
    <w:p w:rsidR="00D554C0" w:rsidRDefault="00D554C0" w:rsidP="00713644"/>
    <w:p w:rsidR="00D554C0" w:rsidRDefault="00D554C0"/>
    <w:p w:rsidR="00D554C0" w:rsidRDefault="00D554C0" w:rsidP="004A42B3"/>
  </w:footnote>
  <w:footnote w:type="continuationSeparator" w:id="0">
    <w:p w:rsidR="00D554C0" w:rsidRDefault="00D554C0" w:rsidP="00713644">
      <w:r>
        <w:continuationSeparator/>
      </w:r>
    </w:p>
    <w:p w:rsidR="00D554C0" w:rsidRDefault="00D554C0" w:rsidP="00713644"/>
    <w:p w:rsidR="00D554C0" w:rsidRDefault="00D554C0" w:rsidP="00713644"/>
    <w:p w:rsidR="00D554C0" w:rsidRDefault="00D554C0"/>
    <w:p w:rsidR="00D554C0" w:rsidRDefault="00D554C0" w:rsidP="004A42B3"/>
  </w:footnote>
  <w:footnote w:id="1">
    <w:p w:rsidR="00D554C0" w:rsidRDefault="00D554C0" w:rsidP="005B1F5C">
      <w:pPr>
        <w:spacing w:line="240" w:lineRule="auto"/>
      </w:pPr>
      <w:r>
        <w:rPr>
          <w:rStyle w:val="Odkaznapoznmkupodiarou"/>
        </w:rPr>
        <w:footnoteRef/>
      </w:r>
      <w:r>
        <w:t xml:space="preserve"> </w:t>
      </w:r>
      <w:r w:rsidRPr="001D7DF3">
        <w:rPr>
          <w:sz w:val="20"/>
        </w:rPr>
        <w:t xml:space="preserve">Text je s úpravami prevzatý z článku Oľgy </w:t>
      </w:r>
      <w:proofErr w:type="spellStart"/>
      <w:r w:rsidRPr="001D7DF3">
        <w:rPr>
          <w:sz w:val="20"/>
        </w:rPr>
        <w:t>Pietruchovej</w:t>
      </w:r>
      <w:proofErr w:type="spellEnd"/>
      <w:r w:rsidRPr="001D7DF3">
        <w:rPr>
          <w:sz w:val="20"/>
        </w:rPr>
        <w:t xml:space="preserve"> „Nedocenená práca žien“, zverejnenom v publikácii „ </w:t>
      </w:r>
      <w:r w:rsidRPr="00B67898">
        <w:rPr>
          <w:i/>
          <w:sz w:val="20"/>
        </w:rPr>
        <w:t>Aká práca, taká pláca?“,</w:t>
      </w:r>
      <w:r w:rsidRPr="001D7DF3">
        <w:rPr>
          <w:sz w:val="20"/>
        </w:rPr>
        <w:t xml:space="preserve"> vydavateľstvo Aspekt, 2007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51E"/>
    <w:multiLevelType w:val="hybridMultilevel"/>
    <w:tmpl w:val="D0C82D04"/>
    <w:lvl w:ilvl="0" w:tplc="67C42DD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B00D8"/>
    <w:multiLevelType w:val="hybridMultilevel"/>
    <w:tmpl w:val="07521F2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B0003">
      <w:start w:val="1"/>
      <w:numFmt w:val="lowerLetter"/>
      <w:lvlText w:val="%2."/>
      <w:lvlJc w:val="left"/>
      <w:pPr>
        <w:ind w:left="1156" w:hanging="360"/>
      </w:pPr>
    </w:lvl>
    <w:lvl w:ilvl="2" w:tplc="041B0005">
      <w:start w:val="1"/>
      <w:numFmt w:val="lowerRoman"/>
      <w:lvlText w:val="%3."/>
      <w:lvlJc w:val="right"/>
      <w:pPr>
        <w:ind w:left="1876" w:hanging="180"/>
      </w:pPr>
    </w:lvl>
    <w:lvl w:ilvl="3" w:tplc="041B0001">
      <w:start w:val="1"/>
      <w:numFmt w:val="decimal"/>
      <w:lvlText w:val="%4."/>
      <w:lvlJc w:val="left"/>
      <w:pPr>
        <w:ind w:left="2596" w:hanging="360"/>
      </w:pPr>
    </w:lvl>
    <w:lvl w:ilvl="4" w:tplc="041B0003">
      <w:start w:val="1"/>
      <w:numFmt w:val="lowerLetter"/>
      <w:lvlText w:val="%5."/>
      <w:lvlJc w:val="left"/>
      <w:pPr>
        <w:ind w:left="3316" w:hanging="360"/>
      </w:pPr>
    </w:lvl>
    <w:lvl w:ilvl="5" w:tplc="041B0005">
      <w:start w:val="1"/>
      <w:numFmt w:val="lowerRoman"/>
      <w:lvlText w:val="%6."/>
      <w:lvlJc w:val="right"/>
      <w:pPr>
        <w:ind w:left="4036" w:hanging="180"/>
      </w:pPr>
    </w:lvl>
    <w:lvl w:ilvl="6" w:tplc="041B0001">
      <w:start w:val="1"/>
      <w:numFmt w:val="decimal"/>
      <w:lvlText w:val="%7."/>
      <w:lvlJc w:val="left"/>
      <w:pPr>
        <w:ind w:left="4756" w:hanging="360"/>
      </w:pPr>
    </w:lvl>
    <w:lvl w:ilvl="7" w:tplc="041B0003">
      <w:start w:val="1"/>
      <w:numFmt w:val="lowerLetter"/>
      <w:lvlText w:val="%8."/>
      <w:lvlJc w:val="left"/>
      <w:pPr>
        <w:ind w:left="5476" w:hanging="360"/>
      </w:pPr>
    </w:lvl>
    <w:lvl w:ilvl="8" w:tplc="041B0005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7D0E61"/>
    <w:multiLevelType w:val="hybridMultilevel"/>
    <w:tmpl w:val="B0CE3A82"/>
    <w:lvl w:ilvl="0" w:tplc="BFF6B3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F82ABE"/>
    <w:multiLevelType w:val="hybridMultilevel"/>
    <w:tmpl w:val="E8A0FD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70577"/>
    <w:multiLevelType w:val="hybridMultilevel"/>
    <w:tmpl w:val="E9306C9C"/>
    <w:lvl w:ilvl="0" w:tplc="00E6E8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6576D3"/>
    <w:multiLevelType w:val="hybridMultilevel"/>
    <w:tmpl w:val="970640E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C0A3B"/>
    <w:multiLevelType w:val="hybridMultilevel"/>
    <w:tmpl w:val="33E65F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E79A2"/>
    <w:multiLevelType w:val="hybridMultilevel"/>
    <w:tmpl w:val="CA3268B8"/>
    <w:lvl w:ilvl="0" w:tplc="B9E2B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4369E"/>
    <w:multiLevelType w:val="hybridMultilevel"/>
    <w:tmpl w:val="F13E94F0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9">
    <w:nsid w:val="1733422F"/>
    <w:multiLevelType w:val="hybridMultilevel"/>
    <w:tmpl w:val="601C8E4C"/>
    <w:lvl w:ilvl="0" w:tplc="38F2F21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44555"/>
    <w:multiLevelType w:val="hybridMultilevel"/>
    <w:tmpl w:val="82265C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1789C"/>
    <w:multiLevelType w:val="hybridMultilevel"/>
    <w:tmpl w:val="A8BA82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C61A8"/>
    <w:multiLevelType w:val="hybridMultilevel"/>
    <w:tmpl w:val="93DCE36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A3246"/>
    <w:multiLevelType w:val="hybridMultilevel"/>
    <w:tmpl w:val="F0F20800"/>
    <w:lvl w:ilvl="0" w:tplc="24DA11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407406"/>
    <w:multiLevelType w:val="hybridMultilevel"/>
    <w:tmpl w:val="9D36992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677FC7"/>
    <w:multiLevelType w:val="multilevel"/>
    <w:tmpl w:val="C6F67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90C5F98"/>
    <w:multiLevelType w:val="hybridMultilevel"/>
    <w:tmpl w:val="73DAF7BC"/>
    <w:lvl w:ilvl="0" w:tplc="00C611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4655F5"/>
    <w:multiLevelType w:val="hybridMultilevel"/>
    <w:tmpl w:val="C12E9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94742"/>
    <w:multiLevelType w:val="hybridMultilevel"/>
    <w:tmpl w:val="5D0E50C2"/>
    <w:lvl w:ilvl="0" w:tplc="FD82F83E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87A1E"/>
    <w:multiLevelType w:val="hybridMultilevel"/>
    <w:tmpl w:val="C1DCB42A"/>
    <w:lvl w:ilvl="0" w:tplc="BFF6B366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EB67A8"/>
    <w:multiLevelType w:val="hybridMultilevel"/>
    <w:tmpl w:val="D9E258D0"/>
    <w:lvl w:ilvl="0" w:tplc="B29C9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85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3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64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80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A1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F21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45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6A7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8D20860"/>
    <w:multiLevelType w:val="hybridMultilevel"/>
    <w:tmpl w:val="DF347F10"/>
    <w:lvl w:ilvl="0" w:tplc="FD82F83E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3C4580"/>
    <w:multiLevelType w:val="hybridMultilevel"/>
    <w:tmpl w:val="14DCC114"/>
    <w:lvl w:ilvl="0" w:tplc="173CB026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CE7F61"/>
    <w:multiLevelType w:val="hybridMultilevel"/>
    <w:tmpl w:val="E9FC1D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0DA3BCC"/>
    <w:multiLevelType w:val="hybridMultilevel"/>
    <w:tmpl w:val="68748578"/>
    <w:lvl w:ilvl="0" w:tplc="272AE884">
      <w:start w:val="2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A33A08"/>
    <w:multiLevelType w:val="hybridMultilevel"/>
    <w:tmpl w:val="B34053E2"/>
    <w:lvl w:ilvl="0" w:tplc="272AE88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27D5D"/>
    <w:multiLevelType w:val="hybridMultilevel"/>
    <w:tmpl w:val="DC8A3C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A47BE"/>
    <w:multiLevelType w:val="hybridMultilevel"/>
    <w:tmpl w:val="98206C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A5093"/>
    <w:multiLevelType w:val="hybridMultilevel"/>
    <w:tmpl w:val="DD024946"/>
    <w:lvl w:ilvl="0" w:tplc="BFF6B3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A01292"/>
    <w:multiLevelType w:val="hybridMultilevel"/>
    <w:tmpl w:val="44E69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41399"/>
    <w:multiLevelType w:val="hybridMultilevel"/>
    <w:tmpl w:val="29DE8CA2"/>
    <w:lvl w:ilvl="0" w:tplc="91D2B0F6">
      <w:start w:val="1"/>
      <w:numFmt w:val="upperRoman"/>
      <w:pStyle w:val="Nadpis1"/>
      <w:lvlText w:val="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B24E6"/>
    <w:multiLevelType w:val="hybridMultilevel"/>
    <w:tmpl w:val="8D9C37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40B12"/>
    <w:multiLevelType w:val="hybridMultilevel"/>
    <w:tmpl w:val="DA5469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535819"/>
    <w:multiLevelType w:val="hybridMultilevel"/>
    <w:tmpl w:val="A4222250"/>
    <w:lvl w:ilvl="0" w:tplc="CA5CBD9C">
      <w:start w:val="2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C95930"/>
    <w:multiLevelType w:val="hybridMultilevel"/>
    <w:tmpl w:val="A2EE23F4"/>
    <w:lvl w:ilvl="0" w:tplc="24DA11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F150F9"/>
    <w:multiLevelType w:val="hybridMultilevel"/>
    <w:tmpl w:val="FC38B8F4"/>
    <w:lvl w:ilvl="0" w:tplc="8F3C905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1E708C"/>
    <w:multiLevelType w:val="multilevel"/>
    <w:tmpl w:val="C0041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79CA04CD"/>
    <w:multiLevelType w:val="hybridMultilevel"/>
    <w:tmpl w:val="4B00AD80"/>
    <w:lvl w:ilvl="0" w:tplc="94D64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C080E32"/>
    <w:multiLevelType w:val="hybridMultilevel"/>
    <w:tmpl w:val="7C624E10"/>
    <w:lvl w:ilvl="0" w:tplc="1D92E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6E9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20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B2A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CEF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D62C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98E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BAB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68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2614F4"/>
    <w:multiLevelType w:val="hybridMultilevel"/>
    <w:tmpl w:val="F5BA67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E355D"/>
    <w:multiLevelType w:val="hybridMultilevel"/>
    <w:tmpl w:val="E9E4846A"/>
    <w:lvl w:ilvl="0" w:tplc="38F2F21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77A3C"/>
    <w:multiLevelType w:val="hybridMultilevel"/>
    <w:tmpl w:val="068ED84A"/>
    <w:lvl w:ilvl="0" w:tplc="33688D4A">
      <w:start w:val="1"/>
      <w:numFmt w:val="decimal"/>
      <w:pStyle w:val="ListParagraphChar"/>
      <w:lvlText w:val="%1."/>
      <w:lvlJc w:val="left"/>
      <w:pPr>
        <w:ind w:left="720" w:hanging="360"/>
      </w:pPr>
      <w:rPr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8"/>
  </w:num>
  <w:num w:numId="3">
    <w:abstractNumId w:val="11"/>
  </w:num>
  <w:num w:numId="4">
    <w:abstractNumId w:val="39"/>
  </w:num>
  <w:num w:numId="5">
    <w:abstractNumId w:val="29"/>
  </w:num>
  <w:num w:numId="6">
    <w:abstractNumId w:val="31"/>
  </w:num>
  <w:num w:numId="7">
    <w:abstractNumId w:val="7"/>
  </w:num>
  <w:num w:numId="8">
    <w:abstractNumId w:val="16"/>
  </w:num>
  <w:num w:numId="9">
    <w:abstractNumId w:val="27"/>
  </w:num>
  <w:num w:numId="10">
    <w:abstractNumId w:val="5"/>
  </w:num>
  <w:num w:numId="11">
    <w:abstractNumId w:val="41"/>
  </w:num>
  <w:num w:numId="12">
    <w:abstractNumId w:val="1"/>
  </w:num>
  <w:num w:numId="13">
    <w:abstractNumId w:val="23"/>
  </w:num>
  <w:num w:numId="14">
    <w:abstractNumId w:val="8"/>
  </w:num>
  <w:num w:numId="15">
    <w:abstractNumId w:val="15"/>
  </w:num>
  <w:num w:numId="16">
    <w:abstractNumId w:val="20"/>
  </w:num>
  <w:num w:numId="17">
    <w:abstractNumId w:val="36"/>
  </w:num>
  <w:num w:numId="18">
    <w:abstractNumId w:val="9"/>
  </w:num>
  <w:num w:numId="19">
    <w:abstractNumId w:val="40"/>
  </w:num>
  <w:num w:numId="20">
    <w:abstractNumId w:val="33"/>
  </w:num>
  <w:num w:numId="21">
    <w:abstractNumId w:val="4"/>
  </w:num>
  <w:num w:numId="22">
    <w:abstractNumId w:val="19"/>
  </w:num>
  <w:num w:numId="23">
    <w:abstractNumId w:val="28"/>
  </w:num>
  <w:num w:numId="24">
    <w:abstractNumId w:val="2"/>
  </w:num>
  <w:num w:numId="25">
    <w:abstractNumId w:val="13"/>
  </w:num>
  <w:num w:numId="26">
    <w:abstractNumId w:val="0"/>
  </w:num>
  <w:num w:numId="27">
    <w:abstractNumId w:val="37"/>
  </w:num>
  <w:num w:numId="28">
    <w:abstractNumId w:val="37"/>
    <w:lvlOverride w:ilvl="0">
      <w:startOverride w:val="2"/>
    </w:lvlOverride>
  </w:num>
  <w:num w:numId="29">
    <w:abstractNumId w:val="34"/>
  </w:num>
  <w:num w:numId="30">
    <w:abstractNumId w:val="3"/>
  </w:num>
  <w:num w:numId="31">
    <w:abstractNumId w:val="17"/>
  </w:num>
  <w:num w:numId="32">
    <w:abstractNumId w:val="35"/>
  </w:num>
  <w:num w:numId="33">
    <w:abstractNumId w:val="25"/>
  </w:num>
  <w:num w:numId="34">
    <w:abstractNumId w:val="24"/>
  </w:num>
  <w:num w:numId="35">
    <w:abstractNumId w:val="6"/>
  </w:num>
  <w:num w:numId="36">
    <w:abstractNumId w:val="12"/>
  </w:num>
  <w:num w:numId="37">
    <w:abstractNumId w:val="22"/>
  </w:num>
  <w:num w:numId="38">
    <w:abstractNumId w:val="30"/>
  </w:num>
  <w:num w:numId="39">
    <w:abstractNumId w:val="30"/>
    <w:lvlOverride w:ilvl="0">
      <w:startOverride w:val="2"/>
    </w:lvlOverride>
  </w:num>
  <w:num w:numId="40">
    <w:abstractNumId w:val="30"/>
    <w:lvlOverride w:ilvl="0">
      <w:startOverride w:val="1"/>
    </w:lvlOverride>
  </w:num>
  <w:num w:numId="41">
    <w:abstractNumId w:val="30"/>
  </w:num>
  <w:num w:numId="42">
    <w:abstractNumId w:val="26"/>
  </w:num>
  <w:num w:numId="43">
    <w:abstractNumId w:val="10"/>
  </w:num>
  <w:num w:numId="44">
    <w:abstractNumId w:val="32"/>
  </w:num>
  <w:num w:numId="45">
    <w:abstractNumId w:val="18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7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09"/>
    <w:rsid w:val="000114B5"/>
    <w:rsid w:val="000150C9"/>
    <w:rsid w:val="000256E7"/>
    <w:rsid w:val="00026872"/>
    <w:rsid w:val="00040752"/>
    <w:rsid w:val="00057200"/>
    <w:rsid w:val="000F0D6C"/>
    <w:rsid w:val="000F7DD6"/>
    <w:rsid w:val="001453A7"/>
    <w:rsid w:val="0017792F"/>
    <w:rsid w:val="00177FDD"/>
    <w:rsid w:val="00181226"/>
    <w:rsid w:val="001B6E75"/>
    <w:rsid w:val="001D19C9"/>
    <w:rsid w:val="001D6EA8"/>
    <w:rsid w:val="001D7DF3"/>
    <w:rsid w:val="001F6765"/>
    <w:rsid w:val="00235D6C"/>
    <w:rsid w:val="00255F81"/>
    <w:rsid w:val="00261666"/>
    <w:rsid w:val="0026473C"/>
    <w:rsid w:val="0027301A"/>
    <w:rsid w:val="00297A93"/>
    <w:rsid w:val="002B3080"/>
    <w:rsid w:val="002B6F49"/>
    <w:rsid w:val="002D0FBE"/>
    <w:rsid w:val="002F70D4"/>
    <w:rsid w:val="00304509"/>
    <w:rsid w:val="00326231"/>
    <w:rsid w:val="00360306"/>
    <w:rsid w:val="00365D9C"/>
    <w:rsid w:val="0038090A"/>
    <w:rsid w:val="003A1098"/>
    <w:rsid w:val="003E26D3"/>
    <w:rsid w:val="00402BDC"/>
    <w:rsid w:val="004213BB"/>
    <w:rsid w:val="00445FD5"/>
    <w:rsid w:val="004505A8"/>
    <w:rsid w:val="00453EBE"/>
    <w:rsid w:val="004664BC"/>
    <w:rsid w:val="004747DC"/>
    <w:rsid w:val="004A42B3"/>
    <w:rsid w:val="004E53CF"/>
    <w:rsid w:val="004F1107"/>
    <w:rsid w:val="004F19AC"/>
    <w:rsid w:val="004F7275"/>
    <w:rsid w:val="005005CA"/>
    <w:rsid w:val="00520351"/>
    <w:rsid w:val="00560412"/>
    <w:rsid w:val="00561D71"/>
    <w:rsid w:val="00591485"/>
    <w:rsid w:val="005A0EF2"/>
    <w:rsid w:val="005B1F5C"/>
    <w:rsid w:val="005C794F"/>
    <w:rsid w:val="005D07A9"/>
    <w:rsid w:val="005D1D77"/>
    <w:rsid w:val="00603EB2"/>
    <w:rsid w:val="00620092"/>
    <w:rsid w:val="00641638"/>
    <w:rsid w:val="0064300A"/>
    <w:rsid w:val="00680554"/>
    <w:rsid w:val="00695639"/>
    <w:rsid w:val="006B011F"/>
    <w:rsid w:val="006D03BE"/>
    <w:rsid w:val="006D10C9"/>
    <w:rsid w:val="006D1920"/>
    <w:rsid w:val="006E545A"/>
    <w:rsid w:val="006F5C86"/>
    <w:rsid w:val="006F7D05"/>
    <w:rsid w:val="00702E21"/>
    <w:rsid w:val="00707B34"/>
    <w:rsid w:val="00713644"/>
    <w:rsid w:val="00735CD7"/>
    <w:rsid w:val="00774CDE"/>
    <w:rsid w:val="007A1CAA"/>
    <w:rsid w:val="007A344A"/>
    <w:rsid w:val="007A74C6"/>
    <w:rsid w:val="007E7B3F"/>
    <w:rsid w:val="007F0491"/>
    <w:rsid w:val="00811905"/>
    <w:rsid w:val="00843EE2"/>
    <w:rsid w:val="00847F93"/>
    <w:rsid w:val="008534A6"/>
    <w:rsid w:val="00893D36"/>
    <w:rsid w:val="00896DC3"/>
    <w:rsid w:val="008B4D60"/>
    <w:rsid w:val="008C60EE"/>
    <w:rsid w:val="009052D4"/>
    <w:rsid w:val="00906BBC"/>
    <w:rsid w:val="0093159A"/>
    <w:rsid w:val="009319A6"/>
    <w:rsid w:val="009832BB"/>
    <w:rsid w:val="009873EB"/>
    <w:rsid w:val="00987EEC"/>
    <w:rsid w:val="009F7A61"/>
    <w:rsid w:val="00A230F1"/>
    <w:rsid w:val="00A23199"/>
    <w:rsid w:val="00A41FE6"/>
    <w:rsid w:val="00A634C9"/>
    <w:rsid w:val="00A645C0"/>
    <w:rsid w:val="00A707FF"/>
    <w:rsid w:val="00A82807"/>
    <w:rsid w:val="00A86CFA"/>
    <w:rsid w:val="00A90509"/>
    <w:rsid w:val="00AD0DA0"/>
    <w:rsid w:val="00AE35B5"/>
    <w:rsid w:val="00B22578"/>
    <w:rsid w:val="00B35E7D"/>
    <w:rsid w:val="00B40759"/>
    <w:rsid w:val="00B615ED"/>
    <w:rsid w:val="00B61C68"/>
    <w:rsid w:val="00B67735"/>
    <w:rsid w:val="00B67898"/>
    <w:rsid w:val="00B84CD4"/>
    <w:rsid w:val="00B9667E"/>
    <w:rsid w:val="00BD1C83"/>
    <w:rsid w:val="00BD3F79"/>
    <w:rsid w:val="00BE33BB"/>
    <w:rsid w:val="00BE53BD"/>
    <w:rsid w:val="00C060C7"/>
    <w:rsid w:val="00C36036"/>
    <w:rsid w:val="00C53038"/>
    <w:rsid w:val="00C56C00"/>
    <w:rsid w:val="00C837C4"/>
    <w:rsid w:val="00CF2453"/>
    <w:rsid w:val="00D110D5"/>
    <w:rsid w:val="00D377D7"/>
    <w:rsid w:val="00D554C0"/>
    <w:rsid w:val="00D75A0F"/>
    <w:rsid w:val="00D85026"/>
    <w:rsid w:val="00DA23D9"/>
    <w:rsid w:val="00DA4A97"/>
    <w:rsid w:val="00DB3771"/>
    <w:rsid w:val="00DC0B97"/>
    <w:rsid w:val="00DC4706"/>
    <w:rsid w:val="00DE5CEE"/>
    <w:rsid w:val="00DF1639"/>
    <w:rsid w:val="00E21686"/>
    <w:rsid w:val="00E50B46"/>
    <w:rsid w:val="00E55D18"/>
    <w:rsid w:val="00E7791A"/>
    <w:rsid w:val="00EE0A94"/>
    <w:rsid w:val="00EF2798"/>
    <w:rsid w:val="00F00A84"/>
    <w:rsid w:val="00F01A27"/>
    <w:rsid w:val="00F0595B"/>
    <w:rsid w:val="00F0742F"/>
    <w:rsid w:val="00F24EB6"/>
    <w:rsid w:val="00F31B3D"/>
    <w:rsid w:val="00FC16FC"/>
    <w:rsid w:val="00FC4304"/>
    <w:rsid w:val="00FD546F"/>
    <w:rsid w:val="00FE4068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3644"/>
    <w:pPr>
      <w:shd w:val="clear" w:color="auto" w:fill="FFFFFF"/>
      <w:spacing w:after="240" w:line="288" w:lineRule="auto"/>
      <w:jc w:val="both"/>
    </w:pPr>
    <w:rPr>
      <w:rFonts w:ascii="Cambria" w:eastAsia="Times New Roman" w:hAnsi="Cambria"/>
      <w:sz w:val="24"/>
      <w:szCs w:val="22"/>
      <w:lang w:eastAsia="en-US" w:bidi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4300A"/>
    <w:pPr>
      <w:keepNext/>
      <w:numPr>
        <w:numId w:val="38"/>
      </w:numPr>
      <w:pBdr>
        <w:bottom w:val="single" w:sz="4" w:space="1" w:color="auto"/>
      </w:pBdr>
      <w:spacing w:before="240" w:after="60"/>
      <w:outlineLvl w:val="0"/>
    </w:pPr>
    <w:rPr>
      <w:bCs/>
      <w:caps/>
      <w:smallCaps/>
      <w:color w:val="000000" w:themeColor="text1"/>
      <w:kern w:val="32"/>
      <w:sz w:val="40"/>
      <w:szCs w:val="32"/>
      <w:lang w:eastAsia="sk-SK" w:bidi="ar-SA"/>
    </w:rPr>
  </w:style>
  <w:style w:type="paragraph" w:styleId="Nadpis2">
    <w:name w:val="heading 2"/>
    <w:aliases w:val="Heading 2 Char"/>
    <w:basedOn w:val="Normlny"/>
    <w:next w:val="Normlny"/>
    <w:link w:val="Nadpis2Char"/>
    <w:uiPriority w:val="9"/>
    <w:unhideWhenUsed/>
    <w:qFormat/>
    <w:rsid w:val="00304509"/>
    <w:pPr>
      <w:pBdr>
        <w:bottom w:val="single" w:sz="4" w:space="1" w:color="622423"/>
      </w:pBdr>
      <w:spacing w:before="400"/>
      <w:jc w:val="center"/>
      <w:outlineLvl w:val="1"/>
    </w:pPr>
    <w:rPr>
      <w:caps/>
      <w:color w:val="000000"/>
      <w:spacing w:val="15"/>
      <w:sz w:val="32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1364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000000"/>
      <w:sz w:val="28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F0491"/>
    <w:pPr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Heading 2 Char Char"/>
    <w:link w:val="Nadpis2"/>
    <w:uiPriority w:val="9"/>
    <w:rsid w:val="00304509"/>
    <w:rPr>
      <w:rFonts w:ascii="Cambria" w:eastAsia="Times New Roman" w:hAnsi="Cambria" w:cs="Times New Roman"/>
      <w:caps/>
      <w:color w:val="000000"/>
      <w:spacing w:val="15"/>
      <w:sz w:val="32"/>
      <w:szCs w:val="24"/>
      <w:lang w:bidi="en-US"/>
    </w:rPr>
  </w:style>
  <w:style w:type="character" w:customStyle="1" w:styleId="Nadpis3Char">
    <w:name w:val="Nadpis 3 Char"/>
    <w:link w:val="Nadpis3"/>
    <w:uiPriority w:val="9"/>
    <w:rsid w:val="00713644"/>
    <w:rPr>
      <w:rFonts w:ascii="Cambria" w:eastAsia="Times New Roman" w:hAnsi="Cambria"/>
      <w:caps/>
      <w:color w:val="000000"/>
      <w:sz w:val="28"/>
      <w:szCs w:val="24"/>
      <w:lang w:eastAsia="en-US" w:bidi="en-US"/>
    </w:rPr>
  </w:style>
  <w:style w:type="paragraph" w:styleId="Popis">
    <w:name w:val="caption"/>
    <w:aliases w:val="Caption Char3,Caption Char2 Char,Caption Char1 Char Char,Caption Char Char Char Char,Caption Char Char1 Char,Caption Char1 Char1,Caption Char Char Char1,Caption Char Char2"/>
    <w:basedOn w:val="Normlny"/>
    <w:next w:val="Normlny"/>
    <w:uiPriority w:val="35"/>
    <w:unhideWhenUsed/>
    <w:qFormat/>
    <w:rsid w:val="00A707FF"/>
    <w:rPr>
      <w:b/>
      <w:caps/>
      <w:color w:val="808080" w:themeColor="background1" w:themeShade="80"/>
      <w:spacing w:val="10"/>
      <w:sz w:val="18"/>
      <w:szCs w:val="18"/>
    </w:rPr>
  </w:style>
  <w:style w:type="paragraph" w:styleId="Textpoznmkypodiarou">
    <w:name w:val="footnote text"/>
    <w:aliases w:val="stile 1,Alaviitteen teksti Char,Alaviitteen teksti Char Char Char Char Char,Märk,Fußnotentext arial,Footnote Text Char2,Footnote Text Char1 Char,Footnote Text Char Char Char,Footnote Text Char Char1,Fußnotentext Char,fn, Märk"/>
    <w:basedOn w:val="Normlny"/>
    <w:link w:val="TextpoznmkypodiarouChar"/>
    <w:unhideWhenUsed/>
    <w:rsid w:val="00304509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aliases w:val="stile 1 Char,Alaviitteen teksti Char Char,Alaviitteen teksti Char Char Char Char Char Char,Märk Char,Fußnotentext arial Char,Footnote Text Char2 Char,Footnote Text Char1 Char Char,Footnote Text Char Char Char Char,fn Char"/>
    <w:link w:val="Textpoznmkypodiarou"/>
    <w:rsid w:val="00304509"/>
    <w:rPr>
      <w:rFonts w:ascii="Cambria" w:eastAsia="Times New Roman" w:hAnsi="Cambria" w:cs="Times New Roman"/>
      <w:sz w:val="20"/>
      <w:szCs w:val="20"/>
      <w:lang w:bidi="en-US"/>
    </w:rPr>
  </w:style>
  <w:style w:type="character" w:styleId="Odkaznapoznmkupodiarou">
    <w:name w:val="footnote reference"/>
    <w:aliases w:val="Footnote,Footnotes refss,Footnote Reference Superscript,BVI fnr,Footnote symbol,Footnote symboFußnotenzeichen,Footnote sign,Footnote Reference text,SUPERS,Footnote reference number,note TESI,-E Fußnotenzeichen,number,Char Ch"/>
    <w:uiPriority w:val="99"/>
    <w:unhideWhenUsed/>
    <w:rsid w:val="00304509"/>
    <w:rPr>
      <w:vertAlign w:val="superscript"/>
    </w:rPr>
  </w:style>
  <w:style w:type="paragraph" w:customStyle="1" w:styleId="Default">
    <w:name w:val="Default"/>
    <w:basedOn w:val="Normlny"/>
    <w:qFormat/>
    <w:rsid w:val="0017792F"/>
    <w:pPr>
      <w:spacing w:line="240" w:lineRule="auto"/>
    </w:pPr>
  </w:style>
  <w:style w:type="table" w:styleId="Svetlpodfarbenie">
    <w:name w:val="Light Shading"/>
    <w:basedOn w:val="Normlnatabuka"/>
    <w:uiPriority w:val="60"/>
    <w:rsid w:val="00304509"/>
    <w:rPr>
      <w:rFonts w:ascii="Cambria" w:eastAsia="Times New Roman" w:hAnsi="Cambria"/>
      <w:color w:val="000000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Farebnzoznam">
    <w:name w:val="Colorful List"/>
    <w:basedOn w:val="Normlnatabuka"/>
    <w:uiPriority w:val="72"/>
    <w:rsid w:val="003E26D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Nadpis1Char">
    <w:name w:val="Nadpis 1 Char"/>
    <w:link w:val="Nadpis1"/>
    <w:uiPriority w:val="9"/>
    <w:rsid w:val="0064300A"/>
    <w:rPr>
      <w:rFonts w:ascii="Cambria" w:eastAsia="Times New Roman" w:hAnsi="Cambria"/>
      <w:bCs/>
      <w:caps/>
      <w:smallCaps/>
      <w:color w:val="000000" w:themeColor="text1"/>
      <w:kern w:val="32"/>
      <w:sz w:val="40"/>
      <w:szCs w:val="32"/>
      <w:shd w:val="clear" w:color="auto" w:fill="FFFFFF"/>
    </w:rPr>
  </w:style>
  <w:style w:type="paragraph" w:styleId="Hlavika">
    <w:name w:val="header"/>
    <w:basedOn w:val="Normlny"/>
    <w:link w:val="HlavikaChar"/>
    <w:uiPriority w:val="99"/>
    <w:unhideWhenUsed/>
    <w:rsid w:val="009873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873EB"/>
    <w:rPr>
      <w:rFonts w:ascii="Cambria" w:eastAsia="Times New Roman" w:hAnsi="Cambria"/>
      <w:sz w:val="22"/>
      <w:szCs w:val="22"/>
      <w:lang w:eastAsia="en-US" w:bidi="en-US"/>
    </w:rPr>
  </w:style>
  <w:style w:type="paragraph" w:styleId="Pta">
    <w:name w:val="footer"/>
    <w:basedOn w:val="Normlny"/>
    <w:link w:val="PtaChar"/>
    <w:uiPriority w:val="99"/>
    <w:unhideWhenUsed/>
    <w:rsid w:val="009873E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873EB"/>
    <w:rPr>
      <w:rFonts w:ascii="Cambria" w:eastAsia="Times New Roman" w:hAnsi="Cambria"/>
      <w:sz w:val="22"/>
      <w:szCs w:val="22"/>
      <w:lang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30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30F1"/>
    <w:rPr>
      <w:rFonts w:ascii="Tahoma" w:eastAsia="Times New Roman" w:hAnsi="Tahoma" w:cs="Tahoma"/>
      <w:sz w:val="16"/>
      <w:szCs w:val="16"/>
      <w:lang w:eastAsia="en-US" w:bidi="en-US"/>
    </w:rPr>
  </w:style>
  <w:style w:type="table" w:styleId="Svetlpodfarbeniezvraznenie5">
    <w:name w:val="Light Shading Accent 5"/>
    <w:basedOn w:val="Normlnatabuka"/>
    <w:uiPriority w:val="60"/>
    <w:rsid w:val="000256E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riekatabuky">
    <w:name w:val="Table Grid"/>
    <w:basedOn w:val="Normlnatabuka"/>
    <w:uiPriority w:val="59"/>
    <w:rsid w:val="00025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0114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11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table" w:styleId="Strednpodfarbenie1">
    <w:name w:val="Medium Shading 1"/>
    <w:basedOn w:val="Normlnatabuka"/>
    <w:uiPriority w:val="63"/>
    <w:rsid w:val="007A344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vysvetlivky">
    <w:name w:val="endnote text"/>
    <w:basedOn w:val="Normlny"/>
    <w:link w:val="TextvysvetlivkyChar"/>
    <w:semiHidden/>
    <w:qFormat/>
    <w:rsid w:val="00EE0A94"/>
    <w:pPr>
      <w:spacing w:after="0"/>
      <w:jc w:val="left"/>
    </w:pPr>
    <w:rPr>
      <w:sz w:val="20"/>
      <w:szCs w:val="20"/>
      <w:lang w:eastAsia="sk-SK" w:bidi="ar-SA"/>
    </w:rPr>
  </w:style>
  <w:style w:type="character" w:customStyle="1" w:styleId="TextvysvetlivkyChar">
    <w:name w:val="Text vysvetlivky Char"/>
    <w:basedOn w:val="Predvolenpsmoodseku"/>
    <w:link w:val="Textvysvetlivky"/>
    <w:semiHidden/>
    <w:rsid w:val="00EE0A94"/>
    <w:rPr>
      <w:rFonts w:ascii="Cambria" w:eastAsia="Times New Roman" w:hAnsi="Cambria"/>
      <w:shd w:val="clear" w:color="auto" w:fill="FFFFFF"/>
    </w:rPr>
  </w:style>
  <w:style w:type="character" w:styleId="Odkaznavysvetlivku">
    <w:name w:val="endnote reference"/>
    <w:basedOn w:val="Predvolenpsmoodseku"/>
    <w:semiHidden/>
    <w:rsid w:val="00297A93"/>
    <w:rPr>
      <w:vertAlign w:val="superscript"/>
    </w:rPr>
  </w:style>
  <w:style w:type="paragraph" w:customStyle="1" w:styleId="1NNote">
    <w:name w:val="1 N° Note"/>
    <w:basedOn w:val="Normlny"/>
    <w:next w:val="Normlny"/>
    <w:rsid w:val="00297A9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0"/>
      <w:jc w:val="right"/>
    </w:pPr>
    <w:rPr>
      <w:rFonts w:ascii="Arial" w:hAnsi="Arial"/>
      <w:b/>
      <w:caps/>
      <w:snapToGrid w:val="0"/>
      <w:szCs w:val="20"/>
      <w:lang w:val="en-GB" w:eastAsia="en-GB" w:bidi="ar-SA"/>
    </w:rPr>
  </w:style>
  <w:style w:type="paragraph" w:styleId="Odsekzoznamu">
    <w:name w:val="List Paragraph"/>
    <w:basedOn w:val="Normlny"/>
    <w:link w:val="OdsekzoznamuChar"/>
    <w:uiPriority w:val="34"/>
    <w:qFormat/>
    <w:rsid w:val="00713644"/>
    <w:pPr>
      <w:ind w:left="720"/>
      <w:contextualSpacing/>
    </w:pPr>
  </w:style>
  <w:style w:type="paragraph" w:styleId="Bezriadkovania">
    <w:name w:val="No Spacing"/>
    <w:uiPriority w:val="1"/>
    <w:qFormat/>
    <w:rsid w:val="00713644"/>
    <w:pPr>
      <w:jc w:val="both"/>
    </w:pPr>
    <w:rPr>
      <w:rFonts w:ascii="Cambria" w:eastAsia="Times New Roman" w:hAnsi="Cambria"/>
      <w:sz w:val="22"/>
      <w:szCs w:val="22"/>
      <w:lang w:eastAsia="en-US" w:bidi="en-US"/>
    </w:rPr>
  </w:style>
  <w:style w:type="paragraph" w:customStyle="1" w:styleId="5Normal">
    <w:name w:val="5 Normal"/>
    <w:rsid w:val="0071364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eastAsia="Times New Roman" w:hAnsi="Arial"/>
      <w:snapToGrid w:val="0"/>
      <w:spacing w:val="-2"/>
      <w:sz w:val="22"/>
      <w:lang w:val="en-GB" w:eastAsia="en-GB"/>
    </w:rPr>
  </w:style>
  <w:style w:type="paragraph" w:styleId="Zkladntext">
    <w:name w:val="Body Text"/>
    <w:basedOn w:val="Normlny"/>
    <w:link w:val="ZkladntextChar"/>
    <w:rsid w:val="00713644"/>
    <w:pPr>
      <w:shd w:val="clear" w:color="auto" w:fill="auto"/>
      <w:spacing w:after="120" w:line="240" w:lineRule="auto"/>
      <w:jc w:val="left"/>
    </w:pPr>
    <w:rPr>
      <w:rFonts w:ascii="Times New Roman" w:hAnsi="Times New Roman"/>
      <w:szCs w:val="24"/>
      <w:lang w:eastAsia="sk-SK" w:bidi="ar-SA"/>
    </w:rPr>
  </w:style>
  <w:style w:type="character" w:customStyle="1" w:styleId="ZkladntextChar">
    <w:name w:val="Základný text Char"/>
    <w:basedOn w:val="Predvolenpsmoodseku"/>
    <w:link w:val="Zkladntext"/>
    <w:rsid w:val="00713644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7F0491"/>
    <w:rPr>
      <w:rFonts w:ascii="Cambria" w:eastAsia="Times New Roman" w:hAnsi="Cambria"/>
      <w:b/>
      <w:sz w:val="24"/>
      <w:szCs w:val="22"/>
      <w:shd w:val="clear" w:color="auto" w:fill="FFFFFF"/>
      <w:lang w:eastAsia="en-US" w:bidi="en-US"/>
    </w:rPr>
  </w:style>
  <w:style w:type="character" w:customStyle="1" w:styleId="apple-converted-space">
    <w:name w:val="apple-converted-space"/>
    <w:basedOn w:val="Predvolenpsmoodseku"/>
    <w:rsid w:val="00C36036"/>
  </w:style>
  <w:style w:type="character" w:styleId="Siln">
    <w:name w:val="Strong"/>
    <w:basedOn w:val="Predvolenpsmoodseku"/>
    <w:uiPriority w:val="22"/>
    <w:qFormat/>
    <w:rsid w:val="00C36036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E545A"/>
    <w:rPr>
      <w:color w:val="0000FF"/>
      <w:u w:val="single"/>
    </w:rPr>
  </w:style>
  <w:style w:type="numbering" w:customStyle="1" w:styleId="Bezzoznamu1">
    <w:name w:val="Bez zoznamu1"/>
    <w:next w:val="Bezzoznamu"/>
    <w:semiHidden/>
    <w:rsid w:val="00D75A0F"/>
  </w:style>
  <w:style w:type="paragraph" w:customStyle="1" w:styleId="ListParagraphChar">
    <w:name w:val="List Paragraph Char"/>
    <w:basedOn w:val="Normlny"/>
    <w:link w:val="ListParagraphCharChar"/>
    <w:rsid w:val="00D75A0F"/>
    <w:pPr>
      <w:numPr>
        <w:numId w:val="11"/>
      </w:numPr>
      <w:shd w:val="clear" w:color="auto" w:fill="auto"/>
      <w:autoSpaceDE w:val="0"/>
      <w:autoSpaceDN w:val="0"/>
      <w:adjustRightInd w:val="0"/>
      <w:spacing w:after="120" w:line="240" w:lineRule="auto"/>
      <w:ind w:left="0" w:firstLine="0"/>
    </w:pPr>
    <w:rPr>
      <w:color w:val="000000"/>
      <w:sz w:val="22"/>
      <w:lang w:val="x-none" w:eastAsia="sk-SK" w:bidi="ar-SA"/>
    </w:rPr>
  </w:style>
  <w:style w:type="character" w:customStyle="1" w:styleId="Jemnodkaz1">
    <w:name w:val="Jemný odkaz1"/>
    <w:rsid w:val="00D75A0F"/>
    <w:rPr>
      <w:rFonts w:eastAsia="Times New Roman"/>
      <w:color w:val="5A5A5A"/>
      <w:sz w:val="18"/>
      <w:szCs w:val="18"/>
    </w:rPr>
  </w:style>
  <w:style w:type="character" w:customStyle="1" w:styleId="ListParagraphCharChar">
    <w:name w:val="List Paragraph Char Char"/>
    <w:link w:val="ListParagraphChar"/>
    <w:rsid w:val="00D75A0F"/>
    <w:rPr>
      <w:rFonts w:ascii="Cambria" w:eastAsia="Times New Roman" w:hAnsi="Cambria"/>
      <w:color w:val="000000"/>
      <w:sz w:val="22"/>
      <w:szCs w:val="22"/>
      <w:lang w:val="x-none"/>
    </w:rPr>
  </w:style>
  <w:style w:type="table" w:customStyle="1" w:styleId="Mriekatabuky1">
    <w:name w:val="Mriežka tabuľky1"/>
    <w:basedOn w:val="Normlnatabuka"/>
    <w:next w:val="Mriekatabuky"/>
    <w:rsid w:val="00D75A0F"/>
    <w:pPr>
      <w:spacing w:after="12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zoznamu1">
    <w:name w:val="Odsek zoznamu1"/>
    <w:basedOn w:val="Normlny"/>
    <w:rsid w:val="00D75A0F"/>
    <w:pPr>
      <w:shd w:val="clear" w:color="auto" w:fill="auto"/>
      <w:autoSpaceDE w:val="0"/>
      <w:autoSpaceDN w:val="0"/>
      <w:adjustRightInd w:val="0"/>
      <w:spacing w:after="120" w:line="240" w:lineRule="auto"/>
    </w:pPr>
    <w:rPr>
      <w:color w:val="000000"/>
      <w:lang w:eastAsia="sk-SK" w:bidi="ar-SA"/>
    </w:rPr>
  </w:style>
  <w:style w:type="character" w:customStyle="1" w:styleId="h1a">
    <w:name w:val="h1a"/>
    <w:basedOn w:val="Predvolenpsmoodseku"/>
    <w:rsid w:val="00D75A0F"/>
  </w:style>
  <w:style w:type="paragraph" w:styleId="PredformtovanHTML">
    <w:name w:val="HTML Preformatted"/>
    <w:basedOn w:val="Normlny"/>
    <w:link w:val="PredformtovanHTMLChar"/>
    <w:rsid w:val="00D75A0F"/>
    <w:pPr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20"/>
      <w:szCs w:val="20"/>
      <w:lang w:eastAsia="sk-SK" w:bidi="ar-SA"/>
    </w:rPr>
  </w:style>
  <w:style w:type="character" w:customStyle="1" w:styleId="PredformtovanHTMLChar">
    <w:name w:val="Predformátované HTML Char"/>
    <w:basedOn w:val="Predvolenpsmoodseku"/>
    <w:link w:val="PredformtovanHTML"/>
    <w:rsid w:val="00D75A0F"/>
    <w:rPr>
      <w:rFonts w:ascii="Courier New" w:eastAsia="Times New Roman" w:hAnsi="Courier New" w:cs="Courier New"/>
      <w:color w:val="000000"/>
    </w:rPr>
  </w:style>
  <w:style w:type="paragraph" w:customStyle="1" w:styleId="CharCharChar">
    <w:name w:val="Char Char Char"/>
    <w:basedOn w:val="Normlny"/>
    <w:rsid w:val="00D75A0F"/>
    <w:pPr>
      <w:shd w:val="clear" w:color="auto" w:fill="auto"/>
      <w:spacing w:after="160" w:line="240" w:lineRule="exact"/>
    </w:pPr>
    <w:rPr>
      <w:rFonts w:ascii="Verdana" w:hAnsi="Verdana" w:cs="Verdana"/>
      <w:color w:val="000000"/>
      <w:sz w:val="20"/>
      <w:szCs w:val="20"/>
      <w:lang w:val="en-US" w:bidi="ar-SA"/>
    </w:rPr>
  </w:style>
  <w:style w:type="paragraph" w:styleId="Zarkazkladnhotextu3">
    <w:name w:val="Body Text Indent 3"/>
    <w:basedOn w:val="Normlny"/>
    <w:link w:val="Zarkazkladnhotextu3Char"/>
    <w:rsid w:val="00D75A0F"/>
    <w:pPr>
      <w:shd w:val="clear" w:color="auto" w:fill="auto"/>
      <w:spacing w:after="120" w:line="240" w:lineRule="auto"/>
      <w:ind w:left="283"/>
    </w:pPr>
    <w:rPr>
      <w:color w:val="000000"/>
      <w:sz w:val="16"/>
      <w:szCs w:val="16"/>
      <w:lang w:bidi="ar-SA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D75A0F"/>
    <w:rPr>
      <w:rFonts w:ascii="Cambria" w:eastAsia="Times New Roman" w:hAnsi="Cambria"/>
      <w:color w:val="000000"/>
      <w:sz w:val="16"/>
      <w:szCs w:val="16"/>
      <w:lang w:eastAsia="en-US"/>
    </w:rPr>
  </w:style>
  <w:style w:type="paragraph" w:styleId="Podtitul">
    <w:name w:val="Subtitle"/>
    <w:basedOn w:val="Normlny"/>
    <w:next w:val="Normlny"/>
    <w:link w:val="PodtitulChar"/>
    <w:qFormat/>
    <w:rsid w:val="00D75A0F"/>
    <w:pPr>
      <w:numPr>
        <w:ilvl w:val="12"/>
      </w:numPr>
      <w:shd w:val="clear" w:color="auto" w:fill="auto"/>
      <w:spacing w:after="120" w:line="240" w:lineRule="auto"/>
    </w:pPr>
    <w:rPr>
      <w:b/>
      <w:color w:val="000000"/>
      <w:lang w:bidi="ar-SA"/>
    </w:rPr>
  </w:style>
  <w:style w:type="character" w:customStyle="1" w:styleId="PodtitulChar">
    <w:name w:val="Podtitul Char"/>
    <w:basedOn w:val="Predvolenpsmoodseku"/>
    <w:link w:val="Podtitul"/>
    <w:rsid w:val="00D75A0F"/>
    <w:rPr>
      <w:rFonts w:ascii="Cambria" w:eastAsia="Times New Roman" w:hAnsi="Cambria"/>
      <w:b/>
      <w:color w:val="000000"/>
      <w:sz w:val="24"/>
      <w:szCs w:val="22"/>
      <w:lang w:eastAsia="en-US"/>
    </w:rPr>
  </w:style>
  <w:style w:type="paragraph" w:customStyle="1" w:styleId="QuoteChar">
    <w:name w:val="Quote Char"/>
    <w:basedOn w:val="Normlny"/>
    <w:next w:val="Normlny"/>
    <w:link w:val="QuoteCharChar"/>
    <w:rsid w:val="00D75A0F"/>
    <w:pPr>
      <w:shd w:val="clear" w:color="auto" w:fill="auto"/>
      <w:spacing w:after="120" w:line="240" w:lineRule="auto"/>
      <w:ind w:left="284"/>
    </w:pPr>
    <w:rPr>
      <w:i/>
      <w:color w:val="000000"/>
      <w:szCs w:val="20"/>
      <w:lang w:bidi="ar-SA"/>
    </w:rPr>
  </w:style>
  <w:style w:type="character" w:customStyle="1" w:styleId="QuoteCharChar">
    <w:name w:val="Quote Char Char"/>
    <w:link w:val="QuoteChar"/>
    <w:locked/>
    <w:rsid w:val="00D75A0F"/>
    <w:rPr>
      <w:rFonts w:ascii="Cambria" w:eastAsia="Times New Roman" w:hAnsi="Cambria"/>
      <w:i/>
      <w:color w:val="000000"/>
      <w:sz w:val="24"/>
      <w:lang w:eastAsia="en-US"/>
    </w:rPr>
  </w:style>
  <w:style w:type="paragraph" w:customStyle="1" w:styleId="tabulka">
    <w:name w:val="tabulka"/>
    <w:basedOn w:val="Normlny"/>
    <w:link w:val="tabulkaChar"/>
    <w:rsid w:val="00D75A0F"/>
    <w:pPr>
      <w:shd w:val="clear" w:color="auto" w:fill="auto"/>
      <w:spacing w:line="240" w:lineRule="auto"/>
    </w:pPr>
    <w:rPr>
      <w:noProof/>
      <w:color w:val="000000"/>
      <w:sz w:val="18"/>
      <w:szCs w:val="20"/>
      <w:lang w:eastAsia="sk-SK" w:bidi="ar-SA"/>
    </w:rPr>
  </w:style>
  <w:style w:type="character" w:customStyle="1" w:styleId="tabulkaChar">
    <w:name w:val="tabulka Char"/>
    <w:link w:val="tabulka"/>
    <w:locked/>
    <w:rsid w:val="00D75A0F"/>
    <w:rPr>
      <w:rFonts w:ascii="Cambria" w:eastAsia="Times New Roman" w:hAnsi="Cambria"/>
      <w:noProof/>
      <w:color w:val="000000"/>
      <w:sz w:val="18"/>
    </w:rPr>
  </w:style>
  <w:style w:type="character" w:customStyle="1" w:styleId="SubtitleChar">
    <w:name w:val="Subtitle Char"/>
    <w:rsid w:val="00D75A0F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Normlnywebov">
    <w:name w:val="Normal (Web)"/>
    <w:basedOn w:val="Normlny"/>
    <w:uiPriority w:val="99"/>
    <w:rsid w:val="00D75A0F"/>
    <w:pPr>
      <w:shd w:val="clear" w:color="auto" w:fill="auto"/>
      <w:spacing w:before="100" w:beforeAutospacing="1" w:after="100" w:afterAutospacing="1" w:line="240" w:lineRule="auto"/>
    </w:pPr>
    <w:rPr>
      <w:color w:val="000000"/>
      <w:lang w:val="cs-CZ" w:eastAsia="sk-SK" w:bidi="ar-SA"/>
    </w:rPr>
  </w:style>
  <w:style w:type="character" w:styleId="Zvraznenie">
    <w:name w:val="Emphasis"/>
    <w:qFormat/>
    <w:rsid w:val="00D75A0F"/>
    <w:rPr>
      <w:i/>
      <w:iCs/>
    </w:rPr>
  </w:style>
  <w:style w:type="character" w:styleId="PouitHypertextovPrepojenie">
    <w:name w:val="FollowedHyperlink"/>
    <w:rsid w:val="00D75A0F"/>
    <w:rPr>
      <w:color w:val="800080"/>
      <w:u w:val="single"/>
    </w:rPr>
  </w:style>
  <w:style w:type="paragraph" w:customStyle="1" w:styleId="Citcia1">
    <w:name w:val="Citácia1"/>
    <w:basedOn w:val="Normlny"/>
    <w:next w:val="Normlny"/>
    <w:rsid w:val="00D75A0F"/>
    <w:pPr>
      <w:shd w:val="clear" w:color="auto" w:fill="auto"/>
      <w:spacing w:after="120" w:line="240" w:lineRule="auto"/>
      <w:ind w:left="284"/>
    </w:pPr>
    <w:rPr>
      <w:i/>
      <w:color w:val="000000"/>
      <w:szCs w:val="20"/>
      <w:lang w:bidi="ar-SA"/>
    </w:rPr>
  </w:style>
  <w:style w:type="character" w:customStyle="1" w:styleId="st">
    <w:name w:val="st"/>
    <w:basedOn w:val="Predvolenpsmoodseku"/>
    <w:rsid w:val="00D75A0F"/>
  </w:style>
  <w:style w:type="character" w:customStyle="1" w:styleId="OdsekzoznamuChar">
    <w:name w:val="Odsek zoznamu Char"/>
    <w:link w:val="Odsekzoznamu"/>
    <w:uiPriority w:val="34"/>
    <w:locked/>
    <w:rsid w:val="00D75A0F"/>
    <w:rPr>
      <w:rFonts w:ascii="Cambria" w:eastAsia="Times New Roman" w:hAnsi="Cambria"/>
      <w:sz w:val="24"/>
      <w:szCs w:val="22"/>
      <w:shd w:val="clear" w:color="auto" w:fill="FFFFFF"/>
      <w:lang w:eastAsia="en-US" w:bidi="en-US"/>
    </w:rPr>
  </w:style>
  <w:style w:type="character" w:customStyle="1" w:styleId="Zkladntext0">
    <w:name w:val="Základný text_"/>
    <w:link w:val="Zkladntext9"/>
    <w:rsid w:val="00D75A0F"/>
    <w:rPr>
      <w:sz w:val="21"/>
      <w:szCs w:val="21"/>
      <w:shd w:val="clear" w:color="auto" w:fill="FFFFFF"/>
    </w:rPr>
  </w:style>
  <w:style w:type="paragraph" w:customStyle="1" w:styleId="Zkladntext9">
    <w:name w:val="Základný text9"/>
    <w:basedOn w:val="Normlny"/>
    <w:link w:val="Zkladntext0"/>
    <w:rsid w:val="00D75A0F"/>
    <w:pPr>
      <w:spacing w:before="1440" w:line="0" w:lineRule="atLeast"/>
      <w:ind w:hanging="1080"/>
      <w:jc w:val="center"/>
    </w:pPr>
    <w:rPr>
      <w:rFonts w:ascii="Calibri" w:eastAsia="Calibri" w:hAnsi="Calibri"/>
      <w:sz w:val="21"/>
      <w:szCs w:val="21"/>
      <w:lang w:eastAsia="sk-SK" w:bidi="ar-SA"/>
    </w:rPr>
  </w:style>
  <w:style w:type="paragraph" w:customStyle="1" w:styleId="Standard">
    <w:name w:val="Standard"/>
    <w:rsid w:val="00D75A0F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Jemnodkaz">
    <w:name w:val="Subtle Reference"/>
    <w:uiPriority w:val="31"/>
    <w:qFormat/>
    <w:rsid w:val="00D75A0F"/>
    <w:rPr>
      <w:rFonts w:ascii="Cambria" w:eastAsia="Times New Roman" w:hAnsi="Cambria"/>
      <w:color w:val="auto"/>
      <w:sz w:val="18"/>
      <w:szCs w:val="18"/>
      <w:lang w:val="sk-SK"/>
    </w:rPr>
  </w:style>
  <w:style w:type="table" w:styleId="Svetlzoznam">
    <w:name w:val="Light List"/>
    <w:basedOn w:val="Normlnatabuka"/>
    <w:uiPriority w:val="61"/>
    <w:rsid w:val="00D75A0F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vetlpodfarbenie1">
    <w:name w:val="Svetlé podfarbenie1"/>
    <w:basedOn w:val="Normlnatabuka"/>
    <w:next w:val="Svetlpodfarbenie"/>
    <w:uiPriority w:val="60"/>
    <w:rsid w:val="00D75A0F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Odkaznakomentr">
    <w:name w:val="annotation reference"/>
    <w:uiPriority w:val="99"/>
    <w:semiHidden/>
    <w:unhideWhenUsed/>
    <w:rsid w:val="00D75A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75A0F"/>
    <w:pPr>
      <w:shd w:val="clear" w:color="auto" w:fill="auto"/>
      <w:spacing w:line="240" w:lineRule="auto"/>
    </w:pPr>
    <w:rPr>
      <w:color w:val="000000"/>
      <w:sz w:val="20"/>
      <w:szCs w:val="20"/>
      <w:lang w:eastAsia="sk-SK"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5A0F"/>
    <w:rPr>
      <w:rFonts w:ascii="Cambria" w:eastAsia="Times New Roman" w:hAnsi="Cambria"/>
      <w:color w:val="000000"/>
    </w:rPr>
  </w:style>
  <w:style w:type="paragraph" w:customStyle="1" w:styleId="bodytext">
    <w:name w:val="bodytext"/>
    <w:basedOn w:val="Normlny"/>
    <w:rsid w:val="00D75A0F"/>
    <w:pPr>
      <w:shd w:val="clear" w:color="auto" w:fill="auto"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sk-SK" w:bidi="ar-SA"/>
    </w:rPr>
  </w:style>
  <w:style w:type="paragraph" w:customStyle="1" w:styleId="Pa15">
    <w:name w:val="Pa15"/>
    <w:basedOn w:val="Normlny"/>
    <w:next w:val="Normlny"/>
    <w:uiPriority w:val="99"/>
    <w:rsid w:val="00D75A0F"/>
    <w:pPr>
      <w:shd w:val="clear" w:color="auto" w:fill="auto"/>
      <w:autoSpaceDE w:val="0"/>
      <w:autoSpaceDN w:val="0"/>
      <w:adjustRightInd w:val="0"/>
      <w:spacing w:after="0" w:line="181" w:lineRule="atLeast"/>
      <w:jc w:val="left"/>
    </w:pPr>
    <w:rPr>
      <w:rFonts w:ascii="Myriad Pro Light" w:eastAsia="Calibri" w:hAnsi="Myriad Pro Light"/>
      <w:szCs w:val="24"/>
      <w:lang w:bidi="ar-SA"/>
    </w:rPr>
  </w:style>
  <w:style w:type="character" w:customStyle="1" w:styleId="metadataicon">
    <w:name w:val="metadataicon"/>
    <w:rsid w:val="00D75A0F"/>
  </w:style>
  <w:style w:type="numbering" w:customStyle="1" w:styleId="Bezzoznamu11">
    <w:name w:val="Bez zoznamu11"/>
    <w:next w:val="Bezzoznamu"/>
    <w:uiPriority w:val="99"/>
    <w:semiHidden/>
    <w:unhideWhenUsed/>
    <w:rsid w:val="00D75A0F"/>
  </w:style>
  <w:style w:type="table" w:customStyle="1" w:styleId="Svetlpodfarbenie11">
    <w:name w:val="Svetlé podfarbenie11"/>
    <w:basedOn w:val="Normlnatabuka"/>
    <w:next w:val="Svetlpodfarbenie"/>
    <w:uiPriority w:val="60"/>
    <w:rsid w:val="00D75A0F"/>
    <w:rPr>
      <w:rFonts w:ascii="Cambria" w:eastAsia="Times New Roman" w:hAnsi="Cambria"/>
      <w:color w:val="000000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etlpodfarbeniezvraznenie51">
    <w:name w:val="Svetlé podfarbenie – zvýraznenie 51"/>
    <w:basedOn w:val="Normlnatabuka"/>
    <w:next w:val="Svetlpodfarbeniezvraznenie5"/>
    <w:uiPriority w:val="60"/>
    <w:rsid w:val="00D75A0F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D75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rednpodfarbenie11">
    <w:name w:val="Stredné podfarbenie 11"/>
    <w:basedOn w:val="Normlnatabuka"/>
    <w:next w:val="Strednpodfarbenie1"/>
    <w:uiPriority w:val="63"/>
    <w:rsid w:val="00D75A0F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D0FBE"/>
    <w:pPr>
      <w:keepLines/>
      <w:numPr>
        <w:numId w:val="0"/>
      </w:numPr>
      <w:pBdr>
        <w:bottom w:val="none" w:sz="0" w:space="0" w:color="auto"/>
      </w:pBdr>
      <w:shd w:val="clear" w:color="auto" w:fill="auto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aps w:val="0"/>
      <w:smallCaps w:val="0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2D0FBE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2D0FBE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2D0FBE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3644"/>
    <w:pPr>
      <w:shd w:val="clear" w:color="auto" w:fill="FFFFFF"/>
      <w:spacing w:after="240" w:line="288" w:lineRule="auto"/>
      <w:jc w:val="both"/>
    </w:pPr>
    <w:rPr>
      <w:rFonts w:ascii="Cambria" w:eastAsia="Times New Roman" w:hAnsi="Cambria"/>
      <w:sz w:val="24"/>
      <w:szCs w:val="22"/>
      <w:lang w:eastAsia="en-US" w:bidi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4300A"/>
    <w:pPr>
      <w:keepNext/>
      <w:numPr>
        <w:numId w:val="38"/>
      </w:numPr>
      <w:pBdr>
        <w:bottom w:val="single" w:sz="4" w:space="1" w:color="auto"/>
      </w:pBdr>
      <w:spacing w:before="240" w:after="60"/>
      <w:outlineLvl w:val="0"/>
    </w:pPr>
    <w:rPr>
      <w:bCs/>
      <w:caps/>
      <w:smallCaps/>
      <w:color w:val="000000" w:themeColor="text1"/>
      <w:kern w:val="32"/>
      <w:sz w:val="40"/>
      <w:szCs w:val="32"/>
      <w:lang w:eastAsia="sk-SK" w:bidi="ar-SA"/>
    </w:rPr>
  </w:style>
  <w:style w:type="paragraph" w:styleId="Nadpis2">
    <w:name w:val="heading 2"/>
    <w:aliases w:val="Heading 2 Char"/>
    <w:basedOn w:val="Normlny"/>
    <w:next w:val="Normlny"/>
    <w:link w:val="Nadpis2Char"/>
    <w:uiPriority w:val="9"/>
    <w:unhideWhenUsed/>
    <w:qFormat/>
    <w:rsid w:val="00304509"/>
    <w:pPr>
      <w:pBdr>
        <w:bottom w:val="single" w:sz="4" w:space="1" w:color="622423"/>
      </w:pBdr>
      <w:spacing w:before="400"/>
      <w:jc w:val="center"/>
      <w:outlineLvl w:val="1"/>
    </w:pPr>
    <w:rPr>
      <w:caps/>
      <w:color w:val="000000"/>
      <w:spacing w:val="15"/>
      <w:sz w:val="32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1364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000000"/>
      <w:sz w:val="28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F0491"/>
    <w:pPr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Heading 2 Char Char"/>
    <w:link w:val="Nadpis2"/>
    <w:uiPriority w:val="9"/>
    <w:rsid w:val="00304509"/>
    <w:rPr>
      <w:rFonts w:ascii="Cambria" w:eastAsia="Times New Roman" w:hAnsi="Cambria" w:cs="Times New Roman"/>
      <w:caps/>
      <w:color w:val="000000"/>
      <w:spacing w:val="15"/>
      <w:sz w:val="32"/>
      <w:szCs w:val="24"/>
      <w:lang w:bidi="en-US"/>
    </w:rPr>
  </w:style>
  <w:style w:type="character" w:customStyle="1" w:styleId="Nadpis3Char">
    <w:name w:val="Nadpis 3 Char"/>
    <w:link w:val="Nadpis3"/>
    <w:uiPriority w:val="9"/>
    <w:rsid w:val="00713644"/>
    <w:rPr>
      <w:rFonts w:ascii="Cambria" w:eastAsia="Times New Roman" w:hAnsi="Cambria"/>
      <w:caps/>
      <w:color w:val="000000"/>
      <w:sz w:val="28"/>
      <w:szCs w:val="24"/>
      <w:lang w:eastAsia="en-US" w:bidi="en-US"/>
    </w:rPr>
  </w:style>
  <w:style w:type="paragraph" w:styleId="Popis">
    <w:name w:val="caption"/>
    <w:aliases w:val="Caption Char3,Caption Char2 Char,Caption Char1 Char Char,Caption Char Char Char Char,Caption Char Char1 Char,Caption Char1 Char1,Caption Char Char Char1,Caption Char Char2"/>
    <w:basedOn w:val="Normlny"/>
    <w:next w:val="Normlny"/>
    <w:uiPriority w:val="35"/>
    <w:unhideWhenUsed/>
    <w:qFormat/>
    <w:rsid w:val="00A707FF"/>
    <w:rPr>
      <w:b/>
      <w:caps/>
      <w:color w:val="808080" w:themeColor="background1" w:themeShade="80"/>
      <w:spacing w:val="10"/>
      <w:sz w:val="18"/>
      <w:szCs w:val="18"/>
    </w:rPr>
  </w:style>
  <w:style w:type="paragraph" w:styleId="Textpoznmkypodiarou">
    <w:name w:val="footnote text"/>
    <w:aliases w:val="stile 1,Alaviitteen teksti Char,Alaviitteen teksti Char Char Char Char Char,Märk,Fußnotentext arial,Footnote Text Char2,Footnote Text Char1 Char,Footnote Text Char Char Char,Footnote Text Char Char1,Fußnotentext Char,fn, Märk"/>
    <w:basedOn w:val="Normlny"/>
    <w:link w:val="TextpoznmkypodiarouChar"/>
    <w:unhideWhenUsed/>
    <w:rsid w:val="00304509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aliases w:val="stile 1 Char,Alaviitteen teksti Char Char,Alaviitteen teksti Char Char Char Char Char Char,Märk Char,Fußnotentext arial Char,Footnote Text Char2 Char,Footnote Text Char1 Char Char,Footnote Text Char Char Char Char,fn Char"/>
    <w:link w:val="Textpoznmkypodiarou"/>
    <w:rsid w:val="00304509"/>
    <w:rPr>
      <w:rFonts w:ascii="Cambria" w:eastAsia="Times New Roman" w:hAnsi="Cambria" w:cs="Times New Roman"/>
      <w:sz w:val="20"/>
      <w:szCs w:val="20"/>
      <w:lang w:bidi="en-US"/>
    </w:rPr>
  </w:style>
  <w:style w:type="character" w:styleId="Odkaznapoznmkupodiarou">
    <w:name w:val="footnote reference"/>
    <w:aliases w:val="Footnote,Footnotes refss,Footnote Reference Superscript,BVI fnr,Footnote symbol,Footnote symboFußnotenzeichen,Footnote sign,Footnote Reference text,SUPERS,Footnote reference number,note TESI,-E Fußnotenzeichen,number,Char Ch"/>
    <w:uiPriority w:val="99"/>
    <w:unhideWhenUsed/>
    <w:rsid w:val="00304509"/>
    <w:rPr>
      <w:vertAlign w:val="superscript"/>
    </w:rPr>
  </w:style>
  <w:style w:type="paragraph" w:customStyle="1" w:styleId="Default">
    <w:name w:val="Default"/>
    <w:basedOn w:val="Normlny"/>
    <w:qFormat/>
    <w:rsid w:val="0017792F"/>
    <w:pPr>
      <w:spacing w:line="240" w:lineRule="auto"/>
    </w:pPr>
  </w:style>
  <w:style w:type="table" w:styleId="Svetlpodfarbenie">
    <w:name w:val="Light Shading"/>
    <w:basedOn w:val="Normlnatabuka"/>
    <w:uiPriority w:val="60"/>
    <w:rsid w:val="00304509"/>
    <w:rPr>
      <w:rFonts w:ascii="Cambria" w:eastAsia="Times New Roman" w:hAnsi="Cambria"/>
      <w:color w:val="000000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Farebnzoznam">
    <w:name w:val="Colorful List"/>
    <w:basedOn w:val="Normlnatabuka"/>
    <w:uiPriority w:val="72"/>
    <w:rsid w:val="003E26D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Nadpis1Char">
    <w:name w:val="Nadpis 1 Char"/>
    <w:link w:val="Nadpis1"/>
    <w:uiPriority w:val="9"/>
    <w:rsid w:val="0064300A"/>
    <w:rPr>
      <w:rFonts w:ascii="Cambria" w:eastAsia="Times New Roman" w:hAnsi="Cambria"/>
      <w:bCs/>
      <w:caps/>
      <w:smallCaps/>
      <w:color w:val="000000" w:themeColor="text1"/>
      <w:kern w:val="32"/>
      <w:sz w:val="40"/>
      <w:szCs w:val="32"/>
      <w:shd w:val="clear" w:color="auto" w:fill="FFFFFF"/>
    </w:rPr>
  </w:style>
  <w:style w:type="paragraph" w:styleId="Hlavika">
    <w:name w:val="header"/>
    <w:basedOn w:val="Normlny"/>
    <w:link w:val="HlavikaChar"/>
    <w:uiPriority w:val="99"/>
    <w:unhideWhenUsed/>
    <w:rsid w:val="009873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873EB"/>
    <w:rPr>
      <w:rFonts w:ascii="Cambria" w:eastAsia="Times New Roman" w:hAnsi="Cambria"/>
      <w:sz w:val="22"/>
      <w:szCs w:val="22"/>
      <w:lang w:eastAsia="en-US" w:bidi="en-US"/>
    </w:rPr>
  </w:style>
  <w:style w:type="paragraph" w:styleId="Pta">
    <w:name w:val="footer"/>
    <w:basedOn w:val="Normlny"/>
    <w:link w:val="PtaChar"/>
    <w:uiPriority w:val="99"/>
    <w:unhideWhenUsed/>
    <w:rsid w:val="009873E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873EB"/>
    <w:rPr>
      <w:rFonts w:ascii="Cambria" w:eastAsia="Times New Roman" w:hAnsi="Cambria"/>
      <w:sz w:val="22"/>
      <w:szCs w:val="22"/>
      <w:lang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30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30F1"/>
    <w:rPr>
      <w:rFonts w:ascii="Tahoma" w:eastAsia="Times New Roman" w:hAnsi="Tahoma" w:cs="Tahoma"/>
      <w:sz w:val="16"/>
      <w:szCs w:val="16"/>
      <w:lang w:eastAsia="en-US" w:bidi="en-US"/>
    </w:rPr>
  </w:style>
  <w:style w:type="table" w:styleId="Svetlpodfarbeniezvraznenie5">
    <w:name w:val="Light Shading Accent 5"/>
    <w:basedOn w:val="Normlnatabuka"/>
    <w:uiPriority w:val="60"/>
    <w:rsid w:val="000256E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riekatabuky">
    <w:name w:val="Table Grid"/>
    <w:basedOn w:val="Normlnatabuka"/>
    <w:uiPriority w:val="59"/>
    <w:rsid w:val="00025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0114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11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table" w:styleId="Strednpodfarbenie1">
    <w:name w:val="Medium Shading 1"/>
    <w:basedOn w:val="Normlnatabuka"/>
    <w:uiPriority w:val="63"/>
    <w:rsid w:val="007A344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vysvetlivky">
    <w:name w:val="endnote text"/>
    <w:basedOn w:val="Normlny"/>
    <w:link w:val="TextvysvetlivkyChar"/>
    <w:semiHidden/>
    <w:qFormat/>
    <w:rsid w:val="00EE0A94"/>
    <w:pPr>
      <w:spacing w:after="0"/>
      <w:jc w:val="left"/>
    </w:pPr>
    <w:rPr>
      <w:sz w:val="20"/>
      <w:szCs w:val="20"/>
      <w:lang w:eastAsia="sk-SK" w:bidi="ar-SA"/>
    </w:rPr>
  </w:style>
  <w:style w:type="character" w:customStyle="1" w:styleId="TextvysvetlivkyChar">
    <w:name w:val="Text vysvetlivky Char"/>
    <w:basedOn w:val="Predvolenpsmoodseku"/>
    <w:link w:val="Textvysvetlivky"/>
    <w:semiHidden/>
    <w:rsid w:val="00EE0A94"/>
    <w:rPr>
      <w:rFonts w:ascii="Cambria" w:eastAsia="Times New Roman" w:hAnsi="Cambria"/>
      <w:shd w:val="clear" w:color="auto" w:fill="FFFFFF"/>
    </w:rPr>
  </w:style>
  <w:style w:type="character" w:styleId="Odkaznavysvetlivku">
    <w:name w:val="endnote reference"/>
    <w:basedOn w:val="Predvolenpsmoodseku"/>
    <w:semiHidden/>
    <w:rsid w:val="00297A93"/>
    <w:rPr>
      <w:vertAlign w:val="superscript"/>
    </w:rPr>
  </w:style>
  <w:style w:type="paragraph" w:customStyle="1" w:styleId="1NNote">
    <w:name w:val="1 N° Note"/>
    <w:basedOn w:val="Normlny"/>
    <w:next w:val="Normlny"/>
    <w:rsid w:val="00297A9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0"/>
      <w:jc w:val="right"/>
    </w:pPr>
    <w:rPr>
      <w:rFonts w:ascii="Arial" w:hAnsi="Arial"/>
      <w:b/>
      <w:caps/>
      <w:snapToGrid w:val="0"/>
      <w:szCs w:val="20"/>
      <w:lang w:val="en-GB" w:eastAsia="en-GB" w:bidi="ar-SA"/>
    </w:rPr>
  </w:style>
  <w:style w:type="paragraph" w:styleId="Odsekzoznamu">
    <w:name w:val="List Paragraph"/>
    <w:basedOn w:val="Normlny"/>
    <w:link w:val="OdsekzoznamuChar"/>
    <w:uiPriority w:val="34"/>
    <w:qFormat/>
    <w:rsid w:val="00713644"/>
    <w:pPr>
      <w:ind w:left="720"/>
      <w:contextualSpacing/>
    </w:pPr>
  </w:style>
  <w:style w:type="paragraph" w:styleId="Bezriadkovania">
    <w:name w:val="No Spacing"/>
    <w:uiPriority w:val="1"/>
    <w:qFormat/>
    <w:rsid w:val="00713644"/>
    <w:pPr>
      <w:jc w:val="both"/>
    </w:pPr>
    <w:rPr>
      <w:rFonts w:ascii="Cambria" w:eastAsia="Times New Roman" w:hAnsi="Cambria"/>
      <w:sz w:val="22"/>
      <w:szCs w:val="22"/>
      <w:lang w:eastAsia="en-US" w:bidi="en-US"/>
    </w:rPr>
  </w:style>
  <w:style w:type="paragraph" w:customStyle="1" w:styleId="5Normal">
    <w:name w:val="5 Normal"/>
    <w:rsid w:val="0071364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eastAsia="Times New Roman" w:hAnsi="Arial"/>
      <w:snapToGrid w:val="0"/>
      <w:spacing w:val="-2"/>
      <w:sz w:val="22"/>
      <w:lang w:val="en-GB" w:eastAsia="en-GB"/>
    </w:rPr>
  </w:style>
  <w:style w:type="paragraph" w:styleId="Zkladntext">
    <w:name w:val="Body Text"/>
    <w:basedOn w:val="Normlny"/>
    <w:link w:val="ZkladntextChar"/>
    <w:rsid w:val="00713644"/>
    <w:pPr>
      <w:shd w:val="clear" w:color="auto" w:fill="auto"/>
      <w:spacing w:after="120" w:line="240" w:lineRule="auto"/>
      <w:jc w:val="left"/>
    </w:pPr>
    <w:rPr>
      <w:rFonts w:ascii="Times New Roman" w:hAnsi="Times New Roman"/>
      <w:szCs w:val="24"/>
      <w:lang w:eastAsia="sk-SK" w:bidi="ar-SA"/>
    </w:rPr>
  </w:style>
  <w:style w:type="character" w:customStyle="1" w:styleId="ZkladntextChar">
    <w:name w:val="Základný text Char"/>
    <w:basedOn w:val="Predvolenpsmoodseku"/>
    <w:link w:val="Zkladntext"/>
    <w:rsid w:val="00713644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7F0491"/>
    <w:rPr>
      <w:rFonts w:ascii="Cambria" w:eastAsia="Times New Roman" w:hAnsi="Cambria"/>
      <w:b/>
      <w:sz w:val="24"/>
      <w:szCs w:val="22"/>
      <w:shd w:val="clear" w:color="auto" w:fill="FFFFFF"/>
      <w:lang w:eastAsia="en-US" w:bidi="en-US"/>
    </w:rPr>
  </w:style>
  <w:style w:type="character" w:customStyle="1" w:styleId="apple-converted-space">
    <w:name w:val="apple-converted-space"/>
    <w:basedOn w:val="Predvolenpsmoodseku"/>
    <w:rsid w:val="00C36036"/>
  </w:style>
  <w:style w:type="character" w:styleId="Siln">
    <w:name w:val="Strong"/>
    <w:basedOn w:val="Predvolenpsmoodseku"/>
    <w:uiPriority w:val="22"/>
    <w:qFormat/>
    <w:rsid w:val="00C36036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E545A"/>
    <w:rPr>
      <w:color w:val="0000FF"/>
      <w:u w:val="single"/>
    </w:rPr>
  </w:style>
  <w:style w:type="numbering" w:customStyle="1" w:styleId="Bezzoznamu1">
    <w:name w:val="Bez zoznamu1"/>
    <w:next w:val="Bezzoznamu"/>
    <w:semiHidden/>
    <w:rsid w:val="00D75A0F"/>
  </w:style>
  <w:style w:type="paragraph" w:customStyle="1" w:styleId="ListParagraphChar">
    <w:name w:val="List Paragraph Char"/>
    <w:basedOn w:val="Normlny"/>
    <w:link w:val="ListParagraphCharChar"/>
    <w:rsid w:val="00D75A0F"/>
    <w:pPr>
      <w:numPr>
        <w:numId w:val="11"/>
      </w:numPr>
      <w:shd w:val="clear" w:color="auto" w:fill="auto"/>
      <w:autoSpaceDE w:val="0"/>
      <w:autoSpaceDN w:val="0"/>
      <w:adjustRightInd w:val="0"/>
      <w:spacing w:after="120" w:line="240" w:lineRule="auto"/>
      <w:ind w:left="0" w:firstLine="0"/>
    </w:pPr>
    <w:rPr>
      <w:color w:val="000000"/>
      <w:sz w:val="22"/>
      <w:lang w:val="x-none" w:eastAsia="sk-SK" w:bidi="ar-SA"/>
    </w:rPr>
  </w:style>
  <w:style w:type="character" w:customStyle="1" w:styleId="Jemnodkaz1">
    <w:name w:val="Jemný odkaz1"/>
    <w:rsid w:val="00D75A0F"/>
    <w:rPr>
      <w:rFonts w:eastAsia="Times New Roman"/>
      <w:color w:val="5A5A5A"/>
      <w:sz w:val="18"/>
      <w:szCs w:val="18"/>
    </w:rPr>
  </w:style>
  <w:style w:type="character" w:customStyle="1" w:styleId="ListParagraphCharChar">
    <w:name w:val="List Paragraph Char Char"/>
    <w:link w:val="ListParagraphChar"/>
    <w:rsid w:val="00D75A0F"/>
    <w:rPr>
      <w:rFonts w:ascii="Cambria" w:eastAsia="Times New Roman" w:hAnsi="Cambria"/>
      <w:color w:val="000000"/>
      <w:sz w:val="22"/>
      <w:szCs w:val="22"/>
      <w:lang w:val="x-none"/>
    </w:rPr>
  </w:style>
  <w:style w:type="table" w:customStyle="1" w:styleId="Mriekatabuky1">
    <w:name w:val="Mriežka tabuľky1"/>
    <w:basedOn w:val="Normlnatabuka"/>
    <w:next w:val="Mriekatabuky"/>
    <w:rsid w:val="00D75A0F"/>
    <w:pPr>
      <w:spacing w:after="12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zoznamu1">
    <w:name w:val="Odsek zoznamu1"/>
    <w:basedOn w:val="Normlny"/>
    <w:rsid w:val="00D75A0F"/>
    <w:pPr>
      <w:shd w:val="clear" w:color="auto" w:fill="auto"/>
      <w:autoSpaceDE w:val="0"/>
      <w:autoSpaceDN w:val="0"/>
      <w:adjustRightInd w:val="0"/>
      <w:spacing w:after="120" w:line="240" w:lineRule="auto"/>
    </w:pPr>
    <w:rPr>
      <w:color w:val="000000"/>
      <w:lang w:eastAsia="sk-SK" w:bidi="ar-SA"/>
    </w:rPr>
  </w:style>
  <w:style w:type="character" w:customStyle="1" w:styleId="h1a">
    <w:name w:val="h1a"/>
    <w:basedOn w:val="Predvolenpsmoodseku"/>
    <w:rsid w:val="00D75A0F"/>
  </w:style>
  <w:style w:type="paragraph" w:styleId="PredformtovanHTML">
    <w:name w:val="HTML Preformatted"/>
    <w:basedOn w:val="Normlny"/>
    <w:link w:val="PredformtovanHTMLChar"/>
    <w:rsid w:val="00D75A0F"/>
    <w:pPr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20"/>
      <w:szCs w:val="20"/>
      <w:lang w:eastAsia="sk-SK" w:bidi="ar-SA"/>
    </w:rPr>
  </w:style>
  <w:style w:type="character" w:customStyle="1" w:styleId="PredformtovanHTMLChar">
    <w:name w:val="Predformátované HTML Char"/>
    <w:basedOn w:val="Predvolenpsmoodseku"/>
    <w:link w:val="PredformtovanHTML"/>
    <w:rsid w:val="00D75A0F"/>
    <w:rPr>
      <w:rFonts w:ascii="Courier New" w:eastAsia="Times New Roman" w:hAnsi="Courier New" w:cs="Courier New"/>
      <w:color w:val="000000"/>
    </w:rPr>
  </w:style>
  <w:style w:type="paragraph" w:customStyle="1" w:styleId="CharCharChar">
    <w:name w:val="Char Char Char"/>
    <w:basedOn w:val="Normlny"/>
    <w:rsid w:val="00D75A0F"/>
    <w:pPr>
      <w:shd w:val="clear" w:color="auto" w:fill="auto"/>
      <w:spacing w:after="160" w:line="240" w:lineRule="exact"/>
    </w:pPr>
    <w:rPr>
      <w:rFonts w:ascii="Verdana" w:hAnsi="Verdana" w:cs="Verdana"/>
      <w:color w:val="000000"/>
      <w:sz w:val="20"/>
      <w:szCs w:val="20"/>
      <w:lang w:val="en-US" w:bidi="ar-SA"/>
    </w:rPr>
  </w:style>
  <w:style w:type="paragraph" w:styleId="Zarkazkladnhotextu3">
    <w:name w:val="Body Text Indent 3"/>
    <w:basedOn w:val="Normlny"/>
    <w:link w:val="Zarkazkladnhotextu3Char"/>
    <w:rsid w:val="00D75A0F"/>
    <w:pPr>
      <w:shd w:val="clear" w:color="auto" w:fill="auto"/>
      <w:spacing w:after="120" w:line="240" w:lineRule="auto"/>
      <w:ind w:left="283"/>
    </w:pPr>
    <w:rPr>
      <w:color w:val="000000"/>
      <w:sz w:val="16"/>
      <w:szCs w:val="16"/>
      <w:lang w:bidi="ar-SA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D75A0F"/>
    <w:rPr>
      <w:rFonts w:ascii="Cambria" w:eastAsia="Times New Roman" w:hAnsi="Cambria"/>
      <w:color w:val="000000"/>
      <w:sz w:val="16"/>
      <w:szCs w:val="16"/>
      <w:lang w:eastAsia="en-US"/>
    </w:rPr>
  </w:style>
  <w:style w:type="paragraph" w:styleId="Podtitul">
    <w:name w:val="Subtitle"/>
    <w:basedOn w:val="Normlny"/>
    <w:next w:val="Normlny"/>
    <w:link w:val="PodtitulChar"/>
    <w:qFormat/>
    <w:rsid w:val="00D75A0F"/>
    <w:pPr>
      <w:numPr>
        <w:ilvl w:val="12"/>
      </w:numPr>
      <w:shd w:val="clear" w:color="auto" w:fill="auto"/>
      <w:spacing w:after="120" w:line="240" w:lineRule="auto"/>
    </w:pPr>
    <w:rPr>
      <w:b/>
      <w:color w:val="000000"/>
      <w:lang w:bidi="ar-SA"/>
    </w:rPr>
  </w:style>
  <w:style w:type="character" w:customStyle="1" w:styleId="PodtitulChar">
    <w:name w:val="Podtitul Char"/>
    <w:basedOn w:val="Predvolenpsmoodseku"/>
    <w:link w:val="Podtitul"/>
    <w:rsid w:val="00D75A0F"/>
    <w:rPr>
      <w:rFonts w:ascii="Cambria" w:eastAsia="Times New Roman" w:hAnsi="Cambria"/>
      <w:b/>
      <w:color w:val="000000"/>
      <w:sz w:val="24"/>
      <w:szCs w:val="22"/>
      <w:lang w:eastAsia="en-US"/>
    </w:rPr>
  </w:style>
  <w:style w:type="paragraph" w:customStyle="1" w:styleId="QuoteChar">
    <w:name w:val="Quote Char"/>
    <w:basedOn w:val="Normlny"/>
    <w:next w:val="Normlny"/>
    <w:link w:val="QuoteCharChar"/>
    <w:rsid w:val="00D75A0F"/>
    <w:pPr>
      <w:shd w:val="clear" w:color="auto" w:fill="auto"/>
      <w:spacing w:after="120" w:line="240" w:lineRule="auto"/>
      <w:ind w:left="284"/>
    </w:pPr>
    <w:rPr>
      <w:i/>
      <w:color w:val="000000"/>
      <w:szCs w:val="20"/>
      <w:lang w:bidi="ar-SA"/>
    </w:rPr>
  </w:style>
  <w:style w:type="character" w:customStyle="1" w:styleId="QuoteCharChar">
    <w:name w:val="Quote Char Char"/>
    <w:link w:val="QuoteChar"/>
    <w:locked/>
    <w:rsid w:val="00D75A0F"/>
    <w:rPr>
      <w:rFonts w:ascii="Cambria" w:eastAsia="Times New Roman" w:hAnsi="Cambria"/>
      <w:i/>
      <w:color w:val="000000"/>
      <w:sz w:val="24"/>
      <w:lang w:eastAsia="en-US"/>
    </w:rPr>
  </w:style>
  <w:style w:type="paragraph" w:customStyle="1" w:styleId="tabulka">
    <w:name w:val="tabulka"/>
    <w:basedOn w:val="Normlny"/>
    <w:link w:val="tabulkaChar"/>
    <w:rsid w:val="00D75A0F"/>
    <w:pPr>
      <w:shd w:val="clear" w:color="auto" w:fill="auto"/>
      <w:spacing w:line="240" w:lineRule="auto"/>
    </w:pPr>
    <w:rPr>
      <w:noProof/>
      <w:color w:val="000000"/>
      <w:sz w:val="18"/>
      <w:szCs w:val="20"/>
      <w:lang w:eastAsia="sk-SK" w:bidi="ar-SA"/>
    </w:rPr>
  </w:style>
  <w:style w:type="character" w:customStyle="1" w:styleId="tabulkaChar">
    <w:name w:val="tabulka Char"/>
    <w:link w:val="tabulka"/>
    <w:locked/>
    <w:rsid w:val="00D75A0F"/>
    <w:rPr>
      <w:rFonts w:ascii="Cambria" w:eastAsia="Times New Roman" w:hAnsi="Cambria"/>
      <w:noProof/>
      <w:color w:val="000000"/>
      <w:sz w:val="18"/>
    </w:rPr>
  </w:style>
  <w:style w:type="character" w:customStyle="1" w:styleId="SubtitleChar">
    <w:name w:val="Subtitle Char"/>
    <w:rsid w:val="00D75A0F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Normlnywebov">
    <w:name w:val="Normal (Web)"/>
    <w:basedOn w:val="Normlny"/>
    <w:uiPriority w:val="99"/>
    <w:rsid w:val="00D75A0F"/>
    <w:pPr>
      <w:shd w:val="clear" w:color="auto" w:fill="auto"/>
      <w:spacing w:before="100" w:beforeAutospacing="1" w:after="100" w:afterAutospacing="1" w:line="240" w:lineRule="auto"/>
    </w:pPr>
    <w:rPr>
      <w:color w:val="000000"/>
      <w:lang w:val="cs-CZ" w:eastAsia="sk-SK" w:bidi="ar-SA"/>
    </w:rPr>
  </w:style>
  <w:style w:type="character" w:styleId="Zvraznenie">
    <w:name w:val="Emphasis"/>
    <w:qFormat/>
    <w:rsid w:val="00D75A0F"/>
    <w:rPr>
      <w:i/>
      <w:iCs/>
    </w:rPr>
  </w:style>
  <w:style w:type="character" w:styleId="PouitHypertextovPrepojenie">
    <w:name w:val="FollowedHyperlink"/>
    <w:rsid w:val="00D75A0F"/>
    <w:rPr>
      <w:color w:val="800080"/>
      <w:u w:val="single"/>
    </w:rPr>
  </w:style>
  <w:style w:type="paragraph" w:customStyle="1" w:styleId="Citcia1">
    <w:name w:val="Citácia1"/>
    <w:basedOn w:val="Normlny"/>
    <w:next w:val="Normlny"/>
    <w:rsid w:val="00D75A0F"/>
    <w:pPr>
      <w:shd w:val="clear" w:color="auto" w:fill="auto"/>
      <w:spacing w:after="120" w:line="240" w:lineRule="auto"/>
      <w:ind w:left="284"/>
    </w:pPr>
    <w:rPr>
      <w:i/>
      <w:color w:val="000000"/>
      <w:szCs w:val="20"/>
      <w:lang w:bidi="ar-SA"/>
    </w:rPr>
  </w:style>
  <w:style w:type="character" w:customStyle="1" w:styleId="st">
    <w:name w:val="st"/>
    <w:basedOn w:val="Predvolenpsmoodseku"/>
    <w:rsid w:val="00D75A0F"/>
  </w:style>
  <w:style w:type="character" w:customStyle="1" w:styleId="OdsekzoznamuChar">
    <w:name w:val="Odsek zoznamu Char"/>
    <w:link w:val="Odsekzoznamu"/>
    <w:uiPriority w:val="34"/>
    <w:locked/>
    <w:rsid w:val="00D75A0F"/>
    <w:rPr>
      <w:rFonts w:ascii="Cambria" w:eastAsia="Times New Roman" w:hAnsi="Cambria"/>
      <w:sz w:val="24"/>
      <w:szCs w:val="22"/>
      <w:shd w:val="clear" w:color="auto" w:fill="FFFFFF"/>
      <w:lang w:eastAsia="en-US" w:bidi="en-US"/>
    </w:rPr>
  </w:style>
  <w:style w:type="character" w:customStyle="1" w:styleId="Zkladntext0">
    <w:name w:val="Základný text_"/>
    <w:link w:val="Zkladntext9"/>
    <w:rsid w:val="00D75A0F"/>
    <w:rPr>
      <w:sz w:val="21"/>
      <w:szCs w:val="21"/>
      <w:shd w:val="clear" w:color="auto" w:fill="FFFFFF"/>
    </w:rPr>
  </w:style>
  <w:style w:type="paragraph" w:customStyle="1" w:styleId="Zkladntext9">
    <w:name w:val="Základný text9"/>
    <w:basedOn w:val="Normlny"/>
    <w:link w:val="Zkladntext0"/>
    <w:rsid w:val="00D75A0F"/>
    <w:pPr>
      <w:spacing w:before="1440" w:line="0" w:lineRule="atLeast"/>
      <w:ind w:hanging="1080"/>
      <w:jc w:val="center"/>
    </w:pPr>
    <w:rPr>
      <w:rFonts w:ascii="Calibri" w:eastAsia="Calibri" w:hAnsi="Calibri"/>
      <w:sz w:val="21"/>
      <w:szCs w:val="21"/>
      <w:lang w:eastAsia="sk-SK" w:bidi="ar-SA"/>
    </w:rPr>
  </w:style>
  <w:style w:type="paragraph" w:customStyle="1" w:styleId="Standard">
    <w:name w:val="Standard"/>
    <w:rsid w:val="00D75A0F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Jemnodkaz">
    <w:name w:val="Subtle Reference"/>
    <w:uiPriority w:val="31"/>
    <w:qFormat/>
    <w:rsid w:val="00D75A0F"/>
    <w:rPr>
      <w:rFonts w:ascii="Cambria" w:eastAsia="Times New Roman" w:hAnsi="Cambria"/>
      <w:color w:val="auto"/>
      <w:sz w:val="18"/>
      <w:szCs w:val="18"/>
      <w:lang w:val="sk-SK"/>
    </w:rPr>
  </w:style>
  <w:style w:type="table" w:styleId="Svetlzoznam">
    <w:name w:val="Light List"/>
    <w:basedOn w:val="Normlnatabuka"/>
    <w:uiPriority w:val="61"/>
    <w:rsid w:val="00D75A0F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vetlpodfarbenie1">
    <w:name w:val="Svetlé podfarbenie1"/>
    <w:basedOn w:val="Normlnatabuka"/>
    <w:next w:val="Svetlpodfarbenie"/>
    <w:uiPriority w:val="60"/>
    <w:rsid w:val="00D75A0F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Odkaznakomentr">
    <w:name w:val="annotation reference"/>
    <w:uiPriority w:val="99"/>
    <w:semiHidden/>
    <w:unhideWhenUsed/>
    <w:rsid w:val="00D75A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75A0F"/>
    <w:pPr>
      <w:shd w:val="clear" w:color="auto" w:fill="auto"/>
      <w:spacing w:line="240" w:lineRule="auto"/>
    </w:pPr>
    <w:rPr>
      <w:color w:val="000000"/>
      <w:sz w:val="20"/>
      <w:szCs w:val="20"/>
      <w:lang w:eastAsia="sk-SK"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5A0F"/>
    <w:rPr>
      <w:rFonts w:ascii="Cambria" w:eastAsia="Times New Roman" w:hAnsi="Cambria"/>
      <w:color w:val="000000"/>
    </w:rPr>
  </w:style>
  <w:style w:type="paragraph" w:customStyle="1" w:styleId="bodytext">
    <w:name w:val="bodytext"/>
    <w:basedOn w:val="Normlny"/>
    <w:rsid w:val="00D75A0F"/>
    <w:pPr>
      <w:shd w:val="clear" w:color="auto" w:fill="auto"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sk-SK" w:bidi="ar-SA"/>
    </w:rPr>
  </w:style>
  <w:style w:type="paragraph" w:customStyle="1" w:styleId="Pa15">
    <w:name w:val="Pa15"/>
    <w:basedOn w:val="Normlny"/>
    <w:next w:val="Normlny"/>
    <w:uiPriority w:val="99"/>
    <w:rsid w:val="00D75A0F"/>
    <w:pPr>
      <w:shd w:val="clear" w:color="auto" w:fill="auto"/>
      <w:autoSpaceDE w:val="0"/>
      <w:autoSpaceDN w:val="0"/>
      <w:adjustRightInd w:val="0"/>
      <w:spacing w:after="0" w:line="181" w:lineRule="atLeast"/>
      <w:jc w:val="left"/>
    </w:pPr>
    <w:rPr>
      <w:rFonts w:ascii="Myriad Pro Light" w:eastAsia="Calibri" w:hAnsi="Myriad Pro Light"/>
      <w:szCs w:val="24"/>
      <w:lang w:bidi="ar-SA"/>
    </w:rPr>
  </w:style>
  <w:style w:type="character" w:customStyle="1" w:styleId="metadataicon">
    <w:name w:val="metadataicon"/>
    <w:rsid w:val="00D75A0F"/>
  </w:style>
  <w:style w:type="numbering" w:customStyle="1" w:styleId="Bezzoznamu11">
    <w:name w:val="Bez zoznamu11"/>
    <w:next w:val="Bezzoznamu"/>
    <w:uiPriority w:val="99"/>
    <w:semiHidden/>
    <w:unhideWhenUsed/>
    <w:rsid w:val="00D75A0F"/>
  </w:style>
  <w:style w:type="table" w:customStyle="1" w:styleId="Svetlpodfarbenie11">
    <w:name w:val="Svetlé podfarbenie11"/>
    <w:basedOn w:val="Normlnatabuka"/>
    <w:next w:val="Svetlpodfarbenie"/>
    <w:uiPriority w:val="60"/>
    <w:rsid w:val="00D75A0F"/>
    <w:rPr>
      <w:rFonts w:ascii="Cambria" w:eastAsia="Times New Roman" w:hAnsi="Cambria"/>
      <w:color w:val="000000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etlpodfarbeniezvraznenie51">
    <w:name w:val="Svetlé podfarbenie – zvýraznenie 51"/>
    <w:basedOn w:val="Normlnatabuka"/>
    <w:next w:val="Svetlpodfarbeniezvraznenie5"/>
    <w:uiPriority w:val="60"/>
    <w:rsid w:val="00D75A0F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D75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rednpodfarbenie11">
    <w:name w:val="Stredné podfarbenie 11"/>
    <w:basedOn w:val="Normlnatabuka"/>
    <w:next w:val="Strednpodfarbenie1"/>
    <w:uiPriority w:val="63"/>
    <w:rsid w:val="00D75A0F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D0FBE"/>
    <w:pPr>
      <w:keepLines/>
      <w:numPr>
        <w:numId w:val="0"/>
      </w:numPr>
      <w:pBdr>
        <w:bottom w:val="none" w:sz="0" w:space="0" w:color="auto"/>
      </w:pBdr>
      <w:shd w:val="clear" w:color="auto" w:fill="auto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aps w:val="0"/>
      <w:smallCaps w:val="0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2D0FBE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2D0FBE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2D0FBE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1648">
          <w:marLeft w:val="150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632981">
          <w:marLeft w:val="1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http://eige.europa.eu/gender-statistics/dgs/browse/ta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footnotes" Target="footnotes.xml"/><Relationship Id="rId12" Type="http://schemas.openxmlformats.org/officeDocument/2006/relationships/hyperlink" Target="http://www.gender.gov.sk/?p=3808" TargetMode="External"/><Relationship Id="rId17" Type="http://schemas.openxmlformats.org/officeDocument/2006/relationships/hyperlink" Target="http://ec.europa.eu/social/main.jsp?catId=738&amp;langId=en&amp;pubId=7859&amp;furtherPubs=yes" TargetMode="External"/><Relationship Id="rId25" Type="http://schemas.openxmlformats.org/officeDocument/2006/relationships/hyperlink" Target="http://www.kedvyrastiem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quineteurope.org/IMG/pdf/2016_annual_report_2015_web_en.pdf" TargetMode="External"/><Relationship Id="rId20" Type="http://schemas.openxmlformats.org/officeDocument/2006/relationships/hyperlink" Target="http://www.statistics.sk/pls/elisw/MetaInfo.explorer?cmd=go&amp;s=1002&amp;sso=2&amp;so=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stavmenasilie.sk/" TargetMode="External"/><Relationship Id="rId24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hyperlink" Target="http://ec.europa.eu/justice/gender-equality/gender-decision-making/database/index_en.htm" TargetMode="External"/><Relationship Id="rId23" Type="http://schemas.openxmlformats.org/officeDocument/2006/relationships/chart" Target="charts/chart3.xml"/><Relationship Id="rId28" Type="http://schemas.openxmlformats.org/officeDocument/2006/relationships/theme" Target="theme/theme1.xml"/><Relationship Id="rId10" Type="http://schemas.openxmlformats.org/officeDocument/2006/relationships/hyperlink" Target="http://www.gender.gov.sk/?p=3788" TargetMode="External"/><Relationship Id="rId19" Type="http://schemas.openxmlformats.org/officeDocument/2006/relationships/hyperlink" Target="http://ec.europa.eu/eurostat/web/equality/data/databa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eatybodywebcast.org" TargetMode="External"/><Relationship Id="rId14" Type="http://schemas.openxmlformats.org/officeDocument/2006/relationships/hyperlink" Target="http://www.gender.gov.sk" TargetMode="External"/><Relationship Id="rId22" Type="http://schemas.openxmlformats.org/officeDocument/2006/relationships/chart" Target="charts/chart2.xml"/><Relationship Id="rId27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image" Target="http://sop.revoluce.info/img/leer.gif" TargetMode="External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etruchova\OneDrive\temy\gender%20pay%20gap\GPG%20trend_ak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etruchova\OneDrive\Spravy\RR2015\tabulk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etruchova\OneDrive\Spravy\RR2015\tabulky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foltan\Documents\stare%20dokumenty\muzi%20zeny%20komisia%20122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39078448527268"/>
          <c:y val="5.8490390314113974E-2"/>
          <c:w val="0.81251355893147192"/>
          <c:h val="0.73194464328322595"/>
        </c:manualLayout>
      </c:layout>
      <c:lineChart>
        <c:grouping val="standard"/>
        <c:varyColors val="0"/>
        <c:ser>
          <c:idx val="1"/>
          <c:order val="0"/>
          <c:tx>
            <c:v>RMR mesiac</c:v>
          </c:tx>
          <c:cat>
            <c:numRef>
              <c:f>'graf (2)'!$A$4:$A$13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'graf (2)'!$B$4:$B$13</c:f>
              <c:numCache>
                <c:formatCode>General</c:formatCode>
                <c:ptCount val="10"/>
                <c:pt idx="0">
                  <c:v>26.1</c:v>
                </c:pt>
                <c:pt idx="1">
                  <c:v>25.03</c:v>
                </c:pt>
                <c:pt idx="2">
                  <c:v>23.13</c:v>
                </c:pt>
                <c:pt idx="3">
                  <c:v>24.41</c:v>
                </c:pt>
                <c:pt idx="4">
                  <c:v>23.42</c:v>
                </c:pt>
                <c:pt idx="5">
                  <c:v>22.74</c:v>
                </c:pt>
                <c:pt idx="6">
                  <c:v>23</c:v>
                </c:pt>
                <c:pt idx="7">
                  <c:v>20.82</c:v>
                </c:pt>
                <c:pt idx="8">
                  <c:v>23.02</c:v>
                </c:pt>
                <c:pt idx="9">
                  <c:v>22.33</c:v>
                </c:pt>
              </c:numCache>
            </c:numRef>
          </c:val>
          <c:smooth val="0"/>
        </c:ser>
        <c:ser>
          <c:idx val="2"/>
          <c:order val="1"/>
          <c:tx>
            <c:v>RMR hodina</c:v>
          </c:tx>
          <c:spPr>
            <a:ln>
              <a:solidFill>
                <a:srgbClr val="7030A0"/>
              </a:solidFill>
            </a:ln>
          </c:spPr>
          <c:marker>
            <c:symbol val="triangle"/>
            <c:size val="7"/>
            <c:spPr>
              <a:solidFill>
                <a:srgbClr val="7030A0"/>
              </a:solidFill>
            </c:spPr>
          </c:marker>
          <c:cat>
            <c:numRef>
              <c:f>'graf (2)'!$A$4:$A$13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'graf (2)'!$C$4:$C$13</c:f>
              <c:numCache>
                <c:formatCode>General</c:formatCode>
                <c:ptCount val="10"/>
                <c:pt idx="0">
                  <c:v>23.74</c:v>
                </c:pt>
                <c:pt idx="1">
                  <c:v>22.85</c:v>
                </c:pt>
                <c:pt idx="2">
                  <c:v>21.09</c:v>
                </c:pt>
                <c:pt idx="3">
                  <c:v>21.7</c:v>
                </c:pt>
                <c:pt idx="4">
                  <c:v>20.65</c:v>
                </c:pt>
                <c:pt idx="5">
                  <c:v>20.170000000000002</c:v>
                </c:pt>
                <c:pt idx="6">
                  <c:v>20.37</c:v>
                </c:pt>
                <c:pt idx="7">
                  <c:v>17.899999999999999</c:v>
                </c:pt>
                <c:pt idx="8">
                  <c:v>18.73</c:v>
                </c:pt>
                <c:pt idx="9">
                  <c:v>17.8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774976"/>
        <c:axId val="185344768"/>
      </c:lineChart>
      <c:catAx>
        <c:axId val="17977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+mj-lt"/>
              </a:defRPr>
            </a:pPr>
            <a:endParaRPr lang="sk-SK"/>
          </a:p>
        </c:txPr>
        <c:crossAx val="185344768"/>
        <c:crosses val="autoZero"/>
        <c:auto val="1"/>
        <c:lblAlgn val="ctr"/>
        <c:lblOffset val="100"/>
        <c:noMultiLvlLbl val="0"/>
      </c:catAx>
      <c:valAx>
        <c:axId val="185344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+mj-lt"/>
              </a:defRPr>
            </a:pPr>
            <a:endParaRPr lang="sk-SK"/>
          </a:p>
        </c:txPr>
        <c:crossAx val="179774976"/>
        <c:crosses val="autoZero"/>
        <c:crossBetween val="between"/>
      </c:valAx>
      <c:spPr>
        <a:solidFill>
          <a:schemeClr val="bg1"/>
        </a:solidFill>
      </c:spPr>
    </c:plotArea>
    <c:legend>
      <c:legendPos val="b"/>
      <c:layout/>
      <c:overlay val="0"/>
    </c:legend>
    <c:plotVisOnly val="1"/>
    <c:dispBlanksAs val="gap"/>
    <c:showDLblsOverMax val="0"/>
  </c:chart>
  <c:spPr>
    <a:solidFill>
      <a:schemeClr val="bg1">
        <a:lumMod val="85000"/>
      </a:schemeClr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k-S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360734471643244E-2"/>
          <c:y val="0.14550302140950885"/>
          <c:w val="0.81147605939105671"/>
          <c:h val="0.685186955364778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'[VYSTUP ISCP 154 maketa v4.xls]PP11-13'!$E$6:$F$6</c:f>
              <c:strCache>
                <c:ptCount val="1"/>
                <c:pt idx="0">
                  <c:v>muži</c:v>
                </c:pt>
              </c:strCache>
            </c:strRef>
          </c:tx>
          <c:invertIfNegative val="0"/>
          <c:cat>
            <c:strRef>
              <c:f>'[VYSTUP ISCP 154 maketa v4.xls]PP11-13'!$B$10:$B$19</c:f>
              <c:strCache>
                <c:ptCount val="10"/>
                <c:pt idx="0">
                  <c:v>do 20 rokov</c:v>
                </c:pt>
                <c:pt idx="1">
                  <c:v>20 - 24 rokov</c:v>
                </c:pt>
                <c:pt idx="2">
                  <c:v>25 - 29 rokov</c:v>
                </c:pt>
                <c:pt idx="3">
                  <c:v>30 - 34 rokov</c:v>
                </c:pt>
                <c:pt idx="4">
                  <c:v>35 - 39 rokov</c:v>
                </c:pt>
                <c:pt idx="5">
                  <c:v>40 - 44 rokov</c:v>
                </c:pt>
                <c:pt idx="6">
                  <c:v>45 - 49 rokov</c:v>
                </c:pt>
                <c:pt idx="7">
                  <c:v>50 - 54 rokov</c:v>
                </c:pt>
                <c:pt idx="8">
                  <c:v>55 - 59 rokov</c:v>
                </c:pt>
                <c:pt idx="9">
                  <c:v>60 a viac rokov</c:v>
                </c:pt>
              </c:strCache>
            </c:strRef>
          </c:cat>
          <c:val>
            <c:numRef>
              <c:f>'[VYSTUP ISCP 154 maketa v4.xls]PP11-13'!$E$10:$E$19</c:f>
              <c:numCache>
                <c:formatCode>0.00</c:formatCode>
                <c:ptCount val="10"/>
                <c:pt idx="0">
                  <c:v>3.7932963761734602</c:v>
                </c:pt>
                <c:pt idx="1">
                  <c:v>4.3005272898354603</c:v>
                </c:pt>
                <c:pt idx="2">
                  <c:v>5.4553878587020099</c:v>
                </c:pt>
                <c:pt idx="3">
                  <c:v>6.7120006875340703</c:v>
                </c:pt>
                <c:pt idx="4">
                  <c:v>7.4529594895221303</c:v>
                </c:pt>
                <c:pt idx="5">
                  <c:v>7.4553441510052298</c:v>
                </c:pt>
                <c:pt idx="6">
                  <c:v>6.8551585992325901</c:v>
                </c:pt>
                <c:pt idx="7">
                  <c:v>6.51398315331679</c:v>
                </c:pt>
                <c:pt idx="8">
                  <c:v>6.26531942379125</c:v>
                </c:pt>
                <c:pt idx="9">
                  <c:v>6.6602888839339904</c:v>
                </c:pt>
              </c:numCache>
            </c:numRef>
          </c:val>
        </c:ser>
        <c:ser>
          <c:idx val="1"/>
          <c:order val="1"/>
          <c:tx>
            <c:strRef>
              <c:f>'[VYSTUP ISCP 154 maketa v4.xls]PP11-13'!$G$6:$H$6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'[VYSTUP ISCP 154 maketa v4.xls]PP11-13'!$B$10:$B$19</c:f>
              <c:strCache>
                <c:ptCount val="10"/>
                <c:pt idx="0">
                  <c:v>do 20 rokov</c:v>
                </c:pt>
                <c:pt idx="1">
                  <c:v>20 - 24 rokov</c:v>
                </c:pt>
                <c:pt idx="2">
                  <c:v>25 - 29 rokov</c:v>
                </c:pt>
                <c:pt idx="3">
                  <c:v>30 - 34 rokov</c:v>
                </c:pt>
                <c:pt idx="4">
                  <c:v>35 - 39 rokov</c:v>
                </c:pt>
                <c:pt idx="5">
                  <c:v>40 - 44 rokov</c:v>
                </c:pt>
                <c:pt idx="6">
                  <c:v>45 - 49 rokov</c:v>
                </c:pt>
                <c:pt idx="7">
                  <c:v>50 - 54 rokov</c:v>
                </c:pt>
                <c:pt idx="8">
                  <c:v>55 - 59 rokov</c:v>
                </c:pt>
                <c:pt idx="9">
                  <c:v>60 a viac rokov</c:v>
                </c:pt>
              </c:strCache>
            </c:strRef>
          </c:cat>
          <c:val>
            <c:numRef>
              <c:f>'[VYSTUP ISCP 154 maketa v4.xls]PP11-13'!$G$10:$G$19</c:f>
              <c:numCache>
                <c:formatCode>0.00</c:formatCode>
                <c:ptCount val="10"/>
                <c:pt idx="0">
                  <c:v>3.2896502849868199</c:v>
                </c:pt>
                <c:pt idx="1">
                  <c:v>3.7596635782246302</c:v>
                </c:pt>
                <c:pt idx="2">
                  <c:v>5.0179309666872101</c:v>
                </c:pt>
                <c:pt idx="3">
                  <c:v>5.7303813668808496</c:v>
                </c:pt>
                <c:pt idx="4">
                  <c:v>5.8298274603682296</c:v>
                </c:pt>
                <c:pt idx="5">
                  <c:v>5.4046540712318398</c:v>
                </c:pt>
                <c:pt idx="6">
                  <c:v>5.1491282136616503</c:v>
                </c:pt>
                <c:pt idx="7">
                  <c:v>5.1364277256045403</c:v>
                </c:pt>
                <c:pt idx="8">
                  <c:v>5.1309103544792798</c:v>
                </c:pt>
                <c:pt idx="9">
                  <c:v>5.6260061081431001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598400"/>
        <c:axId val="32395264"/>
      </c:barChart>
      <c:catAx>
        <c:axId val="174598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sk-SK"/>
          </a:p>
        </c:txPr>
        <c:crossAx val="32395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3952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sk-SK"/>
                  <a:t>Priemerný hodinový zárobok [EUR/hod]</a:t>
                </a:r>
              </a:p>
            </c:rich>
          </c:tx>
          <c:layout>
            <c:manualLayout>
              <c:xMode val="edge"/>
              <c:yMode val="edge"/>
              <c:x val="2.7868852459016394E-2"/>
              <c:y val="0.20899526448082878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sk-SK"/>
          </a:p>
        </c:txPr>
        <c:crossAx val="174598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592527603492502"/>
          <c:y val="0.49897057920398841"/>
          <c:w val="7.261160046452117E-2"/>
          <c:h val="8.4536337799022837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26368817545963"/>
          <c:y val="0.13469387755102041"/>
          <c:w val="0.80230707043080596"/>
          <c:h val="0.64897959183673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'C:\Users\pietruchova\AppData\Local\Microsoft\Windows\Temporary Internet Files\Content.Outlook\BJST8CSO\[VYSTUP ISCP 154 maketa v4.xls]PP11-13'!$E$43:$F$43</c:f>
              <c:strCache>
                <c:ptCount val="1"/>
                <c:pt idx="0">
                  <c:v>muži</c:v>
                </c:pt>
              </c:strCache>
            </c:strRef>
          </c:tx>
          <c:invertIfNegative val="0"/>
          <c:cat>
            <c:strRef>
              <c:f>'PP14-15'!$K$39:$K$46</c:f>
              <c:strCache>
                <c:ptCount val="8"/>
                <c:pt idx="0">
                  <c:v>Bratislava</c:v>
                </c:pt>
                <c:pt idx="1">
                  <c:v>Trnava</c:v>
                </c:pt>
                <c:pt idx="2">
                  <c:v>Trenčín</c:v>
                </c:pt>
                <c:pt idx="3">
                  <c:v>Nitra</c:v>
                </c:pt>
                <c:pt idx="4">
                  <c:v>Žilina</c:v>
                </c:pt>
                <c:pt idx="5">
                  <c:v>Banská Bystrica</c:v>
                </c:pt>
                <c:pt idx="6">
                  <c:v>Prešov</c:v>
                </c:pt>
                <c:pt idx="7">
                  <c:v>Košice</c:v>
                </c:pt>
              </c:strCache>
            </c:strRef>
          </c:cat>
          <c:val>
            <c:numRef>
              <c:f>'C:\Users\pietruchova\AppData\Local\Microsoft\Windows\Temporary Internet Files\Content.Outlook\BJST8CSO\[VYSTUP ISCP 154 maketa v4.xls]PP11-13'!$E$47:$E$54</c:f>
              <c:numCache>
                <c:formatCode>General</c:formatCode>
                <c:ptCount val="8"/>
                <c:pt idx="0">
                  <c:v>8.5454085626326393</c:v>
                </c:pt>
                <c:pt idx="1">
                  <c:v>6.1432153954543702</c:v>
                </c:pt>
                <c:pt idx="2">
                  <c:v>6.0930646415112397</c:v>
                </c:pt>
                <c:pt idx="3">
                  <c:v>5.5074073115977003</c:v>
                </c:pt>
                <c:pt idx="4">
                  <c:v>6.12567414942336</c:v>
                </c:pt>
                <c:pt idx="5">
                  <c:v>5.4625925900303303</c:v>
                </c:pt>
                <c:pt idx="6">
                  <c:v>4.8617841022631598</c:v>
                </c:pt>
                <c:pt idx="7">
                  <c:v>6.2214338262531799</c:v>
                </c:pt>
              </c:numCache>
            </c:numRef>
          </c:val>
        </c:ser>
        <c:ser>
          <c:idx val="1"/>
          <c:order val="1"/>
          <c:tx>
            <c:strRef>
              <c:f>'C:\Users\pietruchova\AppData\Local\Microsoft\Windows\Temporary Internet Files\Content.Outlook\BJST8CSO\[VYSTUP ISCP 154 maketa v4.xls]PP11-13'!$G$43:$H$43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'PP14-15'!$K$39:$K$46</c:f>
              <c:strCache>
                <c:ptCount val="8"/>
                <c:pt idx="0">
                  <c:v>Bratislava</c:v>
                </c:pt>
                <c:pt idx="1">
                  <c:v>Trnava</c:v>
                </c:pt>
                <c:pt idx="2">
                  <c:v>Trenčín</c:v>
                </c:pt>
                <c:pt idx="3">
                  <c:v>Nitra</c:v>
                </c:pt>
                <c:pt idx="4">
                  <c:v>Žilina</c:v>
                </c:pt>
                <c:pt idx="5">
                  <c:v>Banská Bystrica</c:v>
                </c:pt>
                <c:pt idx="6">
                  <c:v>Prešov</c:v>
                </c:pt>
                <c:pt idx="7">
                  <c:v>Košice</c:v>
                </c:pt>
              </c:strCache>
            </c:strRef>
          </c:cat>
          <c:val>
            <c:numRef>
              <c:f>'C:\Users\pietruchova\AppData\Local\Microsoft\Windows\Temporary Internet Files\Content.Outlook\BJST8CSO\[VYSTUP ISCP 154 maketa v4.xls]PP11-13'!$G$47:$G$54</c:f>
              <c:numCache>
                <c:formatCode>General</c:formatCode>
                <c:ptCount val="8"/>
                <c:pt idx="0">
                  <c:v>6.9610062604588698</c:v>
                </c:pt>
                <c:pt idx="1">
                  <c:v>4.6668265042716497</c:v>
                </c:pt>
                <c:pt idx="2">
                  <c:v>4.5509867713048298</c:v>
                </c:pt>
                <c:pt idx="3">
                  <c:v>4.4981705951200901</c:v>
                </c:pt>
                <c:pt idx="4">
                  <c:v>4.6971765067832303</c:v>
                </c:pt>
                <c:pt idx="5">
                  <c:v>4.5559786722204496</c:v>
                </c:pt>
                <c:pt idx="6">
                  <c:v>4.1875704557187401</c:v>
                </c:pt>
                <c:pt idx="7">
                  <c:v>4.9530277493584798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869888"/>
        <c:axId val="84871424"/>
      </c:barChart>
      <c:catAx>
        <c:axId val="84869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sk-SK"/>
          </a:p>
        </c:txPr>
        <c:crossAx val="84871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4871424"/>
        <c:scaling>
          <c:orientation val="minMax"/>
          <c:max val="1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sk-SK"/>
                  <a:t>Priemerný hodinový zárobok [EUR/hod]</a:t>
                </a:r>
              </a:p>
            </c:rich>
          </c:tx>
          <c:layout>
            <c:manualLayout>
              <c:xMode val="edge"/>
              <c:yMode val="edge"/>
              <c:x val="2.1416803953871501E-2"/>
              <c:y val="0.14285720144356956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sk-SK"/>
          </a:p>
        </c:txPr>
        <c:crossAx val="84869888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93316385713476535"/>
          <c:y val="0.42414908770289489"/>
          <c:w val="6.6836211734736736E-2"/>
          <c:h val="0.25714829810311568"/>
        </c:manualLayout>
      </c:layout>
      <c:overlay val="0"/>
      <c:txPr>
        <a:bodyPr/>
        <a:lstStyle/>
        <a:p>
          <a:pPr>
            <a:defRPr sz="900"/>
          </a:pPr>
          <a:endParaRPr lang="sk-SK"/>
        </a:p>
      </c:txPr>
    </c:legend>
    <c:plotVisOnly val="1"/>
    <c:dispBlanksAs val="gap"/>
    <c:showDLblsOverMax val="0"/>
  </c:chart>
  <c:txPr>
    <a:bodyPr/>
    <a:lstStyle/>
    <a:p>
      <a:pPr>
        <a:defRPr>
          <a:latin typeface="+mj-lt"/>
        </a:defRPr>
      </a:pPr>
      <a:endParaRPr lang="sk-SK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dk2" tx1="lt1" bg2="dk1" tx2="lt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sk-SK" sz="1100"/>
              <a:t>Vývoj celkového segregačného indexu za 1. štvťroky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9.1849518810148731E-2"/>
          <c:y val="0.14149052989997871"/>
          <c:w val="0.88327405949256343"/>
          <c:h val="0.72041200255373483"/>
        </c:manualLayout>
      </c:layout>
      <c:lineChart>
        <c:grouping val="standard"/>
        <c:varyColors val="0"/>
        <c:ser>
          <c:idx val="0"/>
          <c:order val="0"/>
          <c:tx>
            <c:strRef>
              <c:f>Hárok1!$C$16</c:f>
              <c:strCache>
                <c:ptCount val="1"/>
                <c:pt idx="0">
                  <c:v>segregačný index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trendline>
            <c:spPr>
              <a:ln w="19050">
                <a:solidFill>
                  <a:srgbClr val="7030A0"/>
                </a:solidFill>
                <a:prstDash val="sysDash"/>
              </a:ln>
            </c:spPr>
            <c:trendlineType val="power"/>
            <c:dispRSqr val="0"/>
            <c:dispEq val="0"/>
          </c:trendline>
          <c:cat>
            <c:strRef>
              <c:f>Hárok1!$D$2:$M$2</c:f>
              <c:strCache>
                <c:ptCount val="10"/>
                <c:pt idx="0">
                  <c:v>1.Q.2006</c:v>
                </c:pt>
                <c:pt idx="1">
                  <c:v>1.Q.2007</c:v>
                </c:pt>
                <c:pt idx="2">
                  <c:v>1.Q.2008</c:v>
                </c:pt>
                <c:pt idx="3">
                  <c:v>1.Q.2009</c:v>
                </c:pt>
                <c:pt idx="4">
                  <c:v>1.Q.2010</c:v>
                </c:pt>
                <c:pt idx="5">
                  <c:v>1.Q.2011</c:v>
                </c:pt>
                <c:pt idx="6">
                  <c:v>1.Q.2012</c:v>
                </c:pt>
                <c:pt idx="7">
                  <c:v>1.Q.2013</c:v>
                </c:pt>
                <c:pt idx="8">
                  <c:v>1.Q.2014</c:v>
                </c:pt>
                <c:pt idx="9">
                  <c:v>1.Q.2015</c:v>
                </c:pt>
              </c:strCache>
            </c:strRef>
          </c:cat>
          <c:val>
            <c:numRef>
              <c:f>Hárok1!$D$16:$M$16</c:f>
              <c:numCache>
                <c:formatCode>0.00%</c:formatCode>
                <c:ptCount val="10"/>
                <c:pt idx="0">
                  <c:v>0.59299999999999997</c:v>
                </c:pt>
                <c:pt idx="1">
                  <c:v>0.59299999999999997</c:v>
                </c:pt>
                <c:pt idx="2">
                  <c:v>0.58499999999999996</c:v>
                </c:pt>
                <c:pt idx="3">
                  <c:v>0.58989999999999998</c:v>
                </c:pt>
                <c:pt idx="4">
                  <c:v>0.57920000000000005</c:v>
                </c:pt>
                <c:pt idx="5">
                  <c:v>0.57020000000000004</c:v>
                </c:pt>
                <c:pt idx="6">
                  <c:v>0.57210000000000005</c:v>
                </c:pt>
                <c:pt idx="7">
                  <c:v>0.57899999999999996</c:v>
                </c:pt>
                <c:pt idx="8">
                  <c:v>0.57700000000000007</c:v>
                </c:pt>
                <c:pt idx="9" formatCode="General">
                  <c:v>0.57799999999999996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142912"/>
        <c:axId val="141083776"/>
      </c:lineChart>
      <c:catAx>
        <c:axId val="85142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1260000"/>
          <a:lstStyle/>
          <a:p>
            <a:pPr>
              <a:defRPr sz="800" baseline="0"/>
            </a:pPr>
            <a:endParaRPr lang="sk-SK"/>
          </a:p>
        </c:txPr>
        <c:crossAx val="141083776"/>
        <c:crosses val="autoZero"/>
        <c:auto val="1"/>
        <c:lblAlgn val="ctr"/>
        <c:lblOffset val="100"/>
        <c:noMultiLvlLbl val="0"/>
      </c:catAx>
      <c:valAx>
        <c:axId val="141083776"/>
        <c:scaling>
          <c:orientation val="minMax"/>
          <c:max val="0.60000000000000009"/>
          <c:min val="0.54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85142912"/>
        <c:crosses val="autoZero"/>
        <c:crossBetween val="between"/>
      </c:valAx>
      <c:spPr>
        <a:solidFill>
          <a:srgbClr val="FFFFFF">
            <a:alpha val="50000"/>
          </a:srgbClr>
        </a:solidFill>
      </c:spPr>
    </c:plotArea>
    <c:plotVisOnly val="1"/>
    <c:dispBlanksAs val="gap"/>
    <c:showDLblsOverMax val="0"/>
  </c:chart>
  <c:spPr>
    <a:noFill/>
    <a:ln>
      <a:solidFill>
        <a:sysClr val="windowText" lastClr="000000">
          <a:alpha val="62000"/>
        </a:sysClr>
      </a:solidFill>
    </a:ln>
  </c:spPr>
  <c:txPr>
    <a:bodyPr/>
    <a:lstStyle/>
    <a:p>
      <a:pPr>
        <a:defRPr baseline="0">
          <a:solidFill>
            <a:sysClr val="windowText" lastClr="000000"/>
          </a:solidFill>
          <a:latin typeface="Cambria" panose="02040503050406030204" pitchFamily="18" charset="0"/>
        </a:defRPr>
      </a:pPr>
      <a:endParaRPr lang="sk-SK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cho 2">
    <a:dk1>
      <a:srgbClr val="314183"/>
    </a:dk1>
    <a:lt1>
      <a:srgbClr val="FFFFFF"/>
    </a:lt1>
    <a:dk2>
      <a:srgbClr val="0B1E45"/>
    </a:dk2>
    <a:lt2>
      <a:srgbClr val="FFFFFF"/>
    </a:lt2>
    <a:accent1>
      <a:srgbClr val="6666FF"/>
    </a:accent1>
    <a:accent2>
      <a:srgbClr val="0066FF"/>
    </a:accent2>
    <a:accent3>
      <a:srgbClr val="AAABB0"/>
    </a:accent3>
    <a:accent4>
      <a:srgbClr val="DADADA"/>
    </a:accent4>
    <a:accent5>
      <a:srgbClr val="B8B8FF"/>
    </a:accent5>
    <a:accent6>
      <a:srgbClr val="005CE7"/>
    </a:accent6>
    <a:hlink>
      <a:srgbClr val="006699"/>
    </a:hlink>
    <a:folHlink>
      <a:srgbClr val="B2B2B2"/>
    </a:folHlink>
  </a:clrScheme>
  <a:fontScheme name="Echo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B0A1-62EB-403A-B4A7-C48EE9D0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19418</Words>
  <Characters>110688</Characters>
  <Application>Microsoft Office Word</Application>
  <DocSecurity>0</DocSecurity>
  <Lines>922</Lines>
  <Paragraphs>259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Pietruchova Olga</dc:creator>
  <cp:lastModifiedBy>Pietruchová Oľga</cp:lastModifiedBy>
  <cp:revision>2</cp:revision>
  <cp:lastPrinted>2016-06-15T09:09:00Z</cp:lastPrinted>
  <dcterms:created xsi:type="dcterms:W3CDTF">2016-06-15T09:10:00Z</dcterms:created>
  <dcterms:modified xsi:type="dcterms:W3CDTF">2016-06-15T09:10:00Z</dcterms:modified>
</cp:coreProperties>
</file>