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DA" w:rsidRDefault="00BD5CDA" w:rsidP="00021B18">
      <w:pPr>
        <w:spacing w:after="40" w:line="320" w:lineRule="exact"/>
        <w:ind w:right="6" w:firstLine="0"/>
        <w:jc w:val="right"/>
      </w:pPr>
      <w:bookmarkStart w:id="0" w:name="_GoBack"/>
      <w:bookmarkEnd w:id="0"/>
      <w:r w:rsidRPr="00E73BBA">
        <w:rPr>
          <w:b/>
        </w:rPr>
        <w:t>Príloha</w:t>
      </w:r>
      <w:r>
        <w:rPr>
          <w:b/>
        </w:rPr>
        <w:t xml:space="preserve"> 5 </w:t>
      </w:r>
    </w:p>
    <w:p w:rsidR="00695975" w:rsidRDefault="0097208F" w:rsidP="00021B18">
      <w:pPr>
        <w:spacing w:after="40" w:line="320" w:lineRule="exact"/>
        <w:ind w:left="-6" w:right="0" w:hanging="11"/>
        <w:jc w:val="left"/>
        <w:rPr>
          <w:b/>
        </w:rPr>
      </w:pPr>
      <w:r>
        <w:rPr>
          <w:b/>
          <w:noProof/>
          <w:lang w:eastAsia="sk-SK"/>
        </w:rPr>
        <mc:AlternateContent>
          <mc:Choice Requires="wps">
            <w:drawing>
              <wp:anchor distT="0" distB="0" distL="114300" distR="114300" simplePos="0" relativeHeight="251657728" behindDoc="1" locked="0" layoutInCell="1" allowOverlap="1">
                <wp:simplePos x="0" y="0"/>
                <wp:positionH relativeFrom="column">
                  <wp:posOffset>-33655</wp:posOffset>
                </wp:positionH>
                <wp:positionV relativeFrom="paragraph">
                  <wp:posOffset>38735</wp:posOffset>
                </wp:positionV>
                <wp:extent cx="5759450" cy="580390"/>
                <wp:effectExtent l="76200" t="7620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80390"/>
                        </a:xfrm>
                        <a:prstGeom prst="flowChartAlternateProcess">
                          <a:avLst/>
                        </a:prstGeom>
                        <a:solidFill>
                          <a:srgbClr val="C2D69B"/>
                        </a:solidFill>
                        <a:ln>
                          <a:noFill/>
                        </a:ln>
                        <a:effectLst>
                          <a:outerShdw dist="107763" dir="13500000" algn="ctr" rotWithShape="0">
                            <a:srgbClr val="808080">
                              <a:alpha val="50000"/>
                            </a:srgbClr>
                          </a:outerShdw>
                        </a:effectLst>
                        <a:extLst>
                          <a:ext uri="{91240B29-F687-4F45-9708-019B960494DF}">
                            <a14:hiddenLine xmlns:a14="http://schemas.microsoft.com/office/drawing/2010/main" w="127000" cmpd="dbl">
                              <a:solidFill>
                                <a:srgbClr val="C2D69B"/>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margin-left:-2.65pt;margin-top:3.05pt;width:453.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" fillcolor="#c2d69b" stroked="f" strokecolor="#c2d69b" strokeweight="10pt">
                <v:stroke linestyle="thinThin"/>
                <v:shadow on="t" opacity=".5" offset="-6pt,-6pt"/>
              </v:shape>
            </w:pict>
          </mc:Fallback>
        </mc:AlternateContent>
      </w:r>
    </w:p>
    <w:p w:rsidR="00BD5CDA" w:rsidRDefault="00BD5CDA" w:rsidP="00021B18">
      <w:pPr>
        <w:spacing w:after="40" w:line="320" w:lineRule="exact"/>
        <w:ind w:left="-6" w:right="0" w:hanging="11"/>
        <w:jc w:val="left"/>
      </w:pPr>
      <w:r>
        <w:rPr>
          <w:b/>
        </w:rPr>
        <w:t xml:space="preserve">REGIONÁLNY ROZVOJ </w:t>
      </w:r>
    </w:p>
    <w:p w:rsidR="00695975" w:rsidRDefault="00695975" w:rsidP="00021B18">
      <w:pPr>
        <w:spacing w:after="40" w:line="320" w:lineRule="exact"/>
        <w:ind w:left="-6" w:right="0" w:hanging="11"/>
        <w:jc w:val="left"/>
        <w:rPr>
          <w:b/>
        </w:rPr>
      </w:pPr>
    </w:p>
    <w:p w:rsidR="00BD5CDA" w:rsidRPr="003C1008" w:rsidRDefault="00BD5CDA" w:rsidP="00021B18">
      <w:pPr>
        <w:spacing w:after="40" w:line="320" w:lineRule="exact"/>
        <w:ind w:left="-6" w:right="0" w:hanging="11"/>
        <w:jc w:val="left"/>
      </w:pPr>
      <w:r w:rsidRPr="003C1008">
        <w:rPr>
          <w:b/>
        </w:rPr>
        <w:t xml:space="preserve">Operačné programy pod Sekciou riadenia programov regionálneho rozvoja a  Útvarom Implementácie programov </w:t>
      </w:r>
      <w:r w:rsidR="00B54F2E" w:rsidRPr="003C1008">
        <w:rPr>
          <w:b/>
        </w:rPr>
        <w:t>regionálneho rozvoja v roku 201</w:t>
      </w:r>
      <w:r w:rsidR="003C1008" w:rsidRPr="003C1008">
        <w:rPr>
          <w:b/>
        </w:rPr>
        <w:t>5</w:t>
      </w:r>
    </w:p>
    <w:p w:rsidR="00BD5CDA" w:rsidRPr="003C1008" w:rsidRDefault="00BD5CDA" w:rsidP="00021B18">
      <w:pPr>
        <w:spacing w:after="40" w:line="320" w:lineRule="exact"/>
        <w:ind w:left="-15" w:right="0"/>
      </w:pPr>
      <w:r w:rsidRPr="003C1008">
        <w:t xml:space="preserve">Agentúra na podporu regionálneho rozvoja </w:t>
      </w:r>
      <w:r w:rsidR="000C7A2C" w:rsidRPr="003C1008">
        <w:t xml:space="preserve">(ďalej len „APRR“) </w:t>
      </w:r>
      <w:r w:rsidRPr="003C1008">
        <w:t>zabezpečovala do</w:t>
      </w:r>
      <w:r w:rsidR="000C7A2C" w:rsidRPr="003C1008">
        <w:t> </w:t>
      </w:r>
      <w:r w:rsidRPr="003C1008">
        <w:t>31.12.2012 v rámci Národného strategického referenčného rámca na roky 2007 – 2013 realizáciu Regionálneho operačného programu, Operačného programu Bratislavský kraj, operačných programov cezhraničnej spolupráce a plnila úlohy v oblasti monitorovania a</w:t>
      </w:r>
      <w:r w:rsidR="000C7A2C" w:rsidRPr="003C1008">
        <w:t> </w:t>
      </w:r>
      <w:r w:rsidRPr="003C1008">
        <w:t>vyhodnocovania programov pomoci EÚ .</w:t>
      </w:r>
    </w:p>
    <w:p w:rsidR="00BD5CDA" w:rsidRPr="003C1008" w:rsidRDefault="00BD5CDA" w:rsidP="00021B18">
      <w:pPr>
        <w:spacing w:after="40" w:line="320" w:lineRule="exact"/>
        <w:ind w:left="-15" w:right="0"/>
      </w:pPr>
      <w:r w:rsidRPr="003C1008">
        <w:t xml:space="preserve">Agentúra na podporu regionálneho rozvoja sa k 01.01.2013  organizačnou zmenou rozčlenila na Sekciu riadenia programov regionálneho rozvoja (ďalej len SRPRR) a na Útvar implementácie programov regionálneho rozvoja Ministerstva pôdohospodárstva a rozvoja vidieka SR. </w:t>
      </w:r>
    </w:p>
    <w:p w:rsidR="003C1008" w:rsidRPr="00A669A8" w:rsidRDefault="003C1008" w:rsidP="00021B18">
      <w:pPr>
        <w:spacing w:after="40" w:line="320" w:lineRule="exact"/>
        <w:ind w:firstLine="708"/>
        <w:rPr>
          <w:szCs w:val="24"/>
          <w:lang w:eastAsia="sk-SK"/>
        </w:rPr>
      </w:pPr>
      <w:r w:rsidRPr="00A669A8">
        <w:rPr>
          <w:szCs w:val="24"/>
          <w:lang w:eastAsia="sk-SK"/>
        </w:rPr>
        <w:t xml:space="preserve">Sekcia riadenia programov regionálneho rozvoja </w:t>
      </w:r>
      <w:r>
        <w:rPr>
          <w:szCs w:val="24"/>
          <w:lang w:eastAsia="sk-SK"/>
        </w:rPr>
        <w:t>a útvar Implementácie programov regionálneho rozvoja plnia v programovom období 2007 - 2013</w:t>
      </w:r>
      <w:r w:rsidRPr="00A669A8">
        <w:rPr>
          <w:szCs w:val="24"/>
          <w:lang w:eastAsia="sk-SK"/>
        </w:rPr>
        <w:t xml:space="preserve"> úlohy Riadiaceho orgánu pre Regionálny operačný program, </w:t>
      </w:r>
      <w:r>
        <w:rPr>
          <w:szCs w:val="24"/>
          <w:lang w:eastAsia="sk-SK"/>
        </w:rPr>
        <w:t xml:space="preserve">Riadiaceho orgánu pre </w:t>
      </w:r>
      <w:r w:rsidRPr="00A669A8">
        <w:rPr>
          <w:szCs w:val="24"/>
          <w:lang w:eastAsia="sk-SK"/>
        </w:rPr>
        <w:t>Operačný program Bratislavský kraj a taktiež pln</w:t>
      </w:r>
      <w:r>
        <w:rPr>
          <w:szCs w:val="24"/>
          <w:lang w:eastAsia="sk-SK"/>
        </w:rPr>
        <w:t>ia</w:t>
      </w:r>
      <w:r w:rsidRPr="00A669A8">
        <w:rPr>
          <w:szCs w:val="24"/>
          <w:lang w:eastAsia="sk-SK"/>
        </w:rPr>
        <w:t xml:space="preserve"> funkciu Riadiaceho orgánu pre program cezhraničnej spolupráce Slovenská republika – Česká republika a Národného orgánu, resp. Národného koordinátora pre ďalšie programy cezhraničnej spolupráce 2007 – 2013. </w:t>
      </w:r>
    </w:p>
    <w:p w:rsidR="003C1008" w:rsidRDefault="003C1008" w:rsidP="00021B18">
      <w:pPr>
        <w:spacing w:after="40" w:line="320" w:lineRule="exact"/>
        <w:ind w:left="11" w:firstLine="697"/>
        <w:rPr>
          <w:highlight w:val="yellow"/>
        </w:rPr>
      </w:pPr>
      <w:r w:rsidRPr="00A669A8">
        <w:rPr>
          <w:szCs w:val="24"/>
          <w:lang w:eastAsia="sk-SK"/>
        </w:rPr>
        <w:t>Pre programové obdobie 2014 – 2020 pln</w:t>
      </w:r>
      <w:r>
        <w:rPr>
          <w:szCs w:val="24"/>
          <w:lang w:eastAsia="sk-SK"/>
        </w:rPr>
        <w:t>ia</w:t>
      </w:r>
      <w:r w:rsidRPr="00A669A8">
        <w:rPr>
          <w:szCs w:val="24"/>
          <w:lang w:eastAsia="sk-SK"/>
        </w:rPr>
        <w:t xml:space="preserve"> úlohy Riadiaceho orgánu pre Integrovaný Regionálny operačný program, pre Operačný program cezhraničnej spolupráce Slovenská republika – Česká republika. Zároveň pln</w:t>
      </w:r>
      <w:r>
        <w:rPr>
          <w:szCs w:val="24"/>
          <w:lang w:eastAsia="sk-SK"/>
        </w:rPr>
        <w:t>ia</w:t>
      </w:r>
      <w:r w:rsidRPr="00A669A8">
        <w:rPr>
          <w:szCs w:val="24"/>
          <w:lang w:eastAsia="sk-SK"/>
        </w:rPr>
        <w:t xml:space="preserve"> funkciu národného orgánu pre ďalšie programy cezhraničnej spolupráce 2014 – 2020 a Operačného programu ENI (Maďarsko, Slovenská republika, Rumunsko, Ukrajina).</w:t>
      </w:r>
    </w:p>
    <w:p w:rsidR="00B1299C" w:rsidRPr="00B1299C" w:rsidRDefault="00B1299C" w:rsidP="00021B18">
      <w:pPr>
        <w:spacing w:after="40" w:line="320" w:lineRule="exact"/>
        <w:ind w:left="-5" w:right="0" w:hanging="10"/>
        <w:jc w:val="left"/>
        <w:rPr>
          <w:color w:val="auto"/>
        </w:rPr>
      </w:pPr>
      <w:r w:rsidRPr="00B1299C">
        <w:rPr>
          <w:b/>
          <w:color w:val="auto"/>
        </w:rPr>
        <w:t xml:space="preserve">Operačný program Bratislavský kraj </w:t>
      </w:r>
    </w:p>
    <w:p w:rsidR="00B1299C" w:rsidRPr="00B1299C" w:rsidRDefault="00B1299C" w:rsidP="00021B18">
      <w:pPr>
        <w:spacing w:after="40" w:line="320" w:lineRule="exact"/>
        <w:ind w:right="0" w:firstLine="683"/>
        <w:rPr>
          <w:rFonts w:ascii="Arial" w:hAnsi="Arial" w:cs="Arial"/>
          <w:color w:val="auto"/>
          <w:sz w:val="20"/>
          <w:szCs w:val="20"/>
          <w:lang w:eastAsia="sk-SK"/>
        </w:rPr>
      </w:pPr>
      <w:r w:rsidRPr="00B1299C">
        <w:rPr>
          <w:i/>
          <w:color w:val="auto"/>
        </w:rPr>
        <w:t>Odbor riadenia operačných programov, Odbor realizácie Operačného programu Bratislavský kraj a Odbor kontroly projektov Regionálneho operačného programu</w:t>
      </w:r>
      <w:r w:rsidR="007E325A">
        <w:rPr>
          <w:i/>
          <w:color w:val="auto"/>
        </w:rPr>
        <w:t xml:space="preserve"> </w:t>
      </w:r>
      <w:r w:rsidRPr="00B1299C">
        <w:rPr>
          <w:i/>
          <w:color w:val="auto"/>
        </w:rPr>
        <w:t>a</w:t>
      </w:r>
      <w:r w:rsidR="007E325A">
        <w:rPr>
          <w:i/>
          <w:color w:val="auto"/>
        </w:rPr>
        <w:t> </w:t>
      </w:r>
      <w:r w:rsidRPr="00B1299C">
        <w:rPr>
          <w:i/>
          <w:color w:val="auto"/>
        </w:rPr>
        <w:t xml:space="preserve">Operačného programu Bratislavský kraj </w:t>
      </w:r>
      <w:r w:rsidRPr="00B1299C">
        <w:rPr>
          <w:color w:val="auto"/>
        </w:rPr>
        <w:t>zabezpečujú výkon úloh Riadiaceho orgánu pre </w:t>
      </w:r>
      <w:r w:rsidRPr="00B1299C">
        <w:rPr>
          <w:b/>
          <w:color w:val="auto"/>
        </w:rPr>
        <w:t>Operačný program Bratislavský kraj</w:t>
      </w:r>
      <w:r w:rsidRPr="00B1299C">
        <w:rPr>
          <w:color w:val="auto"/>
        </w:rPr>
        <w:t xml:space="preserve"> (ďalej len „OPBK“). OPBK predstavuje strategický dokument, pričom oprávneným územím na realizovanie intervencií je územie Bratislavského kraja. </w:t>
      </w:r>
    </w:p>
    <w:p w:rsidR="00B1299C" w:rsidRPr="00B1299C" w:rsidRDefault="00B1299C" w:rsidP="00021B18">
      <w:pPr>
        <w:spacing w:after="40" w:line="320" w:lineRule="exact"/>
        <w:ind w:left="-15" w:right="0"/>
        <w:rPr>
          <w:color w:val="auto"/>
        </w:rPr>
      </w:pPr>
      <w:r w:rsidRPr="00B1299C">
        <w:rPr>
          <w:color w:val="auto"/>
        </w:rPr>
        <w:t>Globálnym cieľom OPBK je posilnenie konkurenčnej schopnosti regiónu rozvojom vedomostnej ekonomiky a budovaním regiónu atraktívneho pre život. Špecifické ciele OPBK sú napĺňané prostredníctvom dvoch prioritných osí OPBK: Prioritná os 1 Infraštruktúra</w:t>
      </w:r>
      <w:r w:rsidR="007E325A">
        <w:rPr>
          <w:color w:val="auto"/>
        </w:rPr>
        <w:t xml:space="preserve"> </w:t>
      </w:r>
      <w:r w:rsidRPr="00B1299C">
        <w:rPr>
          <w:color w:val="auto"/>
        </w:rPr>
        <w:t>a</w:t>
      </w:r>
      <w:r w:rsidR="007E325A">
        <w:rPr>
          <w:color w:val="auto"/>
        </w:rPr>
        <w:t> </w:t>
      </w:r>
      <w:r w:rsidRPr="00B1299C">
        <w:rPr>
          <w:color w:val="auto"/>
        </w:rPr>
        <w:t>Prioritná os 2 Vedomostná ekonomika. V rámci OPBK sú verejné prostriedky (štátny rozpočet a rozpočet územnej samosprávy), súkromné zdroje a prostriedky ERDF sústredené na štyri základné op</w:t>
      </w:r>
      <w:r w:rsidR="007E325A">
        <w:rPr>
          <w:color w:val="auto"/>
        </w:rPr>
        <w:t>atrenia v 2 prioritných osiach.</w:t>
      </w:r>
    </w:p>
    <w:p w:rsidR="00B1299C" w:rsidRPr="00B1299C" w:rsidRDefault="00B1299C" w:rsidP="00021B18">
      <w:pPr>
        <w:spacing w:after="40" w:line="320" w:lineRule="exact"/>
        <w:ind w:left="-15" w:right="0"/>
        <w:rPr>
          <w:color w:val="auto"/>
        </w:rPr>
      </w:pPr>
      <w:r w:rsidRPr="00B1299C">
        <w:rPr>
          <w:color w:val="auto"/>
        </w:rPr>
        <w:t xml:space="preserve">Prvá prioritná os „Infraštruktúra“ je zameraná na podporu budovania moderného a atraktívneho regiónu pre občanov, návštevníkov a investorov. Druhá prioritná os </w:t>
      </w:r>
      <w:r w:rsidRPr="00B1299C">
        <w:rPr>
          <w:color w:val="auto"/>
        </w:rPr>
        <w:lastRenderedPageBreak/>
        <w:t>„Vedomostná ekonomika“ podporuje v rámci OPBK inovácie a informatizáciu spoločnosti ako kľúčové tematické okruhy pre zabezpečenie dlhodobej konkurencieschopnosti regiónu.</w:t>
      </w:r>
    </w:p>
    <w:p w:rsidR="00B1299C" w:rsidRPr="00B1299C" w:rsidRDefault="00B1299C" w:rsidP="00021B18">
      <w:pPr>
        <w:spacing w:after="40" w:line="320" w:lineRule="exact"/>
        <w:ind w:left="-15" w:right="0"/>
        <w:rPr>
          <w:color w:val="auto"/>
        </w:rPr>
      </w:pPr>
      <w:r w:rsidRPr="00B1299C">
        <w:rPr>
          <w:color w:val="auto"/>
        </w:rPr>
        <w:t>OPBK stanovuje stratégiu a prioritné osi podporované zo štrukturálnych fondov a zo zdrojov členského štátu, ich špecifické ciele, príspevok zo štrukturálnych fondov a ostatné finančné prostriedky v súlade s Nariadením Rady (ES) č. 1083/2006 z 11. júla 2006, ktorým sa ustanovujú všeobecné ustanovenia o Európskom fonde regionálneho rozvoja, Európskom sociálnom fonde a Kohéznom fonde, a ktorým sa ruší nariadenie (ES) č.1260/1999 („všeobecné nariadenie“) a v súlade s Nariadením Komisie (ES) č. 1828/2006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v znení neskorších zmien a doplnení („vykonávacie nariadenie“). Okrem toho Riadiaci orgán pre OPBK postupuje pri implementácii OPBK v súlade s ďalšími nariadeniami EÚ/ES, platnými právnymi predpismi Slovenskej republiky, ako aj ďalšími záväznými dokumentmi, najmä v súlade so Systémom riadenia štrukturálnych fondov a Kohézneho fondu na programové obdobie 2007 – 2013 a Systémom finančného riadenia štrukturálnych fondov a Kohézneho fondu</w:t>
      </w:r>
      <w:r w:rsidR="007E325A">
        <w:rPr>
          <w:color w:val="auto"/>
        </w:rPr>
        <w:t xml:space="preserve"> </w:t>
      </w:r>
      <w:r w:rsidRPr="00B1299C">
        <w:rPr>
          <w:color w:val="auto"/>
        </w:rPr>
        <w:t>na</w:t>
      </w:r>
      <w:r w:rsidR="007E325A">
        <w:rPr>
          <w:color w:val="auto"/>
        </w:rPr>
        <w:t> </w:t>
      </w:r>
      <w:r w:rsidRPr="00B1299C">
        <w:rPr>
          <w:color w:val="auto"/>
        </w:rPr>
        <w:t xml:space="preserve">programové obdobie 2007 – 2013. Prijímateľmi pomoci z OPBK sú obce a mestá Bratislavského kraja, Bratislavský samosprávny kraj, Hlavné mesto SR Bratislava a jeho mestské časti, združenia miest a obcí, subjekt správy bytového domu a mikro, malí a strední podnikatelia (MSP) – fyzické alebo právnické osoby. </w:t>
      </w:r>
    </w:p>
    <w:p w:rsidR="00B1299C" w:rsidRPr="00B1299C" w:rsidRDefault="00B1299C" w:rsidP="00021B18">
      <w:pPr>
        <w:spacing w:after="40" w:line="320" w:lineRule="exact"/>
        <w:ind w:left="-15" w:right="0"/>
        <w:rPr>
          <w:color w:val="auto"/>
        </w:rPr>
      </w:pPr>
      <w:r w:rsidRPr="00B1299C">
        <w:rPr>
          <w:color w:val="auto"/>
        </w:rPr>
        <w:t xml:space="preserve">Do implementácie OPBK je aktívne zapojený aj Bratislavský samosprávny kraj, ktorý vo vymedzenom rozsahu plní úlohy sprostredkovateľského orgánu pod Riadiacim orgánom pre OPBK. </w:t>
      </w:r>
    </w:p>
    <w:p w:rsidR="00B1299C" w:rsidRPr="00354C80" w:rsidRDefault="00B1299C" w:rsidP="00021B18">
      <w:pPr>
        <w:spacing w:after="40" w:line="320" w:lineRule="exact"/>
        <w:ind w:left="-15" w:right="0"/>
        <w:rPr>
          <w:color w:val="auto"/>
        </w:rPr>
      </w:pPr>
      <w:r w:rsidRPr="00B1299C">
        <w:rPr>
          <w:b/>
          <w:i/>
          <w:color w:val="auto"/>
        </w:rPr>
        <w:t>V rámci Prioritnej osi 1 Infraštruktúra</w:t>
      </w:r>
      <w:r w:rsidRPr="00B1299C">
        <w:rPr>
          <w:color w:val="auto"/>
        </w:rPr>
        <w:t xml:space="preserve"> bolo od začiatku programového obdobia </w:t>
      </w:r>
      <w:r w:rsidRPr="00354C80">
        <w:rPr>
          <w:color w:val="auto"/>
        </w:rPr>
        <w:t>vyhlásených 10 výziev na predkladanie ŽoNFP (bez iniciatívy JESSICA). V rámci výziev (bez iniciatívy JESSICA) bolo prijatých 236 žiadostí o nenávratný finančný príspevok (ďalej iba „ŽoNFP“) v celkovej výške nenávratného finančného príspevku (ďalej iba „NFP“) 127</w:t>
      </w:r>
      <w:r w:rsidR="007E325A">
        <w:rPr>
          <w:color w:val="auto"/>
        </w:rPr>
        <w:t> </w:t>
      </w:r>
      <w:r w:rsidRPr="00354C80">
        <w:rPr>
          <w:color w:val="auto"/>
        </w:rPr>
        <w:t>968 416,24 € (z toho v rámci opatrenia 1.1 Regenerácia sídiel bolo prijatých 215 ŽoNFP v celkovej výške NFP 101 361 314,43 € a v rámci opatrenia 1.2 Regionálna a mestská hromadná doprava bolo prijatých 21 ŽoNFP v celkovej výške NFP 26 607 101,81 €). Z vyššie uvedeného počtu prijatých ŽoNFP bolo k 31.12.2015 schválených 135 ŽoNFP v celkovej výške NFP 64 197 881,63 € (z toho v rámci opatrenia 1.1 Regenerácia sídiel bolo schválených 119 ŽoNFP v celkovej výške NFP 49 680 035,76 € a opatrenia 1.2 Regionálna a mestská hromadná doprava bolo schválených 16 ŽoNFP v celkovej výške NFP 14 517 845,87 €). K</w:t>
      </w:r>
      <w:r w:rsidR="00021B18">
        <w:rPr>
          <w:color w:val="auto"/>
        </w:rPr>
        <w:t> </w:t>
      </w:r>
      <w:r w:rsidRPr="00354C80">
        <w:rPr>
          <w:color w:val="auto"/>
        </w:rPr>
        <w:t>31.12.2015 bolo zazmluvnených 119 projektov v celkovej výške NFP 45 209 215,78 €</w:t>
      </w:r>
      <w:r w:rsidRPr="00B1299C">
        <w:rPr>
          <w:color w:val="auto"/>
        </w:rPr>
        <w:t xml:space="preserve"> (z</w:t>
      </w:r>
      <w:r w:rsidR="00021B18">
        <w:rPr>
          <w:color w:val="auto"/>
        </w:rPr>
        <w:t> </w:t>
      </w:r>
      <w:r w:rsidRPr="00B1299C">
        <w:rPr>
          <w:color w:val="auto"/>
        </w:rPr>
        <w:t>toho v rámci opatrenia 1.1 Regenerácia sídiel bolo zazmluvnených 108 projektov v</w:t>
      </w:r>
      <w:r w:rsidR="00961013">
        <w:rPr>
          <w:color w:val="auto"/>
        </w:rPr>
        <w:t> </w:t>
      </w:r>
      <w:r w:rsidRPr="00B1299C">
        <w:rPr>
          <w:color w:val="auto"/>
        </w:rPr>
        <w:t>celkovej výške NFP 37 918 675,27 € a v rámci opatrenia 1.2 Regionálna a mestská hromadná doprava bolo zazmluvnených 11 projektov v celkovej výške NFP 7 290 540,51 €). K</w:t>
      </w:r>
      <w:r w:rsidR="00021B18">
        <w:rPr>
          <w:color w:val="auto"/>
        </w:rPr>
        <w:t> </w:t>
      </w:r>
      <w:r w:rsidRPr="00B1299C">
        <w:rPr>
          <w:color w:val="auto"/>
        </w:rPr>
        <w:t xml:space="preserve">31.12.2015 bolo v rámci Prioritnej osi 1 celkovo </w:t>
      </w:r>
      <w:r w:rsidRPr="00354C80">
        <w:rPr>
          <w:color w:val="auto"/>
        </w:rPr>
        <w:t>6 projektov v realizácii v celkovej zazmluvnenej výške NFP 2 685 022,10 € (z toho v rámci opatrenia 1.1 Regenerácia sídiel boli v realizácii 4 projekty</w:t>
      </w:r>
      <w:r w:rsidR="007E325A">
        <w:rPr>
          <w:color w:val="auto"/>
        </w:rPr>
        <w:t xml:space="preserve"> </w:t>
      </w:r>
      <w:r w:rsidRPr="00354C80">
        <w:rPr>
          <w:color w:val="auto"/>
        </w:rPr>
        <w:t>v</w:t>
      </w:r>
      <w:r w:rsidR="007E325A">
        <w:rPr>
          <w:color w:val="auto"/>
        </w:rPr>
        <w:t> </w:t>
      </w:r>
      <w:r w:rsidRPr="00354C80">
        <w:rPr>
          <w:color w:val="auto"/>
        </w:rPr>
        <w:t>celkovej zazmluvnenej výške NFP 1 693 927,69 € a v rámci opatrenia 1.2 Regionálna</w:t>
      </w:r>
      <w:r w:rsidR="007E325A">
        <w:rPr>
          <w:color w:val="auto"/>
        </w:rPr>
        <w:t xml:space="preserve"> </w:t>
      </w:r>
      <w:r w:rsidRPr="00354C80">
        <w:rPr>
          <w:color w:val="auto"/>
        </w:rPr>
        <w:t>a</w:t>
      </w:r>
      <w:r w:rsidR="007E325A">
        <w:rPr>
          <w:color w:val="auto"/>
        </w:rPr>
        <w:t> </w:t>
      </w:r>
      <w:r w:rsidRPr="00354C80">
        <w:rPr>
          <w:color w:val="auto"/>
        </w:rPr>
        <w:t xml:space="preserve">mestská hromadná doprava boli v realizácii 2 projekty vo výške </w:t>
      </w:r>
      <w:r w:rsidRPr="00354C80">
        <w:rPr>
          <w:color w:val="auto"/>
        </w:rPr>
        <w:lastRenderedPageBreak/>
        <w:t>991 094,41 €). Riadne ukončených bolo 113 projektov v celkovej výške čerpaných prostriedkov NFP 41 687 690,00 € (z toho v rámci opatrenia 1.1 bolo riadne ukončených 104</w:t>
      </w:r>
      <w:r w:rsidR="00021B18">
        <w:rPr>
          <w:color w:val="auto"/>
        </w:rPr>
        <w:t> </w:t>
      </w:r>
      <w:r w:rsidRPr="00354C80">
        <w:rPr>
          <w:color w:val="auto"/>
        </w:rPr>
        <w:t>projektov v celkovej výške čerpaných prostriedkov NFP 35 438 882,29 € a opatrenia 1.2 bolo riadne ukončených 9</w:t>
      </w:r>
      <w:r w:rsidR="007E325A">
        <w:rPr>
          <w:color w:val="auto"/>
        </w:rPr>
        <w:t> </w:t>
      </w:r>
      <w:r w:rsidRPr="00354C80">
        <w:rPr>
          <w:color w:val="auto"/>
        </w:rPr>
        <w:t>projektov v celkovej výške čerpaných prostriedkov NFP 6 248 807,71</w:t>
      </w:r>
      <w:r w:rsidR="00021B18">
        <w:rPr>
          <w:color w:val="auto"/>
        </w:rPr>
        <w:t> </w:t>
      </w:r>
      <w:r w:rsidRPr="00354C80">
        <w:rPr>
          <w:color w:val="auto"/>
        </w:rPr>
        <w:t xml:space="preserve">€). </w:t>
      </w:r>
    </w:p>
    <w:p w:rsidR="00B1299C" w:rsidRPr="00354C80" w:rsidRDefault="00B1299C" w:rsidP="00021B18">
      <w:pPr>
        <w:spacing w:after="40" w:line="320" w:lineRule="exact"/>
        <w:ind w:left="-15" w:right="0"/>
        <w:rPr>
          <w:color w:val="auto"/>
        </w:rPr>
      </w:pPr>
      <w:r w:rsidRPr="00B1299C">
        <w:rPr>
          <w:b/>
          <w:i/>
          <w:color w:val="auto"/>
        </w:rPr>
        <w:t>V rámci Prioritnej osi 2 Vedomostná ekonomika</w:t>
      </w:r>
      <w:r w:rsidRPr="00B1299C">
        <w:rPr>
          <w:color w:val="auto"/>
        </w:rPr>
        <w:t xml:space="preserve"> </w:t>
      </w:r>
      <w:r w:rsidRPr="00354C80">
        <w:rPr>
          <w:color w:val="auto"/>
        </w:rPr>
        <w:t>bolo od začiatku programového obdobia vyhlásených 13 výziev na predkladanie ŽoNFP (bez iniciatívy JEREMIE). V rámci výziev (bez iniciatívy JEREMIE) bolo prijatých 544 ŽoNFP v celkovej výške NFP 66 936 837,52 € (z toho v rámci opatrenia 2.1 Inovácie a technologické transfery bolo prijatých 304 ŽoNFP v celkovej výške NFP 41 822 220,86 € a v rámci opatrenia 2.2 Informatizácia spoločnosti bolo prijatých 240 ŽoNFP v celkovej výške NFP 25 114 616,66 €). Z vyššie uvedeného počtu prijatých ŽoNP bolo schválených 345 ŽoNFP v celkovej výške NFP 46 095 356,76 € (z toho v rámci opatrenia 2.1 Inovácie a technologické transfery bolo schválených 210 ŽoNFP v celkovej výške NFP 28 478 691,54 € a opatrenia 2.2 Informatizácia spoločnosti bolo schválených 135 ŽoNFP v celkovej výške NFP 17 616 665,22 €). K 31.12.2015 bolo zazmluvnených 328 projektov v celkovej výške NFP 40 015 684,67 € (z toho v rámci opatrenia 2.1 Inovácie a technologické transfery bolo zazmluvnených 200 projektov  v celkovej výške NFP 26 990 678,81 € a v rámci opatrenia 2.2 Informatizácia spoločnosti bolo zazmluvnených 128 projektov v celkovej výške NFP 13 025 005,86 €). K 31.12.2015 bolo v rámci Prioritnej osi 2 celkovo 10 projektov v realizácii v celkovej zazmluvnenej výške NFP 5 969 428,64 € (z toho v rámci opatrenia 2.1 Inovácie a technologické transfery boli v realizácii 4 projekty v celkovej zazmluvnenej výške NFP 378 454,07 € a v rámci opatrenia 2.2 Informatizácia spoločnosti bolo v realizácii 6 projektov v</w:t>
      </w:r>
      <w:r w:rsidR="007E325A">
        <w:rPr>
          <w:color w:val="auto"/>
        </w:rPr>
        <w:t> </w:t>
      </w:r>
      <w:r w:rsidRPr="00354C80">
        <w:rPr>
          <w:color w:val="auto"/>
        </w:rPr>
        <w:t>celkovej zazmluvnenej výške NFP 5 590 974,57 €). Riadne ukončených bolo</w:t>
      </w:r>
      <w:r w:rsidR="00961013">
        <w:rPr>
          <w:color w:val="auto"/>
        </w:rPr>
        <w:t xml:space="preserve"> </w:t>
      </w:r>
      <w:r w:rsidRPr="00354C80">
        <w:rPr>
          <w:color w:val="auto"/>
        </w:rPr>
        <w:t>318 projektov v celkovej výške čerpaných prostriedkov NFP 33 869 227,75 € (z toho v rámci opatrenia 2.1 Inovácie a technologické transfery bolo riadne ukončených 196 projektov v celkovej výške čerpaných prostriedkov NFP 26 473 131,16 € a v rámci opatrenia 2.2 Informatizácia spoločnosti bolo riadne ukončených 122 projektov v celkovej výške čerpaných prostriedkov NFP 7 396 096,59 €).</w:t>
      </w:r>
    </w:p>
    <w:p w:rsidR="00B1299C" w:rsidRPr="00B1299C" w:rsidRDefault="00B1299C" w:rsidP="00021B18">
      <w:pPr>
        <w:spacing w:after="40" w:line="320" w:lineRule="exact"/>
        <w:ind w:right="0" w:firstLine="708"/>
        <w:rPr>
          <w:color w:val="auto"/>
        </w:rPr>
      </w:pPr>
      <w:r w:rsidRPr="00B1299C">
        <w:rPr>
          <w:rFonts w:eastAsia="Calibri"/>
          <w:color w:val="auto"/>
          <w:szCs w:val="24"/>
        </w:rPr>
        <w:t>V roku 2015 boli zverejnené dve písomné vyzvania k predloženiu žiadosti o NFP v</w:t>
      </w:r>
      <w:r w:rsidR="007E325A">
        <w:rPr>
          <w:rFonts w:eastAsia="Calibri"/>
          <w:color w:val="auto"/>
          <w:szCs w:val="24"/>
        </w:rPr>
        <w:t> </w:t>
      </w:r>
      <w:r w:rsidRPr="00B1299C">
        <w:rPr>
          <w:rFonts w:eastAsia="Calibri"/>
          <w:color w:val="auto"/>
          <w:szCs w:val="24"/>
        </w:rPr>
        <w:t>rámci implementácie finančného nástroja JESSICA. Dňa 9.2.2015 bolo zverejnené písomné vyzvanie s kódom OPBK-2015-JESSICA II a dňa 26.11.2015 bolo zverejnené písomné vyzvanie s kódom OPBK-2015-JESSICA III.</w:t>
      </w:r>
      <w:r w:rsidRPr="00B1299C">
        <w:rPr>
          <w:color w:val="auto"/>
        </w:rPr>
        <w:t xml:space="preserve"> Finančné prostriedky v rámci iniciatívy JESSICA sú využité v oblasti infraštruktúry bývania, kde vzhľadom na záverečnú fázu realizácie operačného programu zostal priestor na realizáciu nových projektov. Projekty podporené iniciatívou JESSICA výraznou mierou prispejú k plneniu cieľov operačného programu v oblasti energetickej efektívnosti.</w:t>
      </w:r>
    </w:p>
    <w:p w:rsidR="00021B18" w:rsidRDefault="00021B18" w:rsidP="00021B18">
      <w:pPr>
        <w:spacing w:after="40" w:line="320" w:lineRule="exact"/>
        <w:ind w:left="-5" w:right="0" w:hanging="10"/>
        <w:jc w:val="left"/>
        <w:rPr>
          <w:b/>
        </w:rPr>
      </w:pPr>
    </w:p>
    <w:p w:rsidR="008149EC" w:rsidRDefault="008149EC" w:rsidP="00021B18">
      <w:pPr>
        <w:spacing w:after="40" w:line="320" w:lineRule="exact"/>
        <w:ind w:left="-5" w:right="0" w:hanging="10"/>
        <w:jc w:val="left"/>
      </w:pPr>
      <w:r>
        <w:rPr>
          <w:b/>
        </w:rPr>
        <w:t xml:space="preserve">Programy cezhraničnej spolupráce </w:t>
      </w:r>
    </w:p>
    <w:p w:rsidR="008149EC" w:rsidRDefault="008149EC" w:rsidP="00021B18">
      <w:pPr>
        <w:spacing w:after="40" w:line="320" w:lineRule="exact"/>
        <w:ind w:right="0" w:firstLine="708"/>
      </w:pPr>
      <w:r>
        <w:rPr>
          <w:b/>
        </w:rPr>
        <w:t xml:space="preserve"> </w:t>
      </w:r>
      <w:r>
        <w:t xml:space="preserve">Programy cezhraničnej spolupráce spadajú pod Európsku územnú spoluprácu a sú realizované s podporou štrukturálnych fondov EÚ, z Európskeho fondu regionálneho rozvoja so súčasnou finančnou účasťou jednotlivých národných rozpočtov. Odbor programov cezhraničnej spolupráce spadajúci pod Sekciu riadenia programov regionálneho rozvoja </w:t>
      </w:r>
      <w:r>
        <w:lastRenderedPageBreak/>
        <w:t>MPRV SR zodpovedá za realizáciu jednotlivých programov, na ktorých participujú susediace štáty, Česká republika, Maďarsko, Poľsko, Rakúsk</w:t>
      </w:r>
      <w:r w:rsidR="007E325A">
        <w:t xml:space="preserve">o a tiež spoločný program ENPI, </w:t>
      </w:r>
      <w:r>
        <w:t>kde spolupracujú na programe Maďarsko – Slovensko – Rumunsko a Ukrajina. Jednotlivé programy cezhraničnej spolupráce spoločne pripravujú Operačné programy, ktoré definujú rámec spolupráce, určujú priestor pre aktivity, projektové zámery na danom vymedzenom území. Odbor programov cezhraničnej spolupráce zodpovedá za riadenie Operačného programu cezhraničnej spolupráce Slovenská republika – Česká republika, plní úlohu Riadiaceho orgánu pre obdobie 2007-2013. V ostatných programoch cezhraničnej spolupráce Slovenská republika – Rakúsko, Maďarsko – Slovenská republika, Poľsko – Slovenská republika a operačného programu ENPI Maďarsko – Slovensko – Rumunsko – Ukrajina 2007</w:t>
      </w:r>
      <w:r w:rsidR="00A60E71">
        <w:t> </w:t>
      </w:r>
      <w:r>
        <w:t xml:space="preserve">-2013 zastáva Slovenská republika pozíciu Národného orgánu, čo znamená, že koordinuje Program na Slovensku a tiež spolupracuje s jednotlivými Riadiacimi orgánmi. </w:t>
      </w:r>
    </w:p>
    <w:p w:rsidR="008149EC" w:rsidRDefault="008149EC" w:rsidP="00021B18">
      <w:pPr>
        <w:spacing w:after="40" w:line="320" w:lineRule="exact"/>
        <w:ind w:left="-15" w:right="0"/>
      </w:pPr>
      <w:r>
        <w:t xml:space="preserve">Programy cezhraničnej spolupráce sú zamerané na hospodársku spoluprácu rôznych partnerov, zvýšenie sociálnej a kultúrnej súdržnosti, zlepšenie dostupnosti a komunikácie a ochranu prírodných hodnôt v prihraničných regiónoch. Programy podporujú zvyšovanie hospodárskej a sociálnej integrácie prihraničných regiónov. </w:t>
      </w:r>
    </w:p>
    <w:p w:rsidR="008149EC" w:rsidRDefault="008149EC" w:rsidP="00021B18">
      <w:pPr>
        <w:spacing w:after="40" w:line="320" w:lineRule="exact"/>
        <w:ind w:left="-15" w:right="0"/>
      </w:pPr>
      <w:r>
        <w:t xml:space="preserve">Projektové zámery realizujú v oprávnených územiach jednotlivých programov rôzne subjekty, samosprávne kraje, obce, mestá, združenia obcí, príspevkové a rozpočtové organizácie ako aj školy, neziskové organizácie, záujmové združenia právnických osôb, občianske združenia a ďalšie subjekty. Špecifikom cezhraničných programov je podmienka spoločnej realizácie projektového zámeru minimálne dvoma projektovými partnermi, z každej strany hranice jedným a podmienka preukázateľného cezhraničného dopadu. </w:t>
      </w:r>
    </w:p>
    <w:p w:rsidR="008149EC" w:rsidRDefault="008149EC" w:rsidP="00021B18">
      <w:pPr>
        <w:spacing w:after="40" w:line="320" w:lineRule="exact"/>
        <w:ind w:left="-15" w:right="0"/>
      </w:pPr>
      <w:r>
        <w:t xml:space="preserve">Oprávnené územia, v rámci ktorých je možné realizovať projekty s finančnou podporou niektorého z programov sú určené podľa geografickej orientácie programu na úrovni NUTS III v rámci susediacich regiónov zúčastnených štátov. </w:t>
      </w:r>
    </w:p>
    <w:p w:rsidR="008149EC" w:rsidRDefault="008149EC" w:rsidP="00021B18">
      <w:pPr>
        <w:spacing w:after="40" w:line="320" w:lineRule="exact"/>
        <w:ind w:left="-15" w:right="0"/>
      </w:pPr>
      <w:r>
        <w:t xml:space="preserve">Výzvy na predkladanie žiadostí o poskytnutie finančného príspevku z ERDF za jednotlivé programy boli vyhlasované priebežne. </w:t>
      </w:r>
    </w:p>
    <w:p w:rsidR="008149EC" w:rsidRPr="007512AA" w:rsidRDefault="008149EC" w:rsidP="00021B18">
      <w:pPr>
        <w:spacing w:after="40" w:line="320" w:lineRule="exact"/>
        <w:ind w:right="0" w:firstLine="683"/>
        <w:rPr>
          <w:color w:val="auto"/>
        </w:rPr>
      </w:pPr>
      <w:r>
        <w:t xml:space="preserve">V rámci programu cezhraničnej spolupráce </w:t>
      </w:r>
      <w:r w:rsidRPr="00B97004">
        <w:rPr>
          <w:b/>
        </w:rPr>
        <w:t>Operačný program Slovenská republika – Česká republika 2007-2013</w:t>
      </w:r>
      <w:r>
        <w:t xml:space="preserve"> s alokáciou 92 740 141 </w:t>
      </w:r>
      <w:r w:rsidR="00A60E71">
        <w:t>€</w:t>
      </w:r>
      <w:r w:rsidR="00961013">
        <w:t xml:space="preserve"> </w:t>
      </w:r>
      <w:r>
        <w:t xml:space="preserve">z prostriedkov ERDF bolo doteraz vyhlásených šesť výziev na predkladanie žiadostí o poskytnutie finančného príspevku. </w:t>
      </w:r>
      <w:r w:rsidRPr="007512AA">
        <w:rPr>
          <w:color w:val="auto"/>
        </w:rPr>
        <w:t xml:space="preserve">K 31.12.2015 program eviduje 321 schválených projektov vo výške 100,56 mil. </w:t>
      </w:r>
      <w:r w:rsidR="00A60E71">
        <w:rPr>
          <w:color w:val="auto"/>
        </w:rPr>
        <w:t>€</w:t>
      </w:r>
      <w:r w:rsidR="00961013">
        <w:rPr>
          <w:color w:val="auto"/>
        </w:rPr>
        <w:t xml:space="preserve"> </w:t>
      </w:r>
      <w:r w:rsidRPr="007512AA">
        <w:rPr>
          <w:color w:val="auto"/>
        </w:rPr>
        <w:t>(za zdroj ERDF) a 321 zmlúv o poskytnutí finančného príspevku z ERDF v celkovej výške 100,56 mil.</w:t>
      </w:r>
      <w:r>
        <w:rPr>
          <w:color w:val="auto"/>
        </w:rPr>
        <w:t xml:space="preserve"> </w:t>
      </w:r>
      <w:r w:rsidR="00CA4D0B">
        <w:rPr>
          <w:color w:val="auto"/>
        </w:rPr>
        <w:t>€.</w:t>
      </w:r>
      <w:r w:rsidR="00961013">
        <w:rPr>
          <w:color w:val="auto"/>
        </w:rPr>
        <w:t xml:space="preserve"> </w:t>
      </w:r>
      <w:r w:rsidRPr="007512AA">
        <w:rPr>
          <w:color w:val="auto"/>
        </w:rPr>
        <w:t>K uvedenému obdobiu bolo prijímateľom vyplatených z ERDF zdroja 79,15</w:t>
      </w:r>
      <w:r>
        <w:rPr>
          <w:color w:val="auto"/>
        </w:rPr>
        <w:t xml:space="preserve"> mil. </w:t>
      </w:r>
      <w:r w:rsidR="00A60E71">
        <w:rPr>
          <w:color w:val="auto"/>
        </w:rPr>
        <w:t>€</w:t>
      </w:r>
      <w:r w:rsidR="00961013">
        <w:rPr>
          <w:color w:val="auto"/>
        </w:rPr>
        <w:t xml:space="preserve"> </w:t>
      </w:r>
      <w:r w:rsidRPr="007512AA">
        <w:rPr>
          <w:color w:val="auto"/>
        </w:rPr>
        <w:t xml:space="preserve">(suma znížená  o nezrovnalosti), čo tvorí 85,35 % zo záväzku pre program.  </w:t>
      </w:r>
    </w:p>
    <w:p w:rsidR="008149EC" w:rsidRDefault="008149EC" w:rsidP="00021B18">
      <w:pPr>
        <w:spacing w:after="40" w:line="320" w:lineRule="exact"/>
        <w:ind w:left="-15" w:right="0"/>
      </w:pPr>
      <w:r>
        <w:t xml:space="preserve">Na </w:t>
      </w:r>
      <w:r w:rsidRPr="00B97004">
        <w:rPr>
          <w:b/>
        </w:rPr>
        <w:t>Program cezhraničnej spolupráce Maďarská</w:t>
      </w:r>
      <w:r>
        <w:rPr>
          <w:b/>
        </w:rPr>
        <w:t xml:space="preserve"> republika – Slovenská republika</w:t>
      </w:r>
      <w:r>
        <w:t xml:space="preserve"> </w:t>
      </w:r>
      <w:r w:rsidRPr="00B97004">
        <w:rPr>
          <w:b/>
        </w:rPr>
        <w:t>2007-2013</w:t>
      </w:r>
      <w:r>
        <w:t xml:space="preserve"> bolo alokovaných 176 496 479 </w:t>
      </w:r>
      <w:r w:rsidR="00A60E71">
        <w:t>€</w:t>
      </w:r>
      <w:r w:rsidR="00961013">
        <w:t xml:space="preserve"> </w:t>
      </w:r>
      <w:r>
        <w:t xml:space="preserve">z prostriedkov ERDF. </w:t>
      </w:r>
      <w:r w:rsidRPr="004A0F74">
        <w:rPr>
          <w:color w:val="auto"/>
        </w:rPr>
        <w:t xml:space="preserve">K 31.12.2015 bolo vyčerpaných takmer 166,24 mil. </w:t>
      </w:r>
      <w:r w:rsidR="00961013">
        <w:rPr>
          <w:color w:val="auto"/>
        </w:rPr>
        <w:t>€</w:t>
      </w:r>
      <w:r w:rsidRPr="004A0F74">
        <w:rPr>
          <w:color w:val="auto"/>
        </w:rPr>
        <w:t>, čo predstavuje 94,18 % z celkovej alokácie programu.</w:t>
      </w:r>
      <w:r w:rsidR="00A60E71">
        <w:rPr>
          <w:color w:val="auto"/>
        </w:rPr>
        <w:t xml:space="preserve"> </w:t>
      </w:r>
      <w:r>
        <w:t>V</w:t>
      </w:r>
      <w:r w:rsidR="00A60E71">
        <w:t> </w:t>
      </w:r>
      <w:r>
        <w:t xml:space="preserve">rámci programu bolo schválených 358 žiadostí o poskytnutie finančného príspevku. </w:t>
      </w:r>
    </w:p>
    <w:p w:rsidR="008149EC" w:rsidRPr="004A0F74" w:rsidRDefault="008149EC" w:rsidP="00021B18">
      <w:pPr>
        <w:spacing w:after="40" w:line="320" w:lineRule="exact"/>
        <w:ind w:left="-15" w:right="0"/>
        <w:rPr>
          <w:color w:val="auto"/>
        </w:rPr>
      </w:pPr>
      <w:r>
        <w:t xml:space="preserve">Schválená alokácia ERDF pre </w:t>
      </w:r>
      <w:r w:rsidRPr="00B97004">
        <w:rPr>
          <w:b/>
        </w:rPr>
        <w:t>Program cezhraničnej spolupráce</w:t>
      </w:r>
      <w:r>
        <w:t xml:space="preserve"> </w:t>
      </w:r>
      <w:r>
        <w:rPr>
          <w:b/>
        </w:rPr>
        <w:t>Poľsko – Slovenská republika 2007-2013</w:t>
      </w:r>
      <w:r>
        <w:t xml:space="preserve"> predstavuje 159 535 701 </w:t>
      </w:r>
      <w:r w:rsidR="00CA4D0B">
        <w:t>€.</w:t>
      </w:r>
      <w:r>
        <w:t xml:space="preserve">V rámci programu boli vyhlásené 2 výzvy na predkladanie žiadostí o poskytnutie FP. K 31. decembru 2015 bolo schválených 131 projektov v hodnote viac ako 191 mil. </w:t>
      </w:r>
      <w:r w:rsidR="00A60E71">
        <w:t>€</w:t>
      </w:r>
      <w:r w:rsidR="00961013">
        <w:t xml:space="preserve"> </w:t>
      </w:r>
      <w:r>
        <w:t xml:space="preserve">z ERDF. </w:t>
      </w:r>
      <w:r w:rsidRPr="004A0F74">
        <w:rPr>
          <w:color w:val="auto"/>
        </w:rPr>
        <w:t xml:space="preserve">K uvedenému dátumu dosiahlo čerpanie </w:t>
      </w:r>
      <w:r w:rsidRPr="004A0F74">
        <w:rPr>
          <w:color w:val="auto"/>
        </w:rPr>
        <w:lastRenderedPageBreak/>
        <w:t xml:space="preserve">prostriedkov ERDF za program sumu 143,19 mil. </w:t>
      </w:r>
      <w:r>
        <w:rPr>
          <w:color w:val="auto"/>
        </w:rPr>
        <w:t>Eur</w:t>
      </w:r>
      <w:r w:rsidRPr="004A0F74">
        <w:rPr>
          <w:color w:val="auto"/>
        </w:rPr>
        <w:t>, čo predstavuje 89,76</w:t>
      </w:r>
      <w:r w:rsidR="00961013">
        <w:rPr>
          <w:color w:val="auto"/>
        </w:rPr>
        <w:t xml:space="preserve"> </w:t>
      </w:r>
      <w:r w:rsidRPr="004A0F74">
        <w:rPr>
          <w:color w:val="auto"/>
        </w:rPr>
        <w:t>% alokácie na program.</w:t>
      </w:r>
    </w:p>
    <w:p w:rsidR="008149EC" w:rsidRPr="00B5329F" w:rsidRDefault="008149EC" w:rsidP="00021B18">
      <w:pPr>
        <w:spacing w:after="40" w:line="320" w:lineRule="exact"/>
        <w:ind w:left="-15" w:right="0"/>
        <w:rPr>
          <w:color w:val="auto"/>
        </w:rPr>
      </w:pPr>
      <w:r>
        <w:t xml:space="preserve">V rámci </w:t>
      </w:r>
      <w:r w:rsidRPr="007964F9">
        <w:rPr>
          <w:b/>
        </w:rPr>
        <w:t>Programu cezhraničnej spolupráce</w:t>
      </w:r>
      <w:r>
        <w:t xml:space="preserve"> </w:t>
      </w:r>
      <w:r>
        <w:rPr>
          <w:b/>
        </w:rPr>
        <w:t>Slovenská republika - Rakúsko 2007-</w:t>
      </w:r>
      <w:r w:rsidR="00A60E71">
        <w:rPr>
          <w:b/>
        </w:rPr>
        <w:t> </w:t>
      </w:r>
      <w:r>
        <w:rPr>
          <w:b/>
        </w:rPr>
        <w:t>2013</w:t>
      </w:r>
      <w:r>
        <w:t xml:space="preserve"> s alokáciou 59 906 355 </w:t>
      </w:r>
      <w:r w:rsidR="00A60E71">
        <w:t>€</w:t>
      </w:r>
      <w:r w:rsidR="00961013">
        <w:t xml:space="preserve"> </w:t>
      </w:r>
      <w:r>
        <w:t>z prostriedkov ERDF bolo vyhlásených 12 kôl priebežnej výzvy na predkladanie žiadostí o poskytnutie finančného príspevku. K 31.12.2015 program eviduje 96 zmlúv o poskytnutí finančného príspevku z ERDF v celkovej výške takmer 57,47</w:t>
      </w:r>
      <w:r w:rsidR="00A60E71">
        <w:t> </w:t>
      </w:r>
      <w:r>
        <w:t xml:space="preserve">mil. </w:t>
      </w:r>
      <w:r w:rsidR="00A60E71">
        <w:t>€</w:t>
      </w:r>
      <w:r w:rsidR="00961013">
        <w:t xml:space="preserve"> </w:t>
      </w:r>
      <w:r>
        <w:t>(za zdroj ERDF).</w:t>
      </w:r>
      <w:r w:rsidR="00A60E71">
        <w:t xml:space="preserve"> </w:t>
      </w:r>
      <w:r w:rsidRPr="00B5329F">
        <w:rPr>
          <w:color w:val="auto"/>
        </w:rPr>
        <w:t>K uvedenému obdobiu bolo prijímateľom vyplatených 43,60</w:t>
      </w:r>
      <w:r w:rsidR="00CA4D0B">
        <w:rPr>
          <w:color w:val="auto"/>
        </w:rPr>
        <w:t> </w:t>
      </w:r>
      <w:r w:rsidRPr="00B5329F">
        <w:rPr>
          <w:color w:val="auto"/>
        </w:rPr>
        <w:t>mi</w:t>
      </w:r>
      <w:r>
        <w:rPr>
          <w:color w:val="auto"/>
        </w:rPr>
        <w:t xml:space="preserve">l. </w:t>
      </w:r>
      <w:r w:rsidR="00A60E71">
        <w:rPr>
          <w:color w:val="auto"/>
        </w:rPr>
        <w:t>€</w:t>
      </w:r>
      <w:r w:rsidR="00961013">
        <w:rPr>
          <w:color w:val="auto"/>
        </w:rPr>
        <w:t xml:space="preserve"> </w:t>
      </w:r>
      <w:r w:rsidRPr="00B5329F">
        <w:rPr>
          <w:color w:val="auto"/>
        </w:rPr>
        <w:t>(za zdroj ERDF), čo tvorí 72,78 % zo záväzku pre program.</w:t>
      </w:r>
    </w:p>
    <w:p w:rsidR="008149EC" w:rsidRPr="00A40353" w:rsidRDefault="008149EC" w:rsidP="00021B18">
      <w:pPr>
        <w:spacing w:after="40" w:line="320" w:lineRule="exact"/>
        <w:ind w:left="-15" w:right="0"/>
        <w:rPr>
          <w:color w:val="auto"/>
        </w:rPr>
      </w:pPr>
      <w:r w:rsidRPr="00A40353">
        <w:rPr>
          <w:color w:val="auto"/>
        </w:rPr>
        <w:t xml:space="preserve">Schválená alokácia pre </w:t>
      </w:r>
      <w:r w:rsidRPr="00A40353">
        <w:rPr>
          <w:b/>
          <w:color w:val="auto"/>
        </w:rPr>
        <w:t>Program cezhraničnej spolupráce ENPI Maďarsko - Slovensko - Rumunsko - Ukrajina 2007-2013</w:t>
      </w:r>
      <w:r w:rsidRPr="00A40353">
        <w:rPr>
          <w:color w:val="auto"/>
        </w:rPr>
        <w:t xml:space="preserve"> predstavuje </w:t>
      </w:r>
      <w:r>
        <w:rPr>
          <w:color w:val="auto"/>
        </w:rPr>
        <w:t xml:space="preserve">68,63 mil. </w:t>
      </w:r>
      <w:r w:rsidR="00CA4D0B">
        <w:rPr>
          <w:color w:val="auto"/>
        </w:rPr>
        <w:t>€.</w:t>
      </w:r>
      <w:r w:rsidR="00961013">
        <w:rPr>
          <w:color w:val="auto"/>
        </w:rPr>
        <w:t xml:space="preserve"> </w:t>
      </w:r>
      <w:r w:rsidRPr="00A40353">
        <w:rPr>
          <w:color w:val="auto"/>
        </w:rPr>
        <w:t>K 31.12.2015 bolo prijímateľom vyplatených 58,09</w:t>
      </w:r>
      <w:r>
        <w:rPr>
          <w:color w:val="auto"/>
        </w:rPr>
        <w:t xml:space="preserve"> mil. </w:t>
      </w:r>
      <w:r w:rsidR="00961013">
        <w:rPr>
          <w:color w:val="auto"/>
        </w:rPr>
        <w:t>€</w:t>
      </w:r>
      <w:r>
        <w:rPr>
          <w:color w:val="auto"/>
        </w:rPr>
        <w:t>,</w:t>
      </w:r>
      <w:r w:rsidRPr="00A40353">
        <w:rPr>
          <w:color w:val="auto"/>
        </w:rPr>
        <w:t xml:space="preserve"> čo predstavuje približne 84,64 % alokácie na program. K 31.12.2015 bolo </w:t>
      </w:r>
      <w:r>
        <w:rPr>
          <w:color w:val="auto"/>
        </w:rPr>
        <w:t xml:space="preserve">v rámci troch výziev </w:t>
      </w:r>
      <w:r w:rsidRPr="00A40353">
        <w:rPr>
          <w:color w:val="auto"/>
        </w:rPr>
        <w:t>uzatvorených 138 zmlúv.</w:t>
      </w:r>
    </w:p>
    <w:p w:rsidR="00354C80" w:rsidRDefault="00354C80" w:rsidP="00021B18">
      <w:pPr>
        <w:spacing w:after="40" w:line="320" w:lineRule="exact"/>
        <w:ind w:firstLine="0"/>
        <w:rPr>
          <w:b/>
          <w:sz w:val="28"/>
          <w:szCs w:val="28"/>
        </w:rPr>
      </w:pPr>
    </w:p>
    <w:p w:rsidR="008149EC" w:rsidRPr="00021B18" w:rsidRDefault="008149EC" w:rsidP="00021B18">
      <w:pPr>
        <w:spacing w:after="40" w:line="320" w:lineRule="exact"/>
        <w:ind w:firstLine="0"/>
        <w:rPr>
          <w:b/>
          <w:szCs w:val="28"/>
        </w:rPr>
      </w:pPr>
      <w:r w:rsidRPr="00021B18">
        <w:rPr>
          <w:b/>
          <w:szCs w:val="28"/>
        </w:rPr>
        <w:t>Programy cezhraničnej spolupráce – programy INTERREG 2014-2020</w:t>
      </w:r>
    </w:p>
    <w:p w:rsidR="008149EC" w:rsidRDefault="008149EC" w:rsidP="00021B18">
      <w:pPr>
        <w:spacing w:after="40" w:line="320" w:lineRule="exact"/>
        <w:ind w:firstLine="0"/>
      </w:pPr>
      <w:r>
        <w:t>INTERREG je spoločný názov pre všetky programy spolupráce v novom programovom</w:t>
      </w:r>
      <w:r w:rsidRPr="00FE1771">
        <w:t xml:space="preserve"> obdob</w:t>
      </w:r>
      <w:r>
        <w:t>í</w:t>
      </w:r>
      <w:r w:rsidRPr="00FE1771">
        <w:t xml:space="preserve"> 2014-2020</w:t>
      </w:r>
      <w:r>
        <w:t>, a to:</w:t>
      </w:r>
    </w:p>
    <w:p w:rsidR="008149EC" w:rsidRPr="00DE7FAF" w:rsidRDefault="008149EC" w:rsidP="00021B18">
      <w:pPr>
        <w:spacing w:after="40" w:line="320" w:lineRule="exact"/>
        <w:ind w:firstLine="0"/>
        <w:rPr>
          <w:b/>
        </w:rPr>
      </w:pPr>
      <w:r w:rsidRPr="00DE7FAF">
        <w:rPr>
          <w:b/>
        </w:rPr>
        <w:t>Interreg V-A Slovenská republika - Česká republika</w:t>
      </w:r>
    </w:p>
    <w:p w:rsidR="008149EC" w:rsidRDefault="008149EC" w:rsidP="00021B18">
      <w:pPr>
        <w:spacing w:after="40" w:line="320" w:lineRule="exact"/>
        <w:ind w:firstLine="708"/>
      </w:pPr>
      <w:r w:rsidRPr="00DE7FAF">
        <w:t xml:space="preserve">Program bol schválený </w:t>
      </w:r>
      <w:r>
        <w:t xml:space="preserve">rozhodnutím </w:t>
      </w:r>
      <w:r w:rsidRPr="00DE7FAF">
        <w:t>EK</w:t>
      </w:r>
      <w:r>
        <w:t xml:space="preserve"> C(2015) 4080 zo</w:t>
      </w:r>
      <w:r w:rsidRPr="00DE7FAF">
        <w:t xml:space="preserve"> dňa 11. júna 2015</w:t>
      </w:r>
      <w:r>
        <w:t xml:space="preserve"> s celkovou alokáciou na program 106 046 429 </w:t>
      </w:r>
      <w:r w:rsidR="00CA4D0B">
        <w:t>€</w:t>
      </w:r>
      <w:r>
        <w:t xml:space="preserve">, </w:t>
      </w:r>
      <w:r w:rsidRPr="00DE7FAF">
        <w:t>z čoho 85 % tvoria zdroje z ER</w:t>
      </w:r>
      <w:r>
        <w:t>DF</w:t>
      </w:r>
      <w:r w:rsidRPr="00DE7FAF">
        <w:t xml:space="preserve"> vo výške</w:t>
      </w:r>
      <w:r>
        <w:t xml:space="preserve"> 90 139 463 </w:t>
      </w:r>
      <w:r w:rsidR="00CA4D0B">
        <w:t>€</w:t>
      </w:r>
      <w:r>
        <w:t>.</w:t>
      </w:r>
      <w:r w:rsidR="008F0C5F">
        <w:t xml:space="preserve"> </w:t>
      </w:r>
      <w:r>
        <w:t>MPRV SR v tomto programe plní úlohu Riadiaceho orgánu.</w:t>
      </w:r>
    </w:p>
    <w:p w:rsidR="008149EC" w:rsidRDefault="008149EC" w:rsidP="00021B18">
      <w:pPr>
        <w:spacing w:after="40" w:line="320" w:lineRule="exact"/>
        <w:ind w:firstLine="708"/>
      </w:pPr>
      <w:r w:rsidRPr="00DE7FAF">
        <w:t>Oprávneným územím, v ktorom bude možné realizovať aktivity sú naďalej oblasti pohraničia na úrovni NUTS III, rozprestierajúce sa na území Slovenskej a Českej republiky.</w:t>
      </w:r>
      <w:r w:rsidR="00CA4D0B">
        <w:t> </w:t>
      </w:r>
      <w:r w:rsidRPr="00DE7FAF">
        <w:t>V Slovenskej republike ide o územie Trnavského, Trenčianskeho a Žilinského kraja a v Českej republike o územia Juhomoravského, Zlínskeho a Moravskosliezkeho kraja.</w:t>
      </w:r>
    </w:p>
    <w:p w:rsidR="008149EC" w:rsidRPr="00DE7FAF" w:rsidRDefault="008149EC" w:rsidP="00021B18">
      <w:pPr>
        <w:spacing w:after="40" w:line="320" w:lineRule="exact"/>
        <w:ind w:firstLine="360"/>
      </w:pPr>
      <w:r w:rsidRPr="00DE7FAF">
        <w:t>Cieľom programu je prostredníctvom spoločných cezhraničných projektov riešiť spoločné výzvy prihraničných regiónov. Program je zameraný na nasledujúce oblasti:</w:t>
      </w:r>
    </w:p>
    <w:p w:rsidR="008149EC" w:rsidRPr="008F0C5F" w:rsidRDefault="008149EC" w:rsidP="00021B18">
      <w:pPr>
        <w:pStyle w:val="Odsekzoznamu"/>
        <w:numPr>
          <w:ilvl w:val="0"/>
          <w:numId w:val="27"/>
        </w:numPr>
        <w:spacing w:after="40" w:line="320" w:lineRule="exact"/>
        <w:ind w:right="4"/>
        <w:jc w:val="both"/>
        <w:rPr>
          <w:rFonts w:ascii="Times New Roman" w:hAnsi="Times New Roman" w:cs="Times New Roman"/>
          <w:sz w:val="24"/>
          <w:szCs w:val="24"/>
        </w:rPr>
      </w:pPr>
      <w:r w:rsidRPr="008F0C5F">
        <w:rPr>
          <w:rFonts w:ascii="Times New Roman" w:hAnsi="Times New Roman" w:cs="Times New Roman"/>
          <w:sz w:val="24"/>
          <w:szCs w:val="24"/>
        </w:rPr>
        <w:t>podpora investovania podnikov do výskumu a inovácií a vytváranie prepojenia a</w:t>
      </w:r>
      <w:r w:rsidR="00CA4D0B">
        <w:t> </w:t>
      </w:r>
      <w:r w:rsidRPr="008F0C5F">
        <w:rPr>
          <w:rFonts w:ascii="Times New Roman" w:hAnsi="Times New Roman" w:cs="Times New Roman"/>
          <w:sz w:val="24"/>
          <w:szCs w:val="24"/>
        </w:rPr>
        <w:t>synergií medzi podnikmi, centrami výskumu a vývoja a vysokoškolským vzdelávacím prostredím;</w:t>
      </w:r>
    </w:p>
    <w:p w:rsidR="008149EC" w:rsidRPr="008F0C5F" w:rsidRDefault="008149EC" w:rsidP="00021B18">
      <w:pPr>
        <w:pStyle w:val="Odsekzoznamu"/>
        <w:numPr>
          <w:ilvl w:val="0"/>
          <w:numId w:val="27"/>
        </w:numPr>
        <w:spacing w:after="40" w:line="320" w:lineRule="exact"/>
        <w:ind w:right="4"/>
        <w:jc w:val="both"/>
        <w:rPr>
          <w:rFonts w:ascii="Times New Roman" w:hAnsi="Times New Roman" w:cs="Times New Roman"/>
          <w:sz w:val="24"/>
          <w:szCs w:val="24"/>
        </w:rPr>
      </w:pPr>
      <w:r w:rsidRPr="008F0C5F">
        <w:rPr>
          <w:rFonts w:ascii="Times New Roman" w:hAnsi="Times New Roman" w:cs="Times New Roman"/>
          <w:sz w:val="24"/>
          <w:szCs w:val="24"/>
        </w:rPr>
        <w:t>investície do vzdelávania, odbornej prípravy a školení za účelom získavania zručností a celoživotného vzdelávania, a to vypracovaním a naplňovaním spoločných programov vzdelávania, odbornej prípravy a školení;</w:t>
      </w:r>
    </w:p>
    <w:p w:rsidR="008149EC" w:rsidRPr="008F0C5F" w:rsidRDefault="008149EC" w:rsidP="00021B18">
      <w:pPr>
        <w:pStyle w:val="Odsekzoznamu"/>
        <w:numPr>
          <w:ilvl w:val="0"/>
          <w:numId w:val="27"/>
        </w:numPr>
        <w:spacing w:after="40" w:line="320" w:lineRule="exact"/>
        <w:ind w:right="4"/>
        <w:jc w:val="both"/>
        <w:rPr>
          <w:rFonts w:ascii="Times New Roman" w:hAnsi="Times New Roman" w:cs="Times New Roman"/>
          <w:sz w:val="24"/>
          <w:szCs w:val="24"/>
        </w:rPr>
      </w:pPr>
      <w:r w:rsidRPr="008F0C5F">
        <w:rPr>
          <w:rFonts w:ascii="Times New Roman" w:hAnsi="Times New Roman" w:cs="Times New Roman"/>
          <w:sz w:val="24"/>
          <w:szCs w:val="24"/>
        </w:rPr>
        <w:t>zachovanie, ochrana, propagácia a rozvoj prírodného a kultúrneho dedičstva; ochrana a obnova biologickej rozmanitosti, ochrana a obnova pôdy a podpora ekosystémových služieb, vrátane siete NATURA 2000 a ekologickej infraštruktúry;</w:t>
      </w:r>
    </w:p>
    <w:p w:rsidR="008149EC" w:rsidRPr="008F0C5F" w:rsidRDefault="008149EC" w:rsidP="00021B18">
      <w:pPr>
        <w:pStyle w:val="Odsekzoznamu"/>
        <w:numPr>
          <w:ilvl w:val="0"/>
          <w:numId w:val="27"/>
        </w:numPr>
        <w:spacing w:after="40" w:line="320" w:lineRule="exact"/>
        <w:ind w:right="4"/>
        <w:jc w:val="both"/>
        <w:rPr>
          <w:rFonts w:ascii="Times New Roman" w:hAnsi="Times New Roman" w:cs="Times New Roman"/>
          <w:sz w:val="24"/>
          <w:szCs w:val="24"/>
        </w:rPr>
      </w:pPr>
      <w:r w:rsidRPr="008F0C5F">
        <w:rPr>
          <w:rFonts w:ascii="Times New Roman" w:hAnsi="Times New Roman" w:cs="Times New Roman"/>
          <w:sz w:val="24"/>
          <w:szCs w:val="24"/>
        </w:rPr>
        <w:t>podpora právnej a správnej spolupráce a spolupráce medzi občanmi a inštitúciami.</w:t>
      </w:r>
    </w:p>
    <w:p w:rsidR="008149EC" w:rsidRPr="00DE7FAF" w:rsidRDefault="008149EC" w:rsidP="00021B18">
      <w:pPr>
        <w:spacing w:after="40" w:line="320" w:lineRule="exact"/>
        <w:ind w:firstLine="0"/>
        <w:rPr>
          <w:b/>
        </w:rPr>
      </w:pPr>
      <w:r w:rsidRPr="00DE7FAF">
        <w:rPr>
          <w:b/>
        </w:rPr>
        <w:t>Interreg V-A Slovenská Republika - Rakúsko</w:t>
      </w:r>
    </w:p>
    <w:p w:rsidR="008149EC" w:rsidRDefault="008149EC" w:rsidP="00021B18">
      <w:pPr>
        <w:spacing w:after="40" w:line="320" w:lineRule="exact"/>
        <w:ind w:firstLine="708"/>
      </w:pPr>
      <w:r w:rsidRPr="00DE7FAF">
        <w:t xml:space="preserve">Program bol schválený </w:t>
      </w:r>
      <w:r>
        <w:t xml:space="preserve">rozhodnutím </w:t>
      </w:r>
      <w:r w:rsidRPr="00DE7FAF">
        <w:t xml:space="preserve">EK </w:t>
      </w:r>
      <w:r>
        <w:t xml:space="preserve">C(2015) 5357 </w:t>
      </w:r>
      <w:r w:rsidRPr="00DE7FAF">
        <w:t>dňa 28. júla 2015</w:t>
      </w:r>
      <w:r>
        <w:t xml:space="preserve"> s celkovou alokáciou na program 89 285 509 </w:t>
      </w:r>
      <w:r w:rsidR="00961013">
        <w:t>€</w:t>
      </w:r>
      <w:r>
        <w:t xml:space="preserve">, </w:t>
      </w:r>
      <w:r w:rsidRPr="00DE7FAF">
        <w:t>z čoho 85 % tvoria zdroje z E</w:t>
      </w:r>
      <w:r>
        <w:t>RD</w:t>
      </w:r>
      <w:r w:rsidRPr="00DE7FAF">
        <w:t>F vo výške</w:t>
      </w:r>
      <w:r>
        <w:t xml:space="preserve"> 75 892 681 </w:t>
      </w:r>
      <w:r w:rsidR="00CA4D0B">
        <w:t>€.</w:t>
      </w:r>
      <w:r w:rsidR="00961013">
        <w:t xml:space="preserve"> </w:t>
      </w:r>
      <w:r>
        <w:t>MPRV SR v tomto programe plní úlohu Riadiaceho orgánu.</w:t>
      </w:r>
    </w:p>
    <w:p w:rsidR="008149EC" w:rsidRDefault="008149EC" w:rsidP="00021B18">
      <w:pPr>
        <w:spacing w:after="40" w:line="320" w:lineRule="exact"/>
        <w:ind w:firstLine="708"/>
      </w:pPr>
      <w:r w:rsidRPr="004142CC">
        <w:lastRenderedPageBreak/>
        <w:t>Programová oblasť zostáva nezmenená a bude zahŕňať nasledovné regióny: na slovenskej strane Bratislavský a Trnavský kraj, na rakúskej strane</w:t>
      </w:r>
      <w:r>
        <w:t xml:space="preserve"> Spolkové republiky Rakúska: Burgenland</w:t>
      </w:r>
      <w:r w:rsidRPr="004142CC">
        <w:t>, Viedeň a Dolné Rakúsko.</w:t>
      </w:r>
    </w:p>
    <w:p w:rsidR="008149EC" w:rsidRDefault="008149EC" w:rsidP="00021B18">
      <w:pPr>
        <w:spacing w:after="40" w:line="320" w:lineRule="exact"/>
        <w:ind w:firstLine="0"/>
      </w:pPr>
      <w:r>
        <w:t>Program je zameraný na nasledovné oblasti:</w:t>
      </w:r>
    </w:p>
    <w:p w:rsidR="008149EC" w:rsidRPr="008F0C5F" w:rsidRDefault="008149EC" w:rsidP="00021B18">
      <w:pPr>
        <w:pStyle w:val="Odsekzoznamu"/>
        <w:numPr>
          <w:ilvl w:val="0"/>
          <w:numId w:val="27"/>
        </w:numPr>
        <w:spacing w:after="40" w:line="320" w:lineRule="exact"/>
        <w:ind w:right="4"/>
        <w:jc w:val="both"/>
        <w:rPr>
          <w:rFonts w:ascii="Times New Roman" w:hAnsi="Times New Roman" w:cs="Times New Roman"/>
          <w:sz w:val="24"/>
          <w:szCs w:val="24"/>
        </w:rPr>
      </w:pPr>
      <w:r w:rsidRPr="008F0C5F">
        <w:rPr>
          <w:rFonts w:ascii="Times New Roman" w:hAnsi="Times New Roman" w:cs="Times New Roman"/>
          <w:sz w:val="24"/>
          <w:szCs w:val="24"/>
        </w:rPr>
        <w:t>prispieť k budovaniu znalostného cezhraničného regiónu;</w:t>
      </w:r>
    </w:p>
    <w:p w:rsidR="008149EC" w:rsidRPr="008F0C5F" w:rsidRDefault="008149EC" w:rsidP="00021B18">
      <w:pPr>
        <w:pStyle w:val="Odsekzoznamu"/>
        <w:numPr>
          <w:ilvl w:val="0"/>
          <w:numId w:val="27"/>
        </w:numPr>
        <w:spacing w:after="40" w:line="320" w:lineRule="exact"/>
        <w:ind w:right="4"/>
        <w:jc w:val="both"/>
        <w:rPr>
          <w:rFonts w:ascii="Times New Roman" w:hAnsi="Times New Roman" w:cs="Times New Roman"/>
          <w:sz w:val="24"/>
          <w:szCs w:val="24"/>
        </w:rPr>
      </w:pPr>
      <w:r w:rsidRPr="008F0C5F">
        <w:rPr>
          <w:rFonts w:ascii="Times New Roman" w:hAnsi="Times New Roman" w:cs="Times New Roman"/>
          <w:sz w:val="24"/>
          <w:szCs w:val="24"/>
        </w:rPr>
        <w:t>podpora prírodného a kultúrneho dedičstva a biodiverzity;</w:t>
      </w:r>
    </w:p>
    <w:p w:rsidR="008149EC" w:rsidRPr="008F0C5F" w:rsidRDefault="008149EC" w:rsidP="00021B18">
      <w:pPr>
        <w:pStyle w:val="Odsekzoznamu"/>
        <w:numPr>
          <w:ilvl w:val="0"/>
          <w:numId w:val="27"/>
        </w:numPr>
        <w:spacing w:after="40" w:line="320" w:lineRule="exact"/>
        <w:ind w:right="4"/>
        <w:jc w:val="both"/>
        <w:rPr>
          <w:rFonts w:ascii="Times New Roman" w:hAnsi="Times New Roman" w:cs="Times New Roman"/>
          <w:sz w:val="24"/>
          <w:szCs w:val="24"/>
        </w:rPr>
      </w:pPr>
      <w:r w:rsidRPr="008F0C5F">
        <w:rPr>
          <w:rFonts w:ascii="Times New Roman" w:hAnsi="Times New Roman" w:cs="Times New Roman"/>
          <w:sz w:val="24"/>
          <w:szCs w:val="24"/>
        </w:rPr>
        <w:t>podpora trvalo udržateľných riešení v doprave;</w:t>
      </w:r>
    </w:p>
    <w:p w:rsidR="008149EC" w:rsidRPr="008F0C5F" w:rsidRDefault="008149EC" w:rsidP="00021B18">
      <w:pPr>
        <w:pStyle w:val="Odsekzoznamu"/>
        <w:numPr>
          <w:ilvl w:val="0"/>
          <w:numId w:val="27"/>
        </w:numPr>
        <w:spacing w:after="40" w:line="320" w:lineRule="exact"/>
        <w:ind w:right="4"/>
        <w:jc w:val="both"/>
        <w:rPr>
          <w:rFonts w:ascii="Times New Roman" w:hAnsi="Times New Roman" w:cs="Times New Roman"/>
          <w:sz w:val="24"/>
          <w:szCs w:val="24"/>
        </w:rPr>
      </w:pPr>
      <w:r w:rsidRPr="008F0C5F">
        <w:rPr>
          <w:rFonts w:ascii="Times New Roman" w:hAnsi="Times New Roman" w:cs="Times New Roman"/>
          <w:sz w:val="24"/>
          <w:szCs w:val="24"/>
        </w:rPr>
        <w:t>posilnenie správy cezhraničnej a inštitucionálnej spolupráce.</w:t>
      </w:r>
    </w:p>
    <w:p w:rsidR="008149EC" w:rsidRPr="004142CC" w:rsidRDefault="008149EC" w:rsidP="00021B18">
      <w:pPr>
        <w:spacing w:after="40" w:line="320" w:lineRule="exact"/>
        <w:ind w:firstLine="0"/>
        <w:rPr>
          <w:b/>
        </w:rPr>
      </w:pPr>
      <w:r w:rsidRPr="004142CC">
        <w:rPr>
          <w:b/>
        </w:rPr>
        <w:t xml:space="preserve">Interreg V-A Slovenská republika – Maďarsko </w:t>
      </w:r>
    </w:p>
    <w:p w:rsidR="008149EC" w:rsidRDefault="008149EC" w:rsidP="00021B18">
      <w:pPr>
        <w:spacing w:after="40" w:line="320" w:lineRule="exact"/>
        <w:ind w:firstLine="708"/>
      </w:pPr>
      <w:r w:rsidRPr="004142CC">
        <w:t>Program bol schválený EK dňa 30. septembra 2015</w:t>
      </w:r>
      <w:r>
        <w:t xml:space="preserve"> s celkovou alokáciou na program 183 304 694 </w:t>
      </w:r>
      <w:r w:rsidR="00CA4D0B">
        <w:t>€</w:t>
      </w:r>
      <w:r>
        <w:t>, z čoho 85</w:t>
      </w:r>
      <w:r w:rsidR="00961013">
        <w:t xml:space="preserve"> </w:t>
      </w:r>
      <w:r>
        <w:t xml:space="preserve">% tvoria zdroje z ERDF vo výške 155 808 987 </w:t>
      </w:r>
      <w:r w:rsidR="00CA4D0B">
        <w:t>€</w:t>
      </w:r>
      <w:r>
        <w:t>.</w:t>
      </w:r>
      <w:r w:rsidR="008F0C5F">
        <w:t xml:space="preserve"> </w:t>
      </w:r>
      <w:r>
        <w:t>MPRV SR v tomto programe plní úlohu Riadiaceho orgánu.</w:t>
      </w:r>
    </w:p>
    <w:p w:rsidR="008149EC" w:rsidRDefault="008149EC" w:rsidP="00021B18">
      <w:pPr>
        <w:spacing w:after="40" w:line="320" w:lineRule="exact"/>
        <w:ind w:firstLine="708"/>
      </w:pPr>
      <w:r w:rsidRPr="008D2180">
        <w:t>Oprávneným územím, v ktorom bude možné realizovať aktivity sú oblasti pohraničia na úrovni NUTS III, rozprestier</w:t>
      </w:r>
      <w:r>
        <w:t>ajúce sa na území Slovenskej a Maďar</w:t>
      </w:r>
      <w:r w:rsidRPr="008D2180">
        <w:t>skej republiky.</w:t>
      </w:r>
    </w:p>
    <w:p w:rsidR="008149EC" w:rsidRDefault="008149EC" w:rsidP="00021B18">
      <w:pPr>
        <w:spacing w:after="40" w:line="320" w:lineRule="exact"/>
        <w:ind w:firstLine="0"/>
      </w:pPr>
      <w:r>
        <w:t>V programe sú zahrnuté nasledovné tematické ciele:</w:t>
      </w:r>
    </w:p>
    <w:p w:rsidR="008149EC" w:rsidRPr="008F0C5F" w:rsidRDefault="008149EC" w:rsidP="00021B18">
      <w:pPr>
        <w:pStyle w:val="Odsekzoznamu"/>
        <w:numPr>
          <w:ilvl w:val="0"/>
          <w:numId w:val="27"/>
        </w:numPr>
        <w:spacing w:after="40" w:line="320" w:lineRule="exact"/>
        <w:ind w:right="4"/>
        <w:jc w:val="both"/>
        <w:rPr>
          <w:rFonts w:ascii="Times New Roman" w:hAnsi="Times New Roman" w:cs="Times New Roman"/>
          <w:sz w:val="24"/>
          <w:szCs w:val="24"/>
        </w:rPr>
      </w:pPr>
      <w:r w:rsidRPr="008F0C5F">
        <w:rPr>
          <w:rFonts w:ascii="Times New Roman" w:hAnsi="Times New Roman" w:cs="Times New Roman"/>
          <w:sz w:val="24"/>
          <w:szCs w:val="24"/>
        </w:rPr>
        <w:t xml:space="preserve">zachovanie a ochrana životného prostredia a podpora efektívneho využívania zdrojov; </w:t>
      </w:r>
    </w:p>
    <w:p w:rsidR="008149EC" w:rsidRPr="008F0C5F" w:rsidRDefault="008149EC" w:rsidP="00021B18">
      <w:pPr>
        <w:pStyle w:val="Odsekzoznamu"/>
        <w:numPr>
          <w:ilvl w:val="0"/>
          <w:numId w:val="27"/>
        </w:numPr>
        <w:spacing w:after="40" w:line="320" w:lineRule="exact"/>
        <w:ind w:right="4"/>
        <w:jc w:val="both"/>
        <w:rPr>
          <w:rFonts w:ascii="Times New Roman" w:hAnsi="Times New Roman" w:cs="Times New Roman"/>
          <w:sz w:val="24"/>
          <w:szCs w:val="24"/>
        </w:rPr>
      </w:pPr>
      <w:r w:rsidRPr="008F0C5F">
        <w:rPr>
          <w:rFonts w:ascii="Times New Roman" w:hAnsi="Times New Roman" w:cs="Times New Roman"/>
          <w:sz w:val="24"/>
          <w:szCs w:val="24"/>
        </w:rPr>
        <w:t>podpora udržateľnej dopravy a odstraňovanie prekážok v kľúčových sieťových infraštruktúrach;</w:t>
      </w:r>
    </w:p>
    <w:p w:rsidR="008149EC" w:rsidRPr="008F0C5F" w:rsidRDefault="008149EC" w:rsidP="00021B18">
      <w:pPr>
        <w:pStyle w:val="Odsekzoznamu"/>
        <w:numPr>
          <w:ilvl w:val="0"/>
          <w:numId w:val="27"/>
        </w:numPr>
        <w:spacing w:after="40" w:line="320" w:lineRule="exact"/>
        <w:ind w:right="4"/>
        <w:jc w:val="both"/>
        <w:rPr>
          <w:rFonts w:ascii="Times New Roman" w:hAnsi="Times New Roman" w:cs="Times New Roman"/>
          <w:sz w:val="24"/>
          <w:szCs w:val="24"/>
        </w:rPr>
      </w:pPr>
      <w:r w:rsidRPr="008F0C5F">
        <w:rPr>
          <w:rFonts w:ascii="Times New Roman" w:hAnsi="Times New Roman" w:cs="Times New Roman"/>
          <w:sz w:val="24"/>
          <w:szCs w:val="24"/>
        </w:rPr>
        <w:t>podpora udržateľnosti a kvalitnej zamestnanosti a podpora pracovnej mobility;</w:t>
      </w:r>
    </w:p>
    <w:p w:rsidR="008149EC" w:rsidRPr="008F0C5F" w:rsidRDefault="008149EC" w:rsidP="00021B18">
      <w:pPr>
        <w:pStyle w:val="Odsekzoznamu"/>
        <w:numPr>
          <w:ilvl w:val="0"/>
          <w:numId w:val="27"/>
        </w:numPr>
        <w:spacing w:after="40" w:line="320" w:lineRule="exact"/>
        <w:ind w:right="4"/>
        <w:jc w:val="both"/>
        <w:rPr>
          <w:rFonts w:ascii="Times New Roman" w:hAnsi="Times New Roman" w:cs="Times New Roman"/>
          <w:sz w:val="24"/>
          <w:szCs w:val="24"/>
        </w:rPr>
      </w:pPr>
      <w:r w:rsidRPr="008F0C5F">
        <w:rPr>
          <w:rFonts w:ascii="Times New Roman" w:hAnsi="Times New Roman" w:cs="Times New Roman"/>
          <w:sz w:val="24"/>
          <w:szCs w:val="24"/>
        </w:rPr>
        <w:t>posilnenie národnej kapacity verejných orgánov a zainteresovaných strán a účinnej verejnej správy prostredníctvom opatrení na posilnenie národnej kapacity a efektívnosti verejnej správy a verejných služieb.</w:t>
      </w:r>
    </w:p>
    <w:p w:rsidR="008149EC" w:rsidRPr="00EB44F9" w:rsidRDefault="008149EC" w:rsidP="00021B18">
      <w:pPr>
        <w:spacing w:after="40" w:line="320" w:lineRule="exact"/>
        <w:ind w:firstLine="0"/>
        <w:rPr>
          <w:b/>
        </w:rPr>
      </w:pPr>
      <w:r w:rsidRPr="00EB44F9">
        <w:rPr>
          <w:b/>
        </w:rPr>
        <w:t>Interreg V-A Poľsko – Slovenská republika</w:t>
      </w:r>
    </w:p>
    <w:p w:rsidR="008149EC" w:rsidRDefault="008149EC" w:rsidP="00961013">
      <w:pPr>
        <w:spacing w:after="40" w:line="320" w:lineRule="exact"/>
        <w:ind w:firstLine="708"/>
      </w:pPr>
      <w:r w:rsidRPr="00616260">
        <w:t>Program bo</w:t>
      </w:r>
      <w:r>
        <w:t xml:space="preserve">l schválený rozhodnutím EK C(2015) 889 zo dňa 12. februára 2015 s alokáciou na program 182 339 676 </w:t>
      </w:r>
      <w:r w:rsidR="00CA4D0B">
        <w:t>€</w:t>
      </w:r>
      <w:r>
        <w:t>, z čoho 85</w:t>
      </w:r>
      <w:r w:rsidR="00961013">
        <w:t xml:space="preserve"> </w:t>
      </w:r>
      <w:r>
        <w:t xml:space="preserve">% tvoria zdroje z ERDF vo výške 154 988 723 </w:t>
      </w:r>
      <w:r w:rsidR="00CA4D0B">
        <w:t>€</w:t>
      </w:r>
      <w:r>
        <w:t>.</w:t>
      </w:r>
      <w:r w:rsidR="00961013">
        <w:t xml:space="preserve"> </w:t>
      </w:r>
      <w:r w:rsidRPr="00616260">
        <w:t>Riadiacim orgánom je Ministerstvo rozvoja</w:t>
      </w:r>
      <w:r>
        <w:t xml:space="preserve"> Poľskej republiky.</w:t>
      </w:r>
    </w:p>
    <w:p w:rsidR="008149EC" w:rsidRDefault="008149EC" w:rsidP="00021B18">
      <w:pPr>
        <w:spacing w:after="40" w:line="320" w:lineRule="exact"/>
        <w:ind w:firstLine="708"/>
      </w:pPr>
      <w:r>
        <w:t>Program je</w:t>
      </w:r>
      <w:r w:rsidRPr="00616260">
        <w:t xml:space="preserve"> zameraný najmä na rozvoj dostupnosti územia a podporu udržateľnej dopravy, ochranu životného prostredia, ochranu prírodného a kultúrneho dedičstva prihraničných regiónov a na investície do vzdelávania. V snahe </w:t>
      </w:r>
      <w:r w:rsidR="00354C80">
        <w:t xml:space="preserve">zabezpečiť konkurencieschopnosť </w:t>
      </w:r>
      <w:r w:rsidRPr="00616260">
        <w:t>malých a stredných podnikov, bude program podporovať vytváranie nových produktov a služieb. Vzhľadom na pozitívne skúsenosti z programového obdobia 2007 – 2013, je záujem aj o posilnenie cezhraničných vzťahov prostredníctvom realizácie mikroprojektov založených na aktivitách typu „ľudia ľuďom“.</w:t>
      </w:r>
    </w:p>
    <w:p w:rsidR="008149EC" w:rsidRDefault="008149EC" w:rsidP="00021B18">
      <w:pPr>
        <w:spacing w:after="40" w:line="320" w:lineRule="exact"/>
        <w:ind w:firstLine="708"/>
      </w:pPr>
      <w:r w:rsidRPr="00616260">
        <w:t>V termíne od 18.5.2015 do 31.8.2015 bola vyhlásená výzva na predkladanie tzv. návrhov vlajkových projektov. Celkovo bolo prijatých 37 návrhov vlajkových projektov. Po</w:t>
      </w:r>
      <w:r w:rsidR="00CA4D0B">
        <w:t> </w:t>
      </w:r>
      <w:r w:rsidRPr="00616260">
        <w:t>kvalitatívnom hodnotení skupiny expertov bolo 5 návrhov odporúčaných na schválenie členom monitorovacieho výboru.</w:t>
      </w:r>
    </w:p>
    <w:p w:rsidR="008149EC" w:rsidRPr="00616260" w:rsidRDefault="008149EC" w:rsidP="00021B18">
      <w:pPr>
        <w:spacing w:after="40" w:line="320" w:lineRule="exact"/>
        <w:ind w:firstLine="0"/>
        <w:rPr>
          <w:b/>
        </w:rPr>
      </w:pPr>
      <w:r>
        <w:rPr>
          <w:b/>
        </w:rPr>
        <w:t xml:space="preserve">Program </w:t>
      </w:r>
      <w:r w:rsidRPr="00616260">
        <w:rPr>
          <w:b/>
        </w:rPr>
        <w:t>ENI</w:t>
      </w:r>
      <w:r>
        <w:rPr>
          <w:b/>
        </w:rPr>
        <w:t xml:space="preserve"> cezhraničná spolupráca</w:t>
      </w:r>
      <w:r w:rsidRPr="00616260">
        <w:rPr>
          <w:b/>
        </w:rPr>
        <w:t xml:space="preserve"> Maďarsko – Slovensko – Rumunsko – Ukrajina 2014 – 2020</w:t>
      </w:r>
    </w:p>
    <w:p w:rsidR="008149EC" w:rsidRDefault="008149EC" w:rsidP="00021B18">
      <w:pPr>
        <w:spacing w:after="40" w:line="320" w:lineRule="exact"/>
        <w:ind w:firstLine="708"/>
      </w:pPr>
      <w:r w:rsidRPr="00C61900">
        <w:t>Program bol schválený rozhodnutím EK C(2015) 9180 dňa 17.12.2015 s celkovou aloká</w:t>
      </w:r>
      <w:r>
        <w:t xml:space="preserve">ciou na program 81 347 200 </w:t>
      </w:r>
      <w:r w:rsidR="00CA4D0B">
        <w:t xml:space="preserve">€. </w:t>
      </w:r>
      <w:r w:rsidRPr="00C61900">
        <w:t xml:space="preserve">Program predvída mieru spolufinancovania na úrovni </w:t>
      </w:r>
      <w:r w:rsidRPr="00C61900">
        <w:lastRenderedPageBreak/>
        <w:t>10</w:t>
      </w:r>
      <w:r w:rsidR="00961013">
        <w:t> </w:t>
      </w:r>
      <w:r w:rsidRPr="00C61900">
        <w:t>% príspevku EÚ.</w:t>
      </w:r>
      <w:r>
        <w:t xml:space="preserve"> </w:t>
      </w:r>
      <w:r w:rsidRPr="00C61900">
        <w:t xml:space="preserve">Výška spolufinancovania predstavuje sumu 7 395 000 </w:t>
      </w:r>
      <w:r w:rsidR="00A60E71">
        <w:t>€</w:t>
      </w:r>
      <w:r w:rsidRPr="00C61900">
        <w:t>(t.</w:t>
      </w:r>
      <w:r w:rsidR="008F0C5F">
        <w:t xml:space="preserve"> </w:t>
      </w:r>
      <w:r w:rsidRPr="00C61900">
        <w:t>j. 10</w:t>
      </w:r>
      <w:r w:rsidR="00961013">
        <w:t xml:space="preserve"> </w:t>
      </w:r>
      <w:r w:rsidRPr="00C61900">
        <w:t>%)</w:t>
      </w:r>
      <w:r w:rsidR="00354C80">
        <w:t xml:space="preserve"> </w:t>
      </w:r>
      <w:r w:rsidRPr="00C61900">
        <w:t xml:space="preserve">a EÚ príspevok je v celkovej výške 73 952 000 </w:t>
      </w:r>
      <w:r w:rsidR="00A60E71">
        <w:t>€</w:t>
      </w:r>
      <w:r w:rsidR="00CA4D0B">
        <w:t xml:space="preserve"> </w:t>
      </w:r>
      <w:r w:rsidRPr="00C61900">
        <w:t>(t.</w:t>
      </w:r>
      <w:r w:rsidR="008F0C5F">
        <w:t xml:space="preserve"> </w:t>
      </w:r>
      <w:r w:rsidRPr="00C61900">
        <w:t>j. 90</w:t>
      </w:r>
      <w:r w:rsidR="00961013">
        <w:t xml:space="preserve"> </w:t>
      </w:r>
      <w:r w:rsidRPr="00C61900">
        <w:t>%).</w:t>
      </w:r>
    </w:p>
    <w:p w:rsidR="008149EC" w:rsidRDefault="008149EC" w:rsidP="00961013">
      <w:pPr>
        <w:spacing w:after="60" w:line="320" w:lineRule="exact"/>
        <w:ind w:firstLine="708"/>
      </w:pPr>
      <w:r>
        <w:t xml:space="preserve">Program </w:t>
      </w:r>
      <w:r w:rsidRPr="00616260">
        <w:t>bude podporovať zintenzívnenie a prehĺbenie jednotlivých oblastí rozvoja vzájomnej spolupráce medzi jednotlivými regiónmi s prihliadnutím na trvalú udržateľnosť</w:t>
      </w:r>
      <w:r w:rsidR="00354C80">
        <w:t xml:space="preserve"> </w:t>
      </w:r>
      <w:r w:rsidRPr="00616260">
        <w:t>v</w:t>
      </w:r>
      <w:r w:rsidR="00CA4D0B">
        <w:t> </w:t>
      </w:r>
      <w:r w:rsidRPr="00616260">
        <w:t xml:space="preserve">sociálnej, environmentálnej a ekonomickej oblasti. </w:t>
      </w:r>
      <w:r>
        <w:t>Program sa z</w:t>
      </w:r>
      <w:r w:rsidRPr="00F932A6">
        <w:t>ameriava</w:t>
      </w:r>
      <w:r>
        <w:t xml:space="preserve"> na podporu miestnej kultúry a historického dedičstva, na</w:t>
      </w:r>
      <w:r w:rsidRPr="00F932A6">
        <w:t xml:space="preserve"> ochranu </w:t>
      </w:r>
      <w:r>
        <w:t>prírodných zdrojov a udržateľného využívania prírodných zdrojov, na riešenie v</w:t>
      </w:r>
      <w:r w:rsidRPr="00F932A6">
        <w:t>ýziev</w:t>
      </w:r>
      <w:r>
        <w:t xml:space="preserve"> súvisiacich so</w:t>
      </w:r>
      <w:r w:rsidRPr="00F932A6">
        <w:t xml:space="preserve"> zmen</w:t>
      </w:r>
      <w:r>
        <w:t>ou</w:t>
      </w:r>
      <w:r w:rsidRPr="00F932A6">
        <w:t xml:space="preserve"> klímy, na </w:t>
      </w:r>
      <w:r>
        <w:t>rozvoj</w:t>
      </w:r>
      <w:r w:rsidRPr="00F932A6">
        <w:t xml:space="preserve"> doprav</w:t>
      </w:r>
      <w:r>
        <w:t>nej infraštruktúry a IKT a na podporu v oblasti zdravia a sociálnych vecí.</w:t>
      </w:r>
      <w:r w:rsidR="00CA4D0B">
        <w:t xml:space="preserve"> </w:t>
      </w:r>
      <w:r w:rsidRPr="00616260">
        <w:t>Program zároveň deklaruje potrebu zvýšenej podpory štvorstrannej spolupráce pri príprave tzv. strategických projektov.</w:t>
      </w:r>
      <w:r>
        <w:t xml:space="preserve"> </w:t>
      </w:r>
    </w:p>
    <w:p w:rsidR="00021B18" w:rsidRDefault="00021B18" w:rsidP="00961013">
      <w:pPr>
        <w:spacing w:after="60" w:line="320" w:lineRule="exact"/>
        <w:ind w:right="0" w:firstLine="0"/>
        <w:jc w:val="left"/>
        <w:rPr>
          <w:b/>
        </w:rPr>
      </w:pPr>
    </w:p>
    <w:p w:rsidR="00BD5CDA" w:rsidRPr="00747ED8" w:rsidRDefault="00BD5CDA" w:rsidP="00961013">
      <w:pPr>
        <w:spacing w:after="60" w:line="320" w:lineRule="exact"/>
        <w:ind w:right="0" w:firstLine="0"/>
        <w:jc w:val="left"/>
        <w:rPr>
          <w:b/>
        </w:rPr>
      </w:pPr>
      <w:r w:rsidRPr="00747ED8">
        <w:rPr>
          <w:b/>
        </w:rPr>
        <w:t xml:space="preserve">Regionálny operačný program </w:t>
      </w:r>
    </w:p>
    <w:p w:rsidR="00BD5CDA" w:rsidRPr="0089354C" w:rsidRDefault="00BD5CDA" w:rsidP="00961013">
      <w:pPr>
        <w:spacing w:after="60" w:line="320" w:lineRule="exact"/>
        <w:ind w:right="0" w:firstLine="0"/>
      </w:pPr>
      <w:r w:rsidRPr="0089354C">
        <w:t xml:space="preserve"> </w:t>
      </w:r>
      <w:r w:rsidR="0079491A">
        <w:tab/>
      </w:r>
      <w:r w:rsidRPr="0089354C">
        <w:t xml:space="preserve">Odbor riadenia Regionálneho operačného programu a Odbor realizácie Regionálneho operačného programu zabezpečujú výkon úloh Riadiaceho orgánu pre </w:t>
      </w:r>
      <w:r w:rsidRPr="0089354C">
        <w:rPr>
          <w:b/>
        </w:rPr>
        <w:t xml:space="preserve">Regionálny operačný program </w:t>
      </w:r>
      <w:r w:rsidRPr="0089354C">
        <w:t xml:space="preserve">(ďalej len „ROP“). </w:t>
      </w:r>
    </w:p>
    <w:p w:rsidR="00BD5CDA" w:rsidRPr="0089354C" w:rsidRDefault="00BD5CDA" w:rsidP="00961013">
      <w:pPr>
        <w:spacing w:after="60" w:line="320" w:lineRule="exact"/>
      </w:pPr>
      <w:r w:rsidRPr="0089354C">
        <w:t>Globálny cieľ ROP je definovaný ako „Zvýšenie dostupnosti a kvality občianskej infraštruktúry a vybavenosti územia v regiónoch“. Globálny cieľ ROP je napĺňaný prostredníctvom dosahovania špecifických cieľov ROP, ktorých napĺňanie je merateľné na</w:t>
      </w:r>
      <w:r w:rsidR="0079491A">
        <w:t> </w:t>
      </w:r>
      <w:r w:rsidRPr="0089354C">
        <w:t xml:space="preserve">úrovni prioritných osí ROP. Špecifické ciele ROP sú určené nasledovne: </w:t>
      </w:r>
    </w:p>
    <w:p w:rsidR="00BD5CDA" w:rsidRPr="0089354C" w:rsidRDefault="00BD5CDA" w:rsidP="00961013">
      <w:pPr>
        <w:numPr>
          <w:ilvl w:val="0"/>
          <w:numId w:val="1"/>
        </w:numPr>
        <w:spacing w:after="60" w:line="320" w:lineRule="exact"/>
      </w:pPr>
      <w:r w:rsidRPr="0089354C">
        <w:t>Zvýšenie úrovne poskytovaných služieb v oblasti vzdelávania</w:t>
      </w:r>
    </w:p>
    <w:p w:rsidR="00BD5CDA" w:rsidRPr="0089354C" w:rsidRDefault="00BD5CDA" w:rsidP="00961013">
      <w:pPr>
        <w:numPr>
          <w:ilvl w:val="0"/>
          <w:numId w:val="1"/>
        </w:numPr>
        <w:spacing w:after="60" w:line="320" w:lineRule="exact"/>
      </w:pPr>
      <w:r w:rsidRPr="0089354C">
        <w:t>Zvýšenie rozsahu a úrovne poskytovaných služieb v sociálnej oblasti</w:t>
      </w:r>
    </w:p>
    <w:p w:rsidR="00BD5CDA" w:rsidRPr="0089354C" w:rsidRDefault="00BD5CDA" w:rsidP="00961013">
      <w:pPr>
        <w:numPr>
          <w:ilvl w:val="0"/>
          <w:numId w:val="1"/>
        </w:numPr>
        <w:spacing w:after="60" w:line="320" w:lineRule="exact"/>
      </w:pPr>
      <w:r w:rsidRPr="0089354C">
        <w:t>Posilnenie kultúrneho potenciálu regiónov a rozvoja cestovného ruchu</w:t>
      </w:r>
    </w:p>
    <w:p w:rsidR="00BD5CDA" w:rsidRPr="0089354C" w:rsidRDefault="00BD5CDA" w:rsidP="00961013">
      <w:pPr>
        <w:numPr>
          <w:ilvl w:val="0"/>
          <w:numId w:val="1"/>
        </w:numPr>
        <w:spacing w:after="60" w:line="320" w:lineRule="exact"/>
      </w:pPr>
      <w:r w:rsidRPr="0089354C">
        <w:t>Posilnenie konkurencieschopnosti sídiel a zvýšenie kvality a bezpečnosti verejných priestranstiev</w:t>
      </w:r>
    </w:p>
    <w:p w:rsidR="00BD5CDA" w:rsidRPr="0089354C" w:rsidRDefault="00BD5CDA" w:rsidP="00961013">
      <w:pPr>
        <w:numPr>
          <w:ilvl w:val="0"/>
          <w:numId w:val="1"/>
        </w:numPr>
        <w:spacing w:after="60" w:line="320" w:lineRule="exact"/>
      </w:pPr>
      <w:r w:rsidRPr="0089354C">
        <w:t>Zvýšenie úrovne dopravnej obslužnosti regiónov</w:t>
      </w:r>
    </w:p>
    <w:p w:rsidR="00BD5CDA" w:rsidRPr="0089354C" w:rsidRDefault="00BD5CDA" w:rsidP="00961013">
      <w:pPr>
        <w:numPr>
          <w:ilvl w:val="0"/>
          <w:numId w:val="1"/>
        </w:numPr>
        <w:spacing w:after="60" w:line="320" w:lineRule="exact"/>
      </w:pPr>
      <w:r w:rsidRPr="0089354C">
        <w:t xml:space="preserve">Efektívne riadenie a implementácia ROP </w:t>
      </w:r>
    </w:p>
    <w:p w:rsidR="00BD5CDA" w:rsidRPr="0089354C" w:rsidRDefault="00BD5CDA" w:rsidP="00961013">
      <w:pPr>
        <w:spacing w:after="60" w:line="320" w:lineRule="exact"/>
        <w:ind w:left="360" w:firstLine="0"/>
      </w:pPr>
      <w:r w:rsidRPr="0089354C">
        <w:t xml:space="preserve">7.  Posilnenie kultúrneho potenciálu a konkurencieschopnosti regiónu NUTS 2 – Východ v súvislosti s realizáciou projektu Európske hlavné mesto kultúry – Košice 2013 </w:t>
      </w:r>
    </w:p>
    <w:p w:rsidR="00BD5CDA" w:rsidRPr="0089354C" w:rsidRDefault="00BD5CDA" w:rsidP="00961013">
      <w:pPr>
        <w:spacing w:after="60" w:line="320" w:lineRule="exact"/>
        <w:ind w:left="-15" w:right="0" w:firstLine="697"/>
        <w:rPr>
          <w:b/>
          <w:bCs/>
          <w:color w:val="auto"/>
          <w:szCs w:val="24"/>
          <w:lang w:eastAsia="sk-SK"/>
        </w:rPr>
      </w:pPr>
      <w:r w:rsidRPr="0089354C">
        <w:t xml:space="preserve">Špecifické ciele ROP sú napĺňané prostredníctvom siedmich prioritných osí ROP </w:t>
      </w:r>
      <w:r w:rsidRPr="0089354C">
        <w:rPr>
          <w:bCs/>
          <w:color w:val="auto"/>
          <w:szCs w:val="24"/>
          <w:lang w:eastAsia="sk-SK"/>
        </w:rPr>
        <w:t xml:space="preserve">Prioritná os 1 Infraštruktúra, Prioritná os 2 Infraštruktúra sociálnych služieb, sociálnoprávnej ochrany a sociálnej kurately, </w:t>
      </w:r>
      <w:r w:rsidRPr="0089354C">
        <w:rPr>
          <w:color w:val="auto"/>
          <w:szCs w:val="24"/>
          <w:lang w:eastAsia="sk-SK"/>
        </w:rPr>
        <w:t xml:space="preserve">Prioritná os </w:t>
      </w:r>
      <w:r w:rsidRPr="0089354C">
        <w:rPr>
          <w:bCs/>
          <w:color w:val="auto"/>
          <w:szCs w:val="24"/>
          <w:lang w:eastAsia="sk-SK"/>
        </w:rPr>
        <w:t>3: Posilnenie kultúrneho potenciálu regiónov a</w:t>
      </w:r>
      <w:r w:rsidR="0079491A">
        <w:rPr>
          <w:bCs/>
          <w:color w:val="auto"/>
          <w:szCs w:val="24"/>
          <w:lang w:eastAsia="sk-SK"/>
        </w:rPr>
        <w:t> </w:t>
      </w:r>
      <w:r w:rsidRPr="0089354C">
        <w:rPr>
          <w:bCs/>
          <w:color w:val="auto"/>
          <w:szCs w:val="24"/>
          <w:lang w:eastAsia="sk-SK"/>
        </w:rPr>
        <w:t xml:space="preserve">infraštruktúry cestovného ruchu, Prioritná os 4: Regenerácia sídiel, </w:t>
      </w:r>
      <w:r w:rsidRPr="0089354C">
        <w:rPr>
          <w:color w:val="auto"/>
          <w:szCs w:val="24"/>
          <w:lang w:eastAsia="sk-SK"/>
        </w:rPr>
        <w:t xml:space="preserve">Prioritná os </w:t>
      </w:r>
      <w:r w:rsidRPr="0089354C">
        <w:rPr>
          <w:bCs/>
          <w:color w:val="auto"/>
          <w:szCs w:val="24"/>
          <w:lang w:eastAsia="sk-SK"/>
        </w:rPr>
        <w:t>5:</w:t>
      </w:r>
      <w:r w:rsidR="0079491A">
        <w:rPr>
          <w:bCs/>
          <w:color w:val="auto"/>
          <w:szCs w:val="24"/>
          <w:lang w:eastAsia="sk-SK"/>
        </w:rPr>
        <w:t> </w:t>
      </w:r>
      <w:r w:rsidRPr="0089354C">
        <w:rPr>
          <w:bCs/>
          <w:color w:val="auto"/>
          <w:szCs w:val="24"/>
          <w:lang w:eastAsia="sk-SK"/>
        </w:rPr>
        <w:t>Regionálne komunikácie zabezpečujúce dopravnú obslužnosť regiónov, Prioritná os 6:</w:t>
      </w:r>
      <w:r w:rsidR="0079491A">
        <w:rPr>
          <w:bCs/>
          <w:color w:val="auto"/>
          <w:szCs w:val="24"/>
          <w:lang w:eastAsia="sk-SK"/>
        </w:rPr>
        <w:t> </w:t>
      </w:r>
      <w:r w:rsidRPr="0089354C">
        <w:rPr>
          <w:bCs/>
          <w:color w:val="auto"/>
          <w:szCs w:val="24"/>
          <w:lang w:eastAsia="sk-SK"/>
        </w:rPr>
        <w:t>Technická pomoc  a Prioritná os 7 Európske hlavné mesto kultúry – Košice 2013.</w:t>
      </w:r>
    </w:p>
    <w:p w:rsidR="00BD5CDA" w:rsidRPr="0091796D" w:rsidRDefault="00B86C15" w:rsidP="00961013">
      <w:pPr>
        <w:spacing w:after="60" w:line="320" w:lineRule="exact"/>
        <w:ind w:left="-15" w:right="0" w:firstLine="697"/>
      </w:pPr>
      <w:r>
        <w:t>ROP stanovoval</w:t>
      </w:r>
      <w:r w:rsidR="00BD5CDA" w:rsidRPr="0089354C">
        <w:t xml:space="preserve"> stratégiu a prioritné osi podporované zo štrukturálnych fondov a</w:t>
      </w:r>
      <w:r w:rsidR="0079491A">
        <w:t> </w:t>
      </w:r>
      <w:r w:rsidR="00BD5CDA" w:rsidRPr="0089354C">
        <w:t>zo</w:t>
      </w:r>
      <w:r w:rsidR="0079491A">
        <w:t> </w:t>
      </w:r>
      <w:r w:rsidR="00BD5CDA" w:rsidRPr="0089354C">
        <w:t>zdrojov členského štátu, ich špecifické ciele, príspevok zo štrukturálnych fondov a</w:t>
      </w:r>
      <w:r w:rsidR="0079491A">
        <w:t> </w:t>
      </w:r>
      <w:r w:rsidR="00BD5CDA" w:rsidRPr="0089354C">
        <w:t>ostatné finančné prostriedky v súlade s Nariadením Rady (ES) č. 1083/2006 z 11. júla 2006, ktorým sa ustanovujú všeobecné ustanovenia o Európskom fonde regionálneho rozvoja, Európskom sociálnom fonde a Kohéznom fonde a ktorým sa zrušuje nariadenie (ES) č.1260/1999 („všeobecné nariadenie“) a v súlade s Nariadením Komisie (ES) č. 1828/2006 z</w:t>
      </w:r>
      <w:r w:rsidR="00302357">
        <w:t> </w:t>
      </w:r>
      <w:r w:rsidR="00BD5CDA" w:rsidRPr="0089354C">
        <w:t xml:space="preserve">8. decembra 2006, ktorým sa stanovujú vykonávacie pravidlá nariadenia Rady (ES) </w:t>
      </w:r>
      <w:r w:rsidR="00BD5CDA" w:rsidRPr="0089354C">
        <w:lastRenderedPageBreak/>
        <w:t>č.</w:t>
      </w:r>
      <w:r w:rsidR="00302357">
        <w:t> </w:t>
      </w:r>
      <w:r w:rsidR="00BD5CDA" w:rsidRPr="0089354C">
        <w:t>1083/2006, ktorým sa ustanovujú všeobecné ustanovenia o Európskom fonde regionálneho rozvoja, Európskom sociálnom fonde a Kohéznom fonde a nariadenia Európskeho parlamentu a Rady (ES) č.</w:t>
      </w:r>
      <w:r w:rsidR="0079491A">
        <w:t> </w:t>
      </w:r>
      <w:r w:rsidR="00BD5CDA" w:rsidRPr="0089354C">
        <w:t>1080/2006 o Európskom fonde regionálneho rozvoja v znení neskorších zmien a doplnení („vykonávacie nariadenie“). Okrem toho Riadiaci orgán pre ROP postupuje pri implementácii ROP v súlade s ďalšími nariadeniami EÚ/ES, platnými právnymi predpismi Slovenskej republiky, najmä podľa zákona č. 111/2012</w:t>
      </w:r>
      <w:r w:rsidR="00302357">
        <w:t xml:space="preserve"> Z.</w:t>
      </w:r>
      <w:r w:rsidR="00E37F6E">
        <w:t xml:space="preserve"> </w:t>
      </w:r>
      <w:r w:rsidR="00302357">
        <w:t>z.</w:t>
      </w:r>
      <w:r w:rsidR="00BD5CDA" w:rsidRPr="0089354C">
        <w:t>, ktorým sa mení a dopĺňa zákon č.</w:t>
      </w:r>
      <w:r w:rsidR="00302357">
        <w:t> </w:t>
      </w:r>
      <w:r w:rsidR="00BD5CDA" w:rsidRPr="0089354C">
        <w:t>528/2008 Z. z. o poskytovaní pomoci a podpory z fondov Európskych spoločenstiev v znení neskorších predpisov, ako aj ďalšími záväznými dokumentmi, najmä v súlade so Systémom riadenia štrukturálnych fondov a Kohézneho fondu na programové obdobie 2007 – 2013 v</w:t>
      </w:r>
      <w:r w:rsidR="00302357">
        <w:t> </w:t>
      </w:r>
      <w:r w:rsidR="00BD5CDA" w:rsidRPr="0089354C">
        <w:t xml:space="preserve">aktuálnom znení a Systémom finančného riadenia štrukturálnych fondov a Kohézneho </w:t>
      </w:r>
      <w:r w:rsidR="00BD5CDA" w:rsidRPr="0091796D">
        <w:t>fondu na</w:t>
      </w:r>
      <w:r w:rsidR="0079491A" w:rsidRPr="0091796D">
        <w:t> </w:t>
      </w:r>
      <w:r w:rsidR="00BD5CDA" w:rsidRPr="0091796D">
        <w:t xml:space="preserve">programové obdobie 2007 – 2013 v platnom znení. </w:t>
      </w:r>
    </w:p>
    <w:p w:rsidR="00BD5CDA" w:rsidRDefault="00446CBB" w:rsidP="00961013">
      <w:pPr>
        <w:spacing w:after="60" w:line="320" w:lineRule="exact"/>
        <w:ind w:firstLine="697"/>
      </w:pPr>
      <w:r w:rsidRPr="00E37F6E">
        <w:t>V priebehu roka boli</w:t>
      </w:r>
      <w:r w:rsidR="00BD5CDA" w:rsidRPr="00E37F6E">
        <w:t xml:space="preserve"> v zmysle harmonogramu výziev Riadia</w:t>
      </w:r>
      <w:r w:rsidRPr="00E37F6E">
        <w:t>cim orgá</w:t>
      </w:r>
      <w:r w:rsidR="00D63F33" w:rsidRPr="00E37F6E">
        <w:t>nom pre ROP zverejnené celkovo 2</w:t>
      </w:r>
      <w:r w:rsidR="00B86C15" w:rsidRPr="00E37F6E">
        <w:t xml:space="preserve"> písomné vyzvania</w:t>
      </w:r>
      <w:r w:rsidR="00BD5CDA" w:rsidRPr="00E37F6E">
        <w:t>, čo v</w:t>
      </w:r>
      <w:r w:rsidR="002D59D6" w:rsidRPr="00E37F6E">
        <w:t>ytvori</w:t>
      </w:r>
      <w:r w:rsidR="00B86C15" w:rsidRPr="00E37F6E">
        <w:t>lo</w:t>
      </w:r>
      <w:r w:rsidRPr="00E37F6E">
        <w:t xml:space="preserve"> dobré predpoklady </w:t>
      </w:r>
      <w:r w:rsidR="00BD5CDA" w:rsidRPr="00E37F6E">
        <w:t>na úspešné dovŕšenie pr</w:t>
      </w:r>
      <w:r w:rsidRPr="00E37F6E">
        <w:t>ocesov kontrahovania v roku 2015</w:t>
      </w:r>
      <w:r w:rsidR="00BD5CDA" w:rsidRPr="00E37F6E">
        <w:t>.</w:t>
      </w:r>
    </w:p>
    <w:p w:rsidR="00A64E53" w:rsidRDefault="009E2617" w:rsidP="00961013">
      <w:pPr>
        <w:spacing w:after="60" w:line="320" w:lineRule="exact"/>
        <w:rPr>
          <w:szCs w:val="24"/>
        </w:rPr>
      </w:pPr>
      <w:r w:rsidRPr="00E37F6E">
        <w:rPr>
          <w:szCs w:val="24"/>
        </w:rPr>
        <w:t>Prvé písomné vy</w:t>
      </w:r>
      <w:r w:rsidR="00A657EF" w:rsidRPr="00E37F6E">
        <w:rPr>
          <w:szCs w:val="24"/>
        </w:rPr>
        <w:t>zva</w:t>
      </w:r>
      <w:r w:rsidRPr="00E37F6E">
        <w:rPr>
          <w:szCs w:val="24"/>
        </w:rPr>
        <w:t xml:space="preserve">nie </w:t>
      </w:r>
      <w:r w:rsidR="002D59D6" w:rsidRPr="00E37F6E">
        <w:rPr>
          <w:szCs w:val="24"/>
        </w:rPr>
        <w:t xml:space="preserve">v roku 2015: </w:t>
      </w:r>
      <w:r w:rsidRPr="00E37F6E">
        <w:rPr>
          <w:szCs w:val="24"/>
        </w:rPr>
        <w:t>ROP-2015-JESSICA II – Písomné vyzvanie k predloženiu Žiadosti o NFP v r</w:t>
      </w:r>
      <w:r w:rsidR="002D59D6" w:rsidRPr="00E37F6E">
        <w:rPr>
          <w:szCs w:val="24"/>
        </w:rPr>
        <w:t>ámci implementácie iniciatívy JE</w:t>
      </w:r>
      <w:r w:rsidR="002853C1" w:rsidRPr="00E37F6E">
        <w:rPr>
          <w:szCs w:val="24"/>
        </w:rPr>
        <w:t>SSICA II</w:t>
      </w:r>
      <w:r w:rsidR="002D59D6" w:rsidRPr="00E37F6E">
        <w:rPr>
          <w:szCs w:val="24"/>
        </w:rPr>
        <w:t>,</w:t>
      </w:r>
      <w:r w:rsidRPr="00E37F6E">
        <w:rPr>
          <w:szCs w:val="24"/>
        </w:rPr>
        <w:t xml:space="preserve"> v rámci prioritnej osi 4. Regenerác</w:t>
      </w:r>
      <w:r w:rsidR="002D59D6" w:rsidRPr="00E37F6E">
        <w:rPr>
          <w:szCs w:val="24"/>
        </w:rPr>
        <w:t>ia sídiel</w:t>
      </w:r>
      <w:r w:rsidR="0019141F" w:rsidRPr="00E37F6E">
        <w:rPr>
          <w:szCs w:val="24"/>
        </w:rPr>
        <w:t xml:space="preserve">, opatrenie 4.1 Regenerácia sídiel; cieľom je posilnenie vybavenosti územia prostredníctvom regenerácie sídiel </w:t>
      </w:r>
      <w:r w:rsidR="002D59D6" w:rsidRPr="00E37F6E">
        <w:rPr>
          <w:szCs w:val="24"/>
        </w:rPr>
        <w:t xml:space="preserve"> bolo</w:t>
      </w:r>
      <w:r w:rsidR="00A657EF" w:rsidRPr="00E37F6E">
        <w:rPr>
          <w:szCs w:val="24"/>
        </w:rPr>
        <w:t xml:space="preserve"> </w:t>
      </w:r>
      <w:r w:rsidRPr="00E37F6E">
        <w:rPr>
          <w:szCs w:val="24"/>
        </w:rPr>
        <w:t>vyhlásené 12.1.2015 do 30.1.2015</w:t>
      </w:r>
      <w:r w:rsidR="00A657EF" w:rsidRPr="00E37F6E">
        <w:rPr>
          <w:szCs w:val="24"/>
        </w:rPr>
        <w:t xml:space="preserve">. </w:t>
      </w:r>
      <w:r w:rsidR="005F220A" w:rsidRPr="00E37F6E">
        <w:rPr>
          <w:szCs w:val="24"/>
        </w:rPr>
        <w:t>Cieľom písomného vyzvania bola energetická efektívnosť a komplexná obnova bytových domov. Finančné prostriedky poskytnuté v rámci</w:t>
      </w:r>
      <w:r w:rsidR="002853C1" w:rsidRPr="00E37F6E">
        <w:rPr>
          <w:szCs w:val="24"/>
        </w:rPr>
        <w:t xml:space="preserve"> finančného nástroja JESSICA II</w:t>
      </w:r>
      <w:r w:rsidR="005F220A" w:rsidRPr="00E37F6E">
        <w:rPr>
          <w:szCs w:val="24"/>
        </w:rPr>
        <w:t xml:space="preserve"> bolo možné použiť iba v rámci </w:t>
      </w:r>
      <w:r w:rsidR="00B404C7" w:rsidRPr="00E37F6E">
        <w:rPr>
          <w:szCs w:val="24"/>
        </w:rPr>
        <w:t>oprávneného miesta realizácie, ktorým sú mestské oblasti na území všetkých samosprávnych krajov SR (okrem Bratislavského samosprávneho kraja)</w:t>
      </w:r>
      <w:r w:rsidR="00A64E53">
        <w:rPr>
          <w:szCs w:val="24"/>
        </w:rPr>
        <w:t xml:space="preserve">. </w:t>
      </w:r>
    </w:p>
    <w:p w:rsidR="00B404C7" w:rsidRPr="00961013" w:rsidRDefault="002F7D5A" w:rsidP="00961013">
      <w:pPr>
        <w:spacing w:after="60" w:line="320" w:lineRule="exact"/>
        <w:ind w:firstLine="0"/>
        <w:rPr>
          <w:i/>
          <w:szCs w:val="16"/>
        </w:rPr>
      </w:pPr>
      <w:r w:rsidRPr="00961013">
        <w:rPr>
          <w:i/>
          <w:szCs w:val="16"/>
        </w:rPr>
        <w:t>(</w:t>
      </w:r>
      <w:r w:rsidR="00B404C7" w:rsidRPr="00961013">
        <w:rPr>
          <w:i/>
          <w:szCs w:val="16"/>
        </w:rPr>
        <w:t>Za účelom implementácie finančného nástroja JESSICA v Slovenskej republike v programovom období 2007 – 2013 v súlade s článkom 44 nariadenia Rady (ES) č. 1083/2006 a v zmysle Zmluvy o financovaní, ktorá nadobudla účinnosť dňa 24. apríla 2013 a bola uzatvorená medzi MPRV SR a ŠFRB, ŠFRB vykonáva činnosť nástroja finančného inžinierstva</w:t>
      </w:r>
      <w:r w:rsidR="00B404C7" w:rsidRPr="00961013">
        <w:rPr>
          <w:rStyle w:val="Odkaznapoznmkupodiarou"/>
          <w:i/>
          <w:szCs w:val="16"/>
        </w:rPr>
        <w:footnoteReference w:id="1"/>
      </w:r>
      <w:r w:rsidR="00B404C7" w:rsidRPr="00961013">
        <w:rPr>
          <w:i/>
          <w:szCs w:val="16"/>
        </w:rPr>
        <w:t>, ktorý prijíma finančné prostriedky z alokácie ROP, a je zodpovedný za ich ďalšie poskytnutie oprávneným žiadateľom o podporu vo forme návratných dotácií (úverových produktov). V súlade s článkom 43 nariadenia Rady (ES) č. 1828/2006 je v rámci ŠFRB ustanovený osobitný finančný blok na účel energetickej efektívnosti a komplexnej obnovy bytových domov.</w:t>
      </w:r>
      <w:r w:rsidRPr="00961013">
        <w:rPr>
          <w:i/>
          <w:szCs w:val="16"/>
        </w:rPr>
        <w:t>)</w:t>
      </w:r>
    </w:p>
    <w:p w:rsidR="002D59D6" w:rsidRPr="00E37F6E" w:rsidRDefault="008F3A26" w:rsidP="00961013">
      <w:pPr>
        <w:spacing w:after="60" w:line="320" w:lineRule="exact"/>
        <w:rPr>
          <w:szCs w:val="24"/>
        </w:rPr>
      </w:pPr>
      <w:r w:rsidRPr="00E37F6E">
        <w:rPr>
          <w:szCs w:val="24"/>
        </w:rPr>
        <w:t>Finančná p</w:t>
      </w:r>
      <w:r w:rsidR="002D59D6" w:rsidRPr="00E37F6E">
        <w:rPr>
          <w:szCs w:val="24"/>
        </w:rPr>
        <w:t>omoc je poskytovaná vo forme návratného finančného príspevku</w:t>
      </w:r>
      <w:r w:rsidR="002853C1" w:rsidRPr="00E37F6E">
        <w:rPr>
          <w:szCs w:val="24"/>
        </w:rPr>
        <w:t>.</w:t>
      </w:r>
    </w:p>
    <w:p w:rsidR="00A657EF" w:rsidRPr="00E37F6E" w:rsidRDefault="00A657EF" w:rsidP="00961013">
      <w:pPr>
        <w:spacing w:after="60" w:line="320" w:lineRule="exact"/>
        <w:ind w:firstLine="697"/>
        <w:rPr>
          <w:szCs w:val="24"/>
        </w:rPr>
      </w:pPr>
      <w:r w:rsidRPr="00E37F6E">
        <w:rPr>
          <w:szCs w:val="24"/>
        </w:rPr>
        <w:t>Indikatívna výška finančnýc</w:t>
      </w:r>
      <w:r w:rsidR="009E2617" w:rsidRPr="00E37F6E">
        <w:rPr>
          <w:szCs w:val="24"/>
        </w:rPr>
        <w:t>h prostriedkov určených na písomné vyzvanie ROP-2015-JESSICA II</w:t>
      </w:r>
      <w:r w:rsidR="005F220A" w:rsidRPr="00E37F6E">
        <w:rPr>
          <w:szCs w:val="24"/>
        </w:rPr>
        <w:t xml:space="preserve"> bola celkovo 90 640 000</w:t>
      </w:r>
      <w:r w:rsidRPr="00E37F6E">
        <w:rPr>
          <w:szCs w:val="24"/>
        </w:rPr>
        <w:t xml:space="preserve"> </w:t>
      </w:r>
      <w:r w:rsidR="00565EDA" w:rsidRPr="00E37F6E">
        <w:rPr>
          <w:szCs w:val="24"/>
        </w:rPr>
        <w:t>€</w:t>
      </w:r>
      <w:r w:rsidRPr="00E37F6E">
        <w:rPr>
          <w:szCs w:val="24"/>
        </w:rPr>
        <w:t>, z toho maximálny príspevok Európskeho f</w:t>
      </w:r>
      <w:r w:rsidR="005F220A" w:rsidRPr="00E37F6E">
        <w:rPr>
          <w:szCs w:val="24"/>
        </w:rPr>
        <w:t>ondu regionálneho rozvoja bol 77 044 000</w:t>
      </w:r>
      <w:r w:rsidRPr="00E37F6E">
        <w:rPr>
          <w:szCs w:val="24"/>
        </w:rPr>
        <w:t xml:space="preserve"> </w:t>
      </w:r>
      <w:r w:rsidR="00565EDA" w:rsidRPr="00E37F6E">
        <w:rPr>
          <w:szCs w:val="24"/>
        </w:rPr>
        <w:t>€</w:t>
      </w:r>
      <w:r w:rsidRPr="00E37F6E">
        <w:rPr>
          <w:szCs w:val="24"/>
        </w:rPr>
        <w:t xml:space="preserve"> (85</w:t>
      </w:r>
      <w:r w:rsidR="00302357" w:rsidRPr="00E37F6E">
        <w:rPr>
          <w:szCs w:val="24"/>
        </w:rPr>
        <w:t xml:space="preserve"> </w:t>
      </w:r>
      <w:r w:rsidRPr="00E37F6E">
        <w:rPr>
          <w:szCs w:val="24"/>
        </w:rPr>
        <w:t>%).</w:t>
      </w:r>
    </w:p>
    <w:p w:rsidR="00A64E53" w:rsidRDefault="002D59D6" w:rsidP="00961013">
      <w:pPr>
        <w:spacing w:after="60" w:line="320" w:lineRule="exact"/>
        <w:rPr>
          <w:szCs w:val="24"/>
        </w:rPr>
      </w:pPr>
      <w:r w:rsidRPr="00E37F6E">
        <w:rPr>
          <w:szCs w:val="24"/>
        </w:rPr>
        <w:t>Dňa 19.11.2015 bolo vyhlásené a zverejnené druhé písomné vyzvanie platné do 30.11.2015: ROP-2015</w:t>
      </w:r>
      <w:r w:rsidR="002853C1" w:rsidRPr="00E37F6E">
        <w:rPr>
          <w:szCs w:val="24"/>
        </w:rPr>
        <w:t>-JESSICA III</w:t>
      </w:r>
      <w:r w:rsidRPr="00E37F6E">
        <w:rPr>
          <w:szCs w:val="24"/>
        </w:rPr>
        <w:t xml:space="preserve"> – Písomné vyzvanie k predloženiu Žiadosti o NFP v rámci implementácie iniciatívy JESSICA III v rámci prioritnej osi 4. Regenerácia sídiel</w:t>
      </w:r>
      <w:r w:rsidR="00BB26B9" w:rsidRPr="00E37F6E">
        <w:rPr>
          <w:szCs w:val="24"/>
        </w:rPr>
        <w:t>, opatrenie 4.1 Regenerácia sídiel; cieľom je posilnenie vybavenosti územia</w:t>
      </w:r>
      <w:r w:rsidR="0019141F" w:rsidRPr="00E37F6E">
        <w:rPr>
          <w:szCs w:val="24"/>
        </w:rPr>
        <w:t xml:space="preserve"> prostredníctvom regenerácie sídiel.</w:t>
      </w:r>
      <w:r w:rsidR="00C816CE" w:rsidRPr="00E37F6E">
        <w:rPr>
          <w:szCs w:val="24"/>
        </w:rPr>
        <w:t xml:space="preserve"> </w:t>
      </w:r>
      <w:r w:rsidRPr="00E37F6E">
        <w:rPr>
          <w:szCs w:val="24"/>
        </w:rPr>
        <w:t xml:space="preserve">Cieľom písomného vyzvania bola energetická efektívnosť a komplexná </w:t>
      </w:r>
      <w:r w:rsidRPr="00E37F6E">
        <w:rPr>
          <w:szCs w:val="24"/>
        </w:rPr>
        <w:lastRenderedPageBreak/>
        <w:t>obnova bytových domov. Finančné prostriedky poskytnuté v rámci finančného nástroja JESSICA III bolo možné použiť iba v rámci oprávneného miesta realizácie, ktorým sú mestské oblasti na území všetkých samosprávnych krajov SR (okr</w:t>
      </w:r>
      <w:r w:rsidR="0019141F" w:rsidRPr="00E37F6E">
        <w:rPr>
          <w:szCs w:val="24"/>
        </w:rPr>
        <w:t xml:space="preserve">em Bratislavského samosprávneho </w:t>
      </w:r>
      <w:r w:rsidRPr="00E37F6E">
        <w:rPr>
          <w:szCs w:val="24"/>
        </w:rPr>
        <w:t>kraja)</w:t>
      </w:r>
      <w:r w:rsidR="00A64E53">
        <w:rPr>
          <w:szCs w:val="24"/>
        </w:rPr>
        <w:t>.</w:t>
      </w:r>
    </w:p>
    <w:p w:rsidR="002D59D6" w:rsidRPr="00961013" w:rsidRDefault="002F7D5A" w:rsidP="00961013">
      <w:pPr>
        <w:spacing w:after="60" w:line="320" w:lineRule="exact"/>
        <w:ind w:firstLine="0"/>
        <w:rPr>
          <w:i/>
          <w:szCs w:val="16"/>
        </w:rPr>
      </w:pPr>
      <w:r w:rsidRPr="00961013">
        <w:rPr>
          <w:i/>
          <w:szCs w:val="16"/>
        </w:rPr>
        <w:t>(</w:t>
      </w:r>
      <w:r w:rsidR="002D59D6" w:rsidRPr="00961013">
        <w:rPr>
          <w:i/>
          <w:szCs w:val="16"/>
        </w:rPr>
        <w:t>Za účelom implementácie finančného nástroja JESSICA v Slovenskej republike v programovom období 2007 – 2013 v súlade s článkom 44 nariadenia Rady (ES) č. 1083/2006 a v zmysle Zmluvy o financovaní, ktorá nadobudla účinnosť dňa 24. apríla 2013 a bola uzatvorená medzi MPRV SR a ŠFRB, ŠFRB vykonáva činnosť nástroja finančného inžinierstva</w:t>
      </w:r>
      <w:r w:rsidR="002D59D6" w:rsidRPr="00961013">
        <w:rPr>
          <w:rStyle w:val="Odkaznapoznmkupodiarou"/>
          <w:i/>
          <w:szCs w:val="16"/>
        </w:rPr>
        <w:footnoteReference w:id="2"/>
      </w:r>
      <w:r w:rsidR="002D59D6" w:rsidRPr="00961013">
        <w:rPr>
          <w:i/>
          <w:szCs w:val="16"/>
        </w:rPr>
        <w:t xml:space="preserve">, ktorý prijíma finančné prostriedky z alokácie ROP, a je zodpovedný za ich ďalšie poskytnutie oprávneným žiadateľom o podporu vo forme návratných dotácií (úverových produktov). V súlade s článkom 43 nariadenia Rady (ES) č. 1828/2006 je v rámci ŠFRB ustanovený osobitný finančný blok na účel energetickej efektívnosti a komplexnej obnovy bytových domov. </w:t>
      </w:r>
      <w:r w:rsidRPr="00961013">
        <w:rPr>
          <w:i/>
          <w:szCs w:val="16"/>
        </w:rPr>
        <w:t>)</w:t>
      </w:r>
    </w:p>
    <w:p w:rsidR="002853C1" w:rsidRPr="00E37F6E" w:rsidRDefault="002F7D5A" w:rsidP="00961013">
      <w:pPr>
        <w:spacing w:after="60" w:line="320" w:lineRule="exact"/>
        <w:rPr>
          <w:szCs w:val="24"/>
        </w:rPr>
      </w:pPr>
      <w:r w:rsidRPr="00E37F6E">
        <w:rPr>
          <w:szCs w:val="24"/>
        </w:rPr>
        <w:t>Finančná p</w:t>
      </w:r>
      <w:r w:rsidR="002853C1" w:rsidRPr="00E37F6E">
        <w:rPr>
          <w:szCs w:val="24"/>
        </w:rPr>
        <w:t>omoc je poskytovaná vo forme návratného finančného príspevku.</w:t>
      </w:r>
    </w:p>
    <w:p w:rsidR="002D59D6" w:rsidRPr="00E37F6E" w:rsidRDefault="002D59D6" w:rsidP="00961013">
      <w:pPr>
        <w:spacing w:after="60" w:line="320" w:lineRule="exact"/>
        <w:ind w:firstLine="697"/>
        <w:rPr>
          <w:szCs w:val="24"/>
        </w:rPr>
      </w:pPr>
      <w:r w:rsidRPr="00E37F6E">
        <w:rPr>
          <w:szCs w:val="24"/>
        </w:rPr>
        <w:t>Indikatívna výška finančných prostriedkov určených na písomné vyzvanie ROP-2015-JESSICA II</w:t>
      </w:r>
      <w:r w:rsidR="002853C1" w:rsidRPr="00E37F6E">
        <w:rPr>
          <w:szCs w:val="24"/>
        </w:rPr>
        <w:t>I bola celkovo 66 346 666</w:t>
      </w:r>
      <w:r w:rsidRPr="00E37F6E">
        <w:rPr>
          <w:szCs w:val="24"/>
        </w:rPr>
        <w:t xml:space="preserve"> €, z toho maximálny príspevok Európskeho f</w:t>
      </w:r>
      <w:r w:rsidR="002853C1" w:rsidRPr="00E37F6E">
        <w:rPr>
          <w:szCs w:val="24"/>
        </w:rPr>
        <w:t>ondu regionálneho rozvoja bol 56 394 661</w:t>
      </w:r>
      <w:r w:rsidRPr="00E37F6E">
        <w:rPr>
          <w:szCs w:val="24"/>
        </w:rPr>
        <w:t xml:space="preserve"> € (85 %).</w:t>
      </w:r>
    </w:p>
    <w:p w:rsidR="00446CBB" w:rsidRPr="00E37F6E" w:rsidRDefault="00446CBB" w:rsidP="00961013">
      <w:pPr>
        <w:spacing w:after="60" w:line="320" w:lineRule="exact"/>
        <w:rPr>
          <w:szCs w:val="24"/>
        </w:rPr>
      </w:pPr>
      <w:r w:rsidRPr="00E37F6E">
        <w:rPr>
          <w:szCs w:val="24"/>
        </w:rPr>
        <w:t>V</w:t>
      </w:r>
      <w:r w:rsidR="00C647FB" w:rsidRPr="00E37F6E">
        <w:rPr>
          <w:szCs w:val="24"/>
        </w:rPr>
        <w:t xml:space="preserve"> roku 2015 bolo v rámci ROP prijatých 1084</w:t>
      </w:r>
      <w:r w:rsidRPr="00E37F6E">
        <w:rPr>
          <w:szCs w:val="24"/>
        </w:rPr>
        <w:t xml:space="preserve"> žiadost</w:t>
      </w:r>
      <w:r w:rsidR="00C647FB" w:rsidRPr="00E37F6E">
        <w:rPr>
          <w:szCs w:val="24"/>
        </w:rPr>
        <w:t>í o platbu, schválených bolo 993</w:t>
      </w:r>
      <w:r w:rsidR="00021B18">
        <w:rPr>
          <w:szCs w:val="24"/>
        </w:rPr>
        <w:t> </w:t>
      </w:r>
      <w:r w:rsidRPr="00E37F6E">
        <w:rPr>
          <w:szCs w:val="24"/>
        </w:rPr>
        <w:t>žiadostí</w:t>
      </w:r>
      <w:r w:rsidR="00C647FB" w:rsidRPr="00E37F6E">
        <w:rPr>
          <w:szCs w:val="24"/>
        </w:rPr>
        <w:t>.</w:t>
      </w:r>
    </w:p>
    <w:p w:rsidR="002F4EF8" w:rsidRPr="00E37F6E" w:rsidRDefault="00CC52BA" w:rsidP="00961013">
      <w:pPr>
        <w:spacing w:after="60" w:line="320" w:lineRule="exact"/>
      </w:pPr>
      <w:r w:rsidRPr="00E37F6E">
        <w:t>K 31. decembru 2015</w:t>
      </w:r>
      <w:r w:rsidR="002F4EF8" w:rsidRPr="00E37F6E">
        <w:t xml:space="preserve"> bol na úrovni ROP – za všetky prioritné osi (7) – počet r</w:t>
      </w:r>
      <w:r w:rsidRPr="00E37F6E">
        <w:t>iadne ukončených projektov 1 932</w:t>
      </w:r>
      <w:r w:rsidR="002F4EF8" w:rsidRPr="00E37F6E">
        <w:t>, v hodnote čerpania</w:t>
      </w:r>
      <w:r w:rsidRPr="00E37F6E">
        <w:t xml:space="preserve"> prostriedkov 1 296 297 643,47</w:t>
      </w:r>
      <w:r w:rsidR="000C7CE5" w:rsidRPr="00E37F6E">
        <w:t xml:space="preserve"> </w:t>
      </w:r>
      <w:r w:rsidR="00565EDA" w:rsidRPr="00E37F6E">
        <w:t>€</w:t>
      </w:r>
      <w:r w:rsidR="002F4EF8" w:rsidRPr="00E37F6E">
        <w:t xml:space="preserve"> z ERDF.</w:t>
      </w:r>
    </w:p>
    <w:p w:rsidR="00AF71B3" w:rsidRPr="00E37F6E" w:rsidRDefault="00AF71B3" w:rsidP="00961013">
      <w:pPr>
        <w:spacing w:after="60" w:line="320" w:lineRule="exact"/>
        <w:rPr>
          <w:color w:val="auto"/>
        </w:rPr>
      </w:pPr>
      <w:r w:rsidRPr="00E37F6E">
        <w:rPr>
          <w:color w:val="auto"/>
          <w:szCs w:val="24"/>
        </w:rPr>
        <w:t>V období od 1.1</w:t>
      </w:r>
      <w:r w:rsidRPr="00E37F6E">
        <w:rPr>
          <w:color w:val="auto"/>
        </w:rPr>
        <w:t xml:space="preserve">.2007 do 31.12.2015  boli </w:t>
      </w:r>
      <w:r w:rsidRPr="00E37F6E">
        <w:rPr>
          <w:b/>
          <w:bCs/>
          <w:color w:val="auto"/>
        </w:rPr>
        <w:t xml:space="preserve">zo strany Platobnej jednotky uhradené žiadosti o platbu schválené v súhrnných  žiadostiach  o platbu </w:t>
      </w:r>
      <w:r w:rsidRPr="00E37F6E">
        <w:rPr>
          <w:color w:val="auto"/>
        </w:rPr>
        <w:t> za ROP v celkovej výške prostriedkov EÚ a ŠR na spolufinancovanie 1 588 560 922,43</w:t>
      </w:r>
      <w:r w:rsidRPr="00E37F6E">
        <w:rPr>
          <w:color w:val="auto"/>
          <w:sz w:val="20"/>
          <w:szCs w:val="20"/>
        </w:rPr>
        <w:t> </w:t>
      </w:r>
      <w:r w:rsidRPr="00E37F6E">
        <w:rPr>
          <w:color w:val="auto"/>
        </w:rPr>
        <w:t xml:space="preserve">€, z toho  zdroj EÚ vo výške  1 405 408 844,92 € a  zdroj ŠR  vo výške  183 152 077,51 € (viď nižšie uvedená tabuľka).  Tabuľka </w:t>
      </w:r>
      <w:r w:rsidRPr="00E37F6E">
        <w:rPr>
          <w:b/>
          <w:bCs/>
          <w:color w:val="auto"/>
        </w:rPr>
        <w:t>Čerpanie  finančných prostriedkov za obdobie 2007-2015 v €  (zdroje ERDF a</w:t>
      </w:r>
      <w:r w:rsidR="00CA4D0B">
        <w:rPr>
          <w:b/>
          <w:bCs/>
          <w:color w:val="auto"/>
        </w:rPr>
        <w:t> </w:t>
      </w:r>
      <w:r w:rsidRPr="00E37F6E">
        <w:rPr>
          <w:b/>
          <w:bCs/>
          <w:color w:val="auto"/>
        </w:rPr>
        <w:t>ŠR)</w:t>
      </w:r>
      <w:r w:rsidRPr="00E37F6E">
        <w:rPr>
          <w:color w:val="auto"/>
        </w:rPr>
        <w:t xml:space="preserve">  predstavuje sumu schválených súhrnných žiadost</w:t>
      </w:r>
      <w:r w:rsidR="00961013">
        <w:rPr>
          <w:color w:val="auto"/>
        </w:rPr>
        <w:t>í</w:t>
      </w:r>
      <w:r w:rsidRPr="00E37F6E">
        <w:rPr>
          <w:color w:val="auto"/>
        </w:rPr>
        <w:t xml:space="preserve"> o platbu  zo strany CO MF SR  zníženú o výšku vykázaných nezrovnalosti  k 31.12.2015.</w:t>
      </w:r>
    </w:p>
    <w:p w:rsidR="00AF71B3" w:rsidRDefault="00AF71B3" w:rsidP="00961013">
      <w:pPr>
        <w:spacing w:after="60" w:line="320" w:lineRule="exact"/>
        <w:rPr>
          <w:color w:val="auto"/>
        </w:rPr>
      </w:pPr>
      <w:r w:rsidRPr="00E37F6E">
        <w:rPr>
          <w:color w:val="auto"/>
        </w:rPr>
        <w:t xml:space="preserve">Okrem  úhrad formou refundácie boli poskytnuté prijímateľom aj žiadosti o platbu formou predfinancovania. K 31.12.2015 eviduje platobná jednotka za ROP a OP BK  uhradené a nezúčtované žiadosti o platbu formou predfinancovania v celkovej výške 37 384 424,70 </w:t>
      </w:r>
      <w:r w:rsidR="00961013">
        <w:rPr>
          <w:color w:val="auto"/>
        </w:rPr>
        <w:t>€</w:t>
      </w:r>
      <w:r w:rsidRPr="00E37F6E">
        <w:rPr>
          <w:color w:val="auto"/>
        </w:rPr>
        <w:t xml:space="preserve">,  z toho zdroj  ERDF vo výške 32 870 291,25 </w:t>
      </w:r>
      <w:r w:rsidR="00A60E71">
        <w:rPr>
          <w:color w:val="auto"/>
        </w:rPr>
        <w:t>€</w:t>
      </w:r>
      <w:r w:rsidR="00961013">
        <w:rPr>
          <w:color w:val="auto"/>
        </w:rPr>
        <w:t xml:space="preserve"> </w:t>
      </w:r>
      <w:r w:rsidRPr="00E37F6E">
        <w:rPr>
          <w:color w:val="auto"/>
        </w:rPr>
        <w:t xml:space="preserve">a zdroj  spolufinancovanie vo výške   4 514 133,45 </w:t>
      </w:r>
      <w:r w:rsidR="00CA4D0B">
        <w:rPr>
          <w:color w:val="auto"/>
        </w:rPr>
        <w:t>€.</w:t>
      </w:r>
      <w:r w:rsidRPr="00E37F6E">
        <w:rPr>
          <w:color w:val="auto"/>
        </w:rPr>
        <w:t xml:space="preserve"> Z uvedenej sumy  predstavuje  výška nezúčtovaných žiadosti o platbu formou  predfinancovania za  ROP   spolu  37 184 742,85 </w:t>
      </w:r>
      <w:r w:rsidR="00A60E71">
        <w:rPr>
          <w:color w:val="auto"/>
        </w:rPr>
        <w:t>€</w:t>
      </w:r>
      <w:r w:rsidRPr="00E37F6E">
        <w:rPr>
          <w:color w:val="auto"/>
        </w:rPr>
        <w:t> (ERDF: 32 691 628,55,  ŠR:</w:t>
      </w:r>
      <w:r w:rsidR="00961013">
        <w:rPr>
          <w:color w:val="auto"/>
        </w:rPr>
        <w:t> </w:t>
      </w:r>
      <w:r w:rsidRPr="00E37F6E">
        <w:rPr>
          <w:color w:val="auto"/>
        </w:rPr>
        <w:t xml:space="preserve">4 493 114,30 </w:t>
      </w:r>
      <w:r w:rsidR="00A60E71">
        <w:rPr>
          <w:color w:val="auto"/>
        </w:rPr>
        <w:t>€</w:t>
      </w:r>
      <w:r w:rsidRPr="00E37F6E">
        <w:rPr>
          <w:color w:val="auto"/>
        </w:rPr>
        <w:t>) .</w:t>
      </w:r>
    </w:p>
    <w:p w:rsidR="00961013" w:rsidRDefault="00961013" w:rsidP="00961013">
      <w:pPr>
        <w:spacing w:after="60" w:line="320" w:lineRule="exact"/>
        <w:rPr>
          <w:color w:val="auto"/>
        </w:rPr>
      </w:pPr>
    </w:p>
    <w:p w:rsidR="00961013" w:rsidRDefault="00961013" w:rsidP="00961013">
      <w:pPr>
        <w:spacing w:after="60" w:line="320" w:lineRule="exact"/>
        <w:rPr>
          <w:color w:val="auto"/>
        </w:rPr>
      </w:pPr>
    </w:p>
    <w:p w:rsidR="00961013" w:rsidRDefault="00961013" w:rsidP="00961013">
      <w:pPr>
        <w:spacing w:after="60" w:line="320" w:lineRule="exact"/>
        <w:rPr>
          <w:color w:val="auto"/>
        </w:rPr>
      </w:pPr>
    </w:p>
    <w:p w:rsidR="00961013" w:rsidRDefault="00961013" w:rsidP="00961013">
      <w:pPr>
        <w:spacing w:after="60" w:line="320" w:lineRule="exact"/>
        <w:rPr>
          <w:color w:val="auto"/>
        </w:rPr>
      </w:pPr>
    </w:p>
    <w:p w:rsidR="00BD5CDA" w:rsidRPr="00E37F6E" w:rsidRDefault="00BD5CDA" w:rsidP="00021B18">
      <w:pPr>
        <w:spacing w:after="40" w:line="320" w:lineRule="exact"/>
        <w:ind w:left="-5" w:right="0" w:hanging="10"/>
        <w:jc w:val="left"/>
      </w:pPr>
      <w:r w:rsidRPr="00E37F6E">
        <w:rPr>
          <w:b/>
        </w:rPr>
        <w:lastRenderedPageBreak/>
        <w:t>Čerpanie fin</w:t>
      </w:r>
      <w:r w:rsidR="00605D4F" w:rsidRPr="00E37F6E">
        <w:rPr>
          <w:b/>
        </w:rPr>
        <w:t>ančných prostriedkov za obdobie 2007-</w:t>
      </w:r>
      <w:r w:rsidR="003D33C5" w:rsidRPr="00E37F6E">
        <w:rPr>
          <w:b/>
        </w:rPr>
        <w:t>2014</w:t>
      </w:r>
      <w:r w:rsidRPr="00E37F6E">
        <w:rPr>
          <w:b/>
        </w:rPr>
        <w:t xml:space="preserve"> v € (zdroje ERDF a ŠR)</w:t>
      </w:r>
      <w:r w:rsidRPr="00E37F6E">
        <w:t xml:space="preserve"> </w:t>
      </w:r>
    </w:p>
    <w:p w:rsidR="00BD5CDA" w:rsidRPr="00E37F6E" w:rsidRDefault="00302357" w:rsidP="00021B18">
      <w:pPr>
        <w:spacing w:after="40" w:line="320" w:lineRule="exact"/>
        <w:ind w:right="235" w:firstLine="0"/>
        <w:jc w:val="right"/>
      </w:pPr>
      <w:r w:rsidRPr="00E37F6E">
        <w:rPr>
          <w:sz w:val="20"/>
        </w:rPr>
        <w:t>Tabuľka 1</w:t>
      </w:r>
      <w:r w:rsidR="00BD5CDA" w:rsidRPr="00E37F6E">
        <w:rPr>
          <w:sz w:val="20"/>
        </w:rPr>
        <w:t xml:space="preserve"> </w:t>
      </w:r>
    </w:p>
    <w:tbl>
      <w:tblPr>
        <w:tblStyle w:val="TableGrid"/>
        <w:tblW w:w="914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 w:type="dxa"/>
          <w:left w:w="106" w:type="dxa"/>
          <w:right w:w="49" w:type="dxa"/>
        </w:tblCellMar>
        <w:tblLook w:val="04A0" w:firstRow="1" w:lastRow="0" w:firstColumn="1" w:lastColumn="0" w:noHBand="0" w:noVBand="1"/>
      </w:tblPr>
      <w:tblGrid>
        <w:gridCol w:w="3314"/>
        <w:gridCol w:w="2001"/>
        <w:gridCol w:w="1843"/>
        <w:gridCol w:w="1985"/>
      </w:tblGrid>
      <w:tr w:rsidR="00BD5CDA" w:rsidRPr="00E37F6E" w:rsidTr="00E54DD2">
        <w:trPr>
          <w:trHeight w:val="777"/>
        </w:trPr>
        <w:tc>
          <w:tcPr>
            <w:tcW w:w="3314" w:type="dxa"/>
            <w:tcBorders>
              <w:bottom w:val="single" w:sz="8" w:space="0" w:color="auto"/>
            </w:tcBorders>
            <w:shd w:val="clear" w:color="auto" w:fill="C2D69B"/>
            <w:vAlign w:val="center"/>
          </w:tcPr>
          <w:p w:rsidR="00BD5CDA" w:rsidRPr="00E37F6E" w:rsidRDefault="00BD5CDA" w:rsidP="00021B18">
            <w:pPr>
              <w:spacing w:after="40" w:line="320" w:lineRule="exact"/>
              <w:ind w:right="0" w:firstLine="0"/>
              <w:jc w:val="left"/>
              <w:rPr>
                <w:lang w:val="sk-SK"/>
              </w:rPr>
            </w:pPr>
            <w:r w:rsidRPr="00E37F6E">
              <w:rPr>
                <w:b/>
                <w:lang w:val="sk-SK"/>
              </w:rPr>
              <w:t xml:space="preserve">Programový dokument </w:t>
            </w:r>
          </w:p>
        </w:tc>
        <w:tc>
          <w:tcPr>
            <w:tcW w:w="2001" w:type="dxa"/>
            <w:tcBorders>
              <w:bottom w:val="single" w:sz="8" w:space="0" w:color="auto"/>
            </w:tcBorders>
            <w:shd w:val="clear" w:color="auto" w:fill="C2D69B"/>
            <w:vAlign w:val="center"/>
          </w:tcPr>
          <w:p w:rsidR="00BD5CDA" w:rsidRPr="00E37F6E" w:rsidRDefault="00BD5CDA" w:rsidP="00021B18">
            <w:pPr>
              <w:spacing w:after="40" w:line="320" w:lineRule="exact"/>
              <w:ind w:right="60" w:firstLine="0"/>
              <w:jc w:val="center"/>
              <w:rPr>
                <w:lang w:val="sk-SK"/>
              </w:rPr>
            </w:pPr>
            <w:r w:rsidRPr="00E37F6E">
              <w:rPr>
                <w:b/>
                <w:lang w:val="sk-SK"/>
              </w:rPr>
              <w:t>ERDF</w:t>
            </w:r>
          </w:p>
        </w:tc>
        <w:tc>
          <w:tcPr>
            <w:tcW w:w="1843" w:type="dxa"/>
            <w:tcBorders>
              <w:bottom w:val="single" w:sz="8" w:space="0" w:color="auto"/>
            </w:tcBorders>
            <w:shd w:val="clear" w:color="auto" w:fill="C2D69B"/>
            <w:vAlign w:val="center"/>
          </w:tcPr>
          <w:p w:rsidR="00BD5CDA" w:rsidRPr="00E37F6E" w:rsidRDefault="00BD5CDA" w:rsidP="00021B18">
            <w:pPr>
              <w:spacing w:after="40" w:line="320" w:lineRule="exact"/>
              <w:ind w:right="56" w:firstLine="0"/>
              <w:jc w:val="center"/>
              <w:rPr>
                <w:lang w:val="sk-SK"/>
              </w:rPr>
            </w:pPr>
            <w:r w:rsidRPr="00E37F6E">
              <w:rPr>
                <w:b/>
                <w:lang w:val="sk-SK"/>
              </w:rPr>
              <w:t xml:space="preserve">ŠR </w:t>
            </w:r>
          </w:p>
        </w:tc>
        <w:tc>
          <w:tcPr>
            <w:tcW w:w="1985" w:type="dxa"/>
            <w:tcBorders>
              <w:bottom w:val="single" w:sz="8" w:space="0" w:color="auto"/>
            </w:tcBorders>
            <w:shd w:val="clear" w:color="auto" w:fill="C2D69B"/>
          </w:tcPr>
          <w:p w:rsidR="00BD5CDA" w:rsidRPr="00E37F6E" w:rsidRDefault="00BD5CDA" w:rsidP="00021B18">
            <w:pPr>
              <w:spacing w:after="40" w:line="320" w:lineRule="exact"/>
              <w:ind w:right="0" w:firstLine="0"/>
              <w:jc w:val="center"/>
              <w:rPr>
                <w:lang w:val="sk-SK"/>
              </w:rPr>
            </w:pPr>
            <w:r w:rsidRPr="00E37F6E">
              <w:rPr>
                <w:b/>
                <w:lang w:val="sk-SK"/>
              </w:rPr>
              <w:t xml:space="preserve">Spolu Nenávratný finančný príspevok </w:t>
            </w:r>
          </w:p>
          <w:p w:rsidR="00BD5CDA" w:rsidRPr="00E37F6E" w:rsidRDefault="00BD5CDA" w:rsidP="00021B18">
            <w:pPr>
              <w:spacing w:after="40" w:line="320" w:lineRule="exact"/>
              <w:ind w:right="53" w:firstLine="0"/>
              <w:jc w:val="center"/>
              <w:rPr>
                <w:lang w:val="sk-SK"/>
              </w:rPr>
            </w:pPr>
            <w:r w:rsidRPr="00E37F6E">
              <w:rPr>
                <w:b/>
                <w:lang w:val="sk-SK"/>
              </w:rPr>
              <w:t xml:space="preserve">(ERDF+ŠR) </w:t>
            </w:r>
          </w:p>
        </w:tc>
      </w:tr>
      <w:tr w:rsidR="00BD5CDA" w:rsidRPr="00E37F6E" w:rsidTr="00E54DD2">
        <w:trPr>
          <w:trHeight w:val="318"/>
        </w:trPr>
        <w:tc>
          <w:tcPr>
            <w:tcW w:w="3314" w:type="dxa"/>
            <w:shd w:val="clear" w:color="auto" w:fill="FFFFFF" w:themeFill="background1"/>
          </w:tcPr>
          <w:p w:rsidR="00BD5CDA" w:rsidRPr="00E37F6E" w:rsidRDefault="00BD5CDA" w:rsidP="00021B18">
            <w:pPr>
              <w:spacing w:after="40" w:line="320" w:lineRule="exact"/>
              <w:ind w:right="0" w:firstLine="0"/>
              <w:jc w:val="left"/>
              <w:rPr>
                <w:lang w:val="sk-SK"/>
              </w:rPr>
            </w:pPr>
            <w:r w:rsidRPr="00E37F6E">
              <w:rPr>
                <w:lang w:val="sk-SK"/>
              </w:rPr>
              <w:t xml:space="preserve">Regionálny operačný program </w:t>
            </w:r>
          </w:p>
        </w:tc>
        <w:tc>
          <w:tcPr>
            <w:tcW w:w="2001" w:type="dxa"/>
            <w:shd w:val="clear" w:color="auto" w:fill="FFFFFF" w:themeFill="background1"/>
            <w:vAlign w:val="center"/>
          </w:tcPr>
          <w:p w:rsidR="00BD5CDA" w:rsidRPr="00E37F6E" w:rsidRDefault="00C647FB" w:rsidP="00021B18">
            <w:pPr>
              <w:spacing w:after="40" w:line="320" w:lineRule="exact"/>
              <w:ind w:right="56" w:firstLine="0"/>
              <w:jc w:val="right"/>
              <w:rPr>
                <w:lang w:val="sk-SK"/>
              </w:rPr>
            </w:pPr>
            <w:r w:rsidRPr="00E37F6E">
              <w:rPr>
                <w:lang w:val="sk-SK"/>
              </w:rPr>
              <w:t>1 405 408 844,92</w:t>
            </w:r>
            <w:r w:rsidR="00BD5CDA" w:rsidRPr="00E37F6E">
              <w:rPr>
                <w:lang w:val="sk-SK"/>
              </w:rPr>
              <w:t xml:space="preserve"> </w:t>
            </w:r>
          </w:p>
        </w:tc>
        <w:tc>
          <w:tcPr>
            <w:tcW w:w="1843" w:type="dxa"/>
            <w:shd w:val="clear" w:color="auto" w:fill="FFFFFF" w:themeFill="background1"/>
            <w:vAlign w:val="center"/>
          </w:tcPr>
          <w:p w:rsidR="00BD5CDA" w:rsidRPr="00E37F6E" w:rsidRDefault="00C647FB" w:rsidP="00021B18">
            <w:pPr>
              <w:spacing w:after="40" w:line="320" w:lineRule="exact"/>
              <w:ind w:left="78" w:right="0" w:firstLine="0"/>
              <w:jc w:val="right"/>
              <w:rPr>
                <w:lang w:val="sk-SK"/>
              </w:rPr>
            </w:pPr>
            <w:r w:rsidRPr="00E37F6E">
              <w:rPr>
                <w:lang w:val="sk-SK"/>
              </w:rPr>
              <w:t>183 152 077,51</w:t>
            </w:r>
            <w:r w:rsidR="00BD5CDA" w:rsidRPr="00E37F6E">
              <w:rPr>
                <w:lang w:val="sk-SK"/>
              </w:rPr>
              <w:t xml:space="preserve"> </w:t>
            </w:r>
          </w:p>
        </w:tc>
        <w:tc>
          <w:tcPr>
            <w:tcW w:w="1985" w:type="dxa"/>
            <w:shd w:val="clear" w:color="auto" w:fill="FFFFFF" w:themeFill="background1"/>
            <w:vAlign w:val="center"/>
          </w:tcPr>
          <w:p w:rsidR="00BD5CDA" w:rsidRPr="00E37F6E" w:rsidRDefault="00C647FB" w:rsidP="00021B18">
            <w:pPr>
              <w:spacing w:after="40" w:line="320" w:lineRule="exact"/>
              <w:ind w:right="53" w:firstLine="0"/>
              <w:jc w:val="right"/>
              <w:rPr>
                <w:lang w:val="sk-SK"/>
              </w:rPr>
            </w:pPr>
            <w:r w:rsidRPr="00E37F6E">
              <w:rPr>
                <w:lang w:val="sk-SK"/>
              </w:rPr>
              <w:t>1 588 560 922,43</w:t>
            </w:r>
            <w:r w:rsidR="00BD5CDA" w:rsidRPr="00E37F6E">
              <w:rPr>
                <w:lang w:val="sk-SK"/>
              </w:rPr>
              <w:t xml:space="preserve"> </w:t>
            </w:r>
          </w:p>
        </w:tc>
      </w:tr>
      <w:tr w:rsidR="00BD5CDA" w:rsidRPr="00E37F6E" w:rsidTr="00E54DD2">
        <w:trPr>
          <w:trHeight w:val="530"/>
        </w:trPr>
        <w:tc>
          <w:tcPr>
            <w:tcW w:w="3314" w:type="dxa"/>
            <w:shd w:val="clear" w:color="auto" w:fill="FFFFFF" w:themeFill="background1"/>
          </w:tcPr>
          <w:p w:rsidR="00BD5CDA" w:rsidRPr="00E37F6E" w:rsidRDefault="00BD5CDA" w:rsidP="00021B18">
            <w:pPr>
              <w:spacing w:after="40" w:line="320" w:lineRule="exact"/>
              <w:ind w:right="0" w:firstLine="0"/>
              <w:jc w:val="left"/>
              <w:rPr>
                <w:lang w:val="sk-SK"/>
              </w:rPr>
            </w:pPr>
            <w:r w:rsidRPr="00E37F6E">
              <w:rPr>
                <w:lang w:val="sk-SK"/>
              </w:rPr>
              <w:t xml:space="preserve">Operačný program Bratislavský kraj  </w:t>
            </w:r>
          </w:p>
        </w:tc>
        <w:tc>
          <w:tcPr>
            <w:tcW w:w="2001" w:type="dxa"/>
            <w:shd w:val="clear" w:color="auto" w:fill="FFFFFF" w:themeFill="background1"/>
            <w:vAlign w:val="center"/>
          </w:tcPr>
          <w:p w:rsidR="00BD5CDA" w:rsidRPr="00E37F6E" w:rsidRDefault="00E54DD2" w:rsidP="00021B18">
            <w:pPr>
              <w:spacing w:after="40" w:line="320" w:lineRule="exact"/>
              <w:ind w:right="55" w:firstLine="0"/>
              <w:jc w:val="right"/>
              <w:rPr>
                <w:lang w:val="sk-SK"/>
              </w:rPr>
            </w:pPr>
            <w:r w:rsidRPr="00E37F6E">
              <w:rPr>
                <w:lang w:val="sk-SK"/>
              </w:rPr>
              <w:t>92 567860</w:t>
            </w:r>
          </w:p>
        </w:tc>
        <w:tc>
          <w:tcPr>
            <w:tcW w:w="1843" w:type="dxa"/>
            <w:shd w:val="clear" w:color="auto" w:fill="FFFFFF" w:themeFill="background1"/>
            <w:vAlign w:val="center"/>
          </w:tcPr>
          <w:p w:rsidR="00BD5CDA" w:rsidRPr="00E37F6E" w:rsidRDefault="00E54DD2" w:rsidP="00021B18">
            <w:pPr>
              <w:spacing w:after="40" w:line="320" w:lineRule="exact"/>
              <w:ind w:right="56" w:firstLine="0"/>
              <w:jc w:val="right"/>
              <w:rPr>
                <w:lang w:val="sk-SK"/>
              </w:rPr>
            </w:pPr>
            <w:r w:rsidRPr="00E37F6E">
              <w:rPr>
                <w:lang w:val="sk-SK"/>
              </w:rPr>
              <w:t>13 878 608,66</w:t>
            </w:r>
          </w:p>
        </w:tc>
        <w:tc>
          <w:tcPr>
            <w:tcW w:w="1985" w:type="dxa"/>
            <w:shd w:val="clear" w:color="auto" w:fill="FFFFFF" w:themeFill="background1"/>
            <w:vAlign w:val="center"/>
          </w:tcPr>
          <w:p w:rsidR="00BD5CDA" w:rsidRPr="00E37F6E" w:rsidRDefault="00E54DD2" w:rsidP="00021B18">
            <w:pPr>
              <w:spacing w:after="40" w:line="320" w:lineRule="exact"/>
              <w:ind w:right="53" w:firstLine="0"/>
              <w:jc w:val="right"/>
              <w:rPr>
                <w:lang w:val="sk-SK"/>
              </w:rPr>
            </w:pPr>
            <w:r w:rsidRPr="00E37F6E">
              <w:rPr>
                <w:lang w:val="sk-SK"/>
              </w:rPr>
              <w:t>106 446 468,66</w:t>
            </w:r>
          </w:p>
        </w:tc>
      </w:tr>
      <w:tr w:rsidR="00BD5CDA" w:rsidRPr="00E37F6E" w:rsidTr="00E54DD2">
        <w:trPr>
          <w:trHeight w:val="314"/>
        </w:trPr>
        <w:tc>
          <w:tcPr>
            <w:tcW w:w="3314" w:type="dxa"/>
            <w:shd w:val="clear" w:color="auto" w:fill="FFFFFF" w:themeFill="background1"/>
          </w:tcPr>
          <w:p w:rsidR="00BD5CDA" w:rsidRPr="00E37F6E" w:rsidRDefault="00BD5CDA" w:rsidP="00021B18">
            <w:pPr>
              <w:spacing w:after="40" w:line="320" w:lineRule="exact"/>
              <w:ind w:right="0" w:firstLine="0"/>
              <w:jc w:val="left"/>
              <w:rPr>
                <w:lang w:val="sk-SK"/>
              </w:rPr>
            </w:pPr>
            <w:r w:rsidRPr="00E37F6E">
              <w:rPr>
                <w:lang w:val="sk-SK"/>
              </w:rPr>
              <w:t xml:space="preserve">Cezhraničná spolupráca ČR-SR </w:t>
            </w:r>
          </w:p>
        </w:tc>
        <w:tc>
          <w:tcPr>
            <w:tcW w:w="2001" w:type="dxa"/>
            <w:shd w:val="clear" w:color="auto" w:fill="FFFFFF" w:themeFill="background1"/>
            <w:vAlign w:val="center"/>
          </w:tcPr>
          <w:p w:rsidR="00BD5CDA" w:rsidRPr="00E37F6E" w:rsidRDefault="00BD5CDA" w:rsidP="00021B18">
            <w:pPr>
              <w:spacing w:after="40" w:line="320" w:lineRule="exact"/>
              <w:ind w:right="55" w:firstLine="0"/>
              <w:jc w:val="right"/>
              <w:rPr>
                <w:lang w:val="sk-SK"/>
              </w:rPr>
            </w:pPr>
          </w:p>
        </w:tc>
        <w:tc>
          <w:tcPr>
            <w:tcW w:w="1843" w:type="dxa"/>
            <w:shd w:val="clear" w:color="auto" w:fill="FFFFFF" w:themeFill="background1"/>
            <w:vAlign w:val="center"/>
          </w:tcPr>
          <w:p w:rsidR="00BD5CDA" w:rsidRPr="00E37F6E" w:rsidRDefault="00E54DD2" w:rsidP="00021B18">
            <w:pPr>
              <w:spacing w:after="40" w:line="320" w:lineRule="exact"/>
              <w:ind w:right="56" w:firstLine="0"/>
              <w:jc w:val="right"/>
              <w:rPr>
                <w:lang w:val="sk-SK"/>
              </w:rPr>
            </w:pPr>
            <w:r w:rsidRPr="00E37F6E">
              <w:rPr>
                <w:lang w:val="sk-SK"/>
              </w:rPr>
              <w:t>5 120 222,01</w:t>
            </w:r>
          </w:p>
        </w:tc>
        <w:tc>
          <w:tcPr>
            <w:tcW w:w="1985" w:type="dxa"/>
            <w:shd w:val="clear" w:color="auto" w:fill="FFFFFF" w:themeFill="background1"/>
            <w:vAlign w:val="center"/>
          </w:tcPr>
          <w:p w:rsidR="00BD5CDA" w:rsidRPr="00E37F6E" w:rsidRDefault="00E54DD2" w:rsidP="00021B18">
            <w:pPr>
              <w:spacing w:after="40" w:line="320" w:lineRule="exact"/>
              <w:ind w:right="53" w:firstLine="0"/>
              <w:jc w:val="right"/>
              <w:rPr>
                <w:lang w:val="sk-SK"/>
              </w:rPr>
            </w:pPr>
            <w:r w:rsidRPr="00E37F6E">
              <w:rPr>
                <w:lang w:val="sk-SK"/>
              </w:rPr>
              <w:t>5 120 222,01</w:t>
            </w:r>
          </w:p>
        </w:tc>
      </w:tr>
      <w:tr w:rsidR="00BD5CDA" w:rsidRPr="00E37F6E" w:rsidTr="00E54DD2">
        <w:trPr>
          <w:trHeight w:val="341"/>
        </w:trPr>
        <w:tc>
          <w:tcPr>
            <w:tcW w:w="3314" w:type="dxa"/>
            <w:shd w:val="clear" w:color="auto" w:fill="FFFFFF" w:themeFill="background1"/>
          </w:tcPr>
          <w:p w:rsidR="00BD5CDA" w:rsidRPr="00E37F6E" w:rsidRDefault="00BD5CDA" w:rsidP="00961013">
            <w:pPr>
              <w:spacing w:after="40" w:line="320" w:lineRule="exact"/>
              <w:ind w:right="0" w:firstLine="0"/>
              <w:jc w:val="left"/>
              <w:rPr>
                <w:lang w:val="sk-SK"/>
              </w:rPr>
            </w:pPr>
            <w:r w:rsidRPr="00E37F6E">
              <w:rPr>
                <w:lang w:val="sk-SK"/>
              </w:rPr>
              <w:t xml:space="preserve">OP Cezhraničnej spolupráce </w:t>
            </w:r>
          </w:p>
        </w:tc>
        <w:tc>
          <w:tcPr>
            <w:tcW w:w="2001" w:type="dxa"/>
            <w:shd w:val="clear" w:color="auto" w:fill="FFFFFF" w:themeFill="background1"/>
            <w:vAlign w:val="center"/>
          </w:tcPr>
          <w:p w:rsidR="00BD5CDA" w:rsidRPr="00E37F6E" w:rsidRDefault="00BD5CDA" w:rsidP="00021B18">
            <w:pPr>
              <w:spacing w:after="40" w:line="320" w:lineRule="exact"/>
              <w:ind w:right="55" w:firstLine="0"/>
              <w:jc w:val="right"/>
              <w:rPr>
                <w:lang w:val="sk-SK"/>
              </w:rPr>
            </w:pPr>
          </w:p>
        </w:tc>
        <w:tc>
          <w:tcPr>
            <w:tcW w:w="1843" w:type="dxa"/>
            <w:shd w:val="clear" w:color="auto" w:fill="FFFFFF" w:themeFill="background1"/>
            <w:vAlign w:val="center"/>
          </w:tcPr>
          <w:p w:rsidR="00BD5CDA" w:rsidRPr="00E37F6E" w:rsidRDefault="00E54DD2" w:rsidP="00021B18">
            <w:pPr>
              <w:spacing w:after="40" w:line="320" w:lineRule="exact"/>
              <w:ind w:right="56" w:firstLine="0"/>
              <w:jc w:val="right"/>
              <w:rPr>
                <w:lang w:val="sk-SK"/>
              </w:rPr>
            </w:pPr>
            <w:r w:rsidRPr="00E37F6E">
              <w:rPr>
                <w:lang w:val="sk-SK"/>
              </w:rPr>
              <w:t>21 273 314,05</w:t>
            </w:r>
          </w:p>
        </w:tc>
        <w:tc>
          <w:tcPr>
            <w:tcW w:w="1985" w:type="dxa"/>
            <w:shd w:val="clear" w:color="auto" w:fill="FFFFFF" w:themeFill="background1"/>
            <w:vAlign w:val="center"/>
          </w:tcPr>
          <w:p w:rsidR="00BD5CDA" w:rsidRPr="00E37F6E" w:rsidRDefault="00E54DD2" w:rsidP="00021B18">
            <w:pPr>
              <w:spacing w:after="40" w:line="320" w:lineRule="exact"/>
              <w:ind w:right="53" w:firstLine="0"/>
              <w:jc w:val="right"/>
              <w:rPr>
                <w:lang w:val="sk-SK"/>
              </w:rPr>
            </w:pPr>
            <w:r w:rsidRPr="00E37F6E">
              <w:rPr>
                <w:lang w:val="sk-SK"/>
              </w:rPr>
              <w:t>21 273 314,05</w:t>
            </w:r>
          </w:p>
        </w:tc>
      </w:tr>
      <w:tr w:rsidR="00BD5CDA" w:rsidRPr="00E37F6E" w:rsidTr="00E54DD2">
        <w:trPr>
          <w:trHeight w:val="330"/>
        </w:trPr>
        <w:tc>
          <w:tcPr>
            <w:tcW w:w="3314" w:type="dxa"/>
            <w:shd w:val="clear" w:color="auto" w:fill="FFFFFF" w:themeFill="background1"/>
          </w:tcPr>
          <w:p w:rsidR="00BD5CDA" w:rsidRPr="00E37F6E" w:rsidRDefault="00BD5CDA" w:rsidP="00021B18">
            <w:pPr>
              <w:spacing w:after="40" w:line="320" w:lineRule="exact"/>
              <w:ind w:right="0" w:firstLine="0"/>
              <w:jc w:val="left"/>
              <w:rPr>
                <w:lang w:val="sk-SK"/>
              </w:rPr>
            </w:pPr>
            <w:r w:rsidRPr="00E37F6E">
              <w:rPr>
                <w:b/>
                <w:lang w:val="sk-SK"/>
              </w:rPr>
              <w:t xml:space="preserve">Spolu </w:t>
            </w:r>
          </w:p>
        </w:tc>
        <w:tc>
          <w:tcPr>
            <w:tcW w:w="2001" w:type="dxa"/>
            <w:shd w:val="clear" w:color="auto" w:fill="FFFFFF" w:themeFill="background1"/>
            <w:vAlign w:val="center"/>
          </w:tcPr>
          <w:p w:rsidR="00BD5CDA" w:rsidRPr="00E37F6E" w:rsidRDefault="00E54DD2" w:rsidP="00021B18">
            <w:pPr>
              <w:spacing w:after="40" w:line="320" w:lineRule="exact"/>
              <w:ind w:right="55" w:firstLine="0"/>
              <w:jc w:val="right"/>
              <w:rPr>
                <w:lang w:val="sk-SK"/>
              </w:rPr>
            </w:pPr>
            <w:r w:rsidRPr="00E37F6E">
              <w:rPr>
                <w:lang w:val="sk-SK"/>
              </w:rPr>
              <w:t>1 497 976 704,92</w:t>
            </w:r>
          </w:p>
        </w:tc>
        <w:tc>
          <w:tcPr>
            <w:tcW w:w="1843" w:type="dxa"/>
            <w:shd w:val="clear" w:color="auto" w:fill="FFFFFF" w:themeFill="background1"/>
            <w:vAlign w:val="center"/>
          </w:tcPr>
          <w:p w:rsidR="00BD5CDA" w:rsidRPr="00E37F6E" w:rsidRDefault="00E54DD2" w:rsidP="00021B18">
            <w:pPr>
              <w:spacing w:after="40" w:line="320" w:lineRule="exact"/>
              <w:ind w:left="78" w:right="0" w:firstLine="0"/>
              <w:jc w:val="right"/>
              <w:rPr>
                <w:lang w:val="sk-SK"/>
              </w:rPr>
            </w:pPr>
            <w:r w:rsidRPr="00E37F6E">
              <w:rPr>
                <w:lang w:val="sk-SK"/>
              </w:rPr>
              <w:t>223 424  222,23</w:t>
            </w:r>
          </w:p>
        </w:tc>
        <w:tc>
          <w:tcPr>
            <w:tcW w:w="1985" w:type="dxa"/>
            <w:shd w:val="clear" w:color="auto" w:fill="FFFFFF" w:themeFill="background1"/>
            <w:vAlign w:val="center"/>
          </w:tcPr>
          <w:p w:rsidR="00BD5CDA" w:rsidRPr="00E37F6E" w:rsidRDefault="00E54DD2" w:rsidP="00021B18">
            <w:pPr>
              <w:spacing w:after="40" w:line="320" w:lineRule="exact"/>
              <w:ind w:right="53" w:firstLine="0"/>
              <w:jc w:val="right"/>
              <w:rPr>
                <w:lang w:val="sk-SK"/>
              </w:rPr>
            </w:pPr>
            <w:r w:rsidRPr="00E37F6E">
              <w:rPr>
                <w:lang w:val="sk-SK"/>
              </w:rPr>
              <w:t>1 721 400 927,15</w:t>
            </w:r>
          </w:p>
        </w:tc>
      </w:tr>
    </w:tbl>
    <w:p w:rsidR="00BD5CDA" w:rsidRPr="00E37F6E" w:rsidRDefault="00BD5CDA" w:rsidP="00021B18">
      <w:pPr>
        <w:spacing w:after="40" w:line="320" w:lineRule="exact"/>
        <w:ind w:left="-5" w:right="0" w:hanging="10"/>
      </w:pPr>
      <w:r w:rsidRPr="00E37F6E">
        <w:rPr>
          <w:sz w:val="20"/>
        </w:rPr>
        <w:t xml:space="preserve">Prameň: </w:t>
      </w:r>
      <w:r w:rsidR="0079491A" w:rsidRPr="00E37F6E">
        <w:rPr>
          <w:sz w:val="20"/>
        </w:rPr>
        <w:t>MPRV SR</w:t>
      </w:r>
    </w:p>
    <w:tbl>
      <w:tblPr>
        <w:tblW w:w="9545" w:type="dxa"/>
        <w:tblInd w:w="-78" w:type="dxa"/>
        <w:tblLayout w:type="fixed"/>
        <w:tblCellMar>
          <w:left w:w="0" w:type="dxa"/>
          <w:right w:w="0" w:type="dxa"/>
        </w:tblCellMar>
        <w:tblLook w:val="0000" w:firstRow="0" w:lastRow="0" w:firstColumn="0" w:lastColumn="0" w:noHBand="0" w:noVBand="0"/>
      </w:tblPr>
      <w:tblGrid>
        <w:gridCol w:w="9545"/>
      </w:tblGrid>
      <w:tr w:rsidR="00B666E1" w:rsidRPr="00E37F6E" w:rsidTr="00A60E71">
        <w:trPr>
          <w:trHeight w:val="60"/>
        </w:trPr>
        <w:tc>
          <w:tcPr>
            <w:tcW w:w="9545" w:type="dxa"/>
            <w:tcBorders>
              <w:top w:val="nil"/>
              <w:left w:val="nil"/>
              <w:bottom w:val="nil"/>
              <w:right w:val="nil"/>
            </w:tcBorders>
            <w:noWrap/>
            <w:tcMar>
              <w:top w:w="15" w:type="dxa"/>
              <w:left w:w="15" w:type="dxa"/>
              <w:bottom w:w="0" w:type="dxa"/>
              <w:right w:w="15" w:type="dxa"/>
            </w:tcMar>
            <w:vAlign w:val="bottom"/>
          </w:tcPr>
          <w:p w:rsidR="00354C80" w:rsidRDefault="00354C80" w:rsidP="00021B18">
            <w:pPr>
              <w:keepNext/>
              <w:tabs>
                <w:tab w:val="left" w:pos="709"/>
              </w:tabs>
              <w:spacing w:after="40" w:line="320" w:lineRule="exact"/>
              <w:ind w:right="6" w:firstLine="0"/>
              <w:rPr>
                <w:b/>
                <w:bCs/>
                <w:szCs w:val="24"/>
                <w:lang w:eastAsia="sk-SK"/>
              </w:rPr>
            </w:pPr>
          </w:p>
          <w:p w:rsidR="00B666E1" w:rsidRPr="00E37F6E" w:rsidRDefault="00B666E1" w:rsidP="00961013">
            <w:pPr>
              <w:keepNext/>
              <w:tabs>
                <w:tab w:val="left" w:pos="709"/>
              </w:tabs>
              <w:spacing w:after="40" w:line="320" w:lineRule="exact"/>
              <w:ind w:right="6" w:firstLine="0"/>
              <w:rPr>
                <w:rFonts w:eastAsia="Arial Unicode MS"/>
                <w:szCs w:val="24"/>
              </w:rPr>
            </w:pPr>
            <w:r w:rsidRPr="00E37F6E">
              <w:rPr>
                <w:b/>
                <w:bCs/>
                <w:szCs w:val="24"/>
                <w:lang w:eastAsia="sk-SK"/>
              </w:rPr>
              <w:t xml:space="preserve">Rozpočtové výdavky na Regionálny rozvoj v roku 2015, </w:t>
            </w:r>
            <w:r w:rsidRPr="00E37F6E">
              <w:rPr>
                <w:bCs/>
                <w:szCs w:val="24"/>
                <w:lang w:eastAsia="sk-SK"/>
              </w:rPr>
              <w:t>v € (údaje za ROP)</w:t>
            </w:r>
            <w:r w:rsidR="00021B18">
              <w:rPr>
                <w:bCs/>
                <w:szCs w:val="24"/>
                <w:lang w:eastAsia="sk-SK"/>
              </w:rPr>
              <w:t xml:space="preserve">  Tab. 2</w:t>
            </w:r>
          </w:p>
        </w:tc>
      </w:tr>
    </w:tbl>
    <w:tbl>
      <w:tblPr>
        <w:tblpPr w:leftFromText="141" w:rightFromText="141" w:vertAnchor="text" w:horzAnchor="margin" w:tblpY="108"/>
        <w:tblW w:w="9020" w:type="dxa"/>
        <w:tblCellMar>
          <w:left w:w="0" w:type="dxa"/>
          <w:right w:w="0" w:type="dxa"/>
        </w:tblCellMar>
        <w:tblLook w:val="04A0" w:firstRow="1" w:lastRow="0" w:firstColumn="1" w:lastColumn="0" w:noHBand="0" w:noVBand="1"/>
      </w:tblPr>
      <w:tblGrid>
        <w:gridCol w:w="2740"/>
        <w:gridCol w:w="1980"/>
        <w:gridCol w:w="2040"/>
        <w:gridCol w:w="2260"/>
      </w:tblGrid>
      <w:tr w:rsidR="00B666E1" w:rsidRPr="00E37F6E" w:rsidTr="00A60E71">
        <w:trPr>
          <w:trHeight w:val="540"/>
        </w:trPr>
        <w:tc>
          <w:tcPr>
            <w:tcW w:w="2740" w:type="dxa"/>
            <w:tcBorders>
              <w:top w:val="single" w:sz="8" w:space="0" w:color="auto"/>
              <w:left w:val="single" w:sz="8" w:space="0" w:color="auto"/>
              <w:bottom w:val="single" w:sz="8" w:space="0" w:color="auto"/>
              <w:right w:val="single" w:sz="8" w:space="0" w:color="auto"/>
            </w:tcBorders>
            <w:shd w:val="clear" w:color="auto" w:fill="C2D69B" w:themeFill="accent3" w:themeFillTint="99"/>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left"/>
              <w:rPr>
                <w:b/>
                <w:bCs/>
                <w:lang w:eastAsia="sk-SK"/>
              </w:rPr>
            </w:pPr>
            <w:r w:rsidRPr="00E37F6E">
              <w:rPr>
                <w:b/>
                <w:bCs/>
                <w:lang w:eastAsia="sk-SK"/>
              </w:rPr>
              <w:t>Ukazovateľ</w:t>
            </w:r>
          </w:p>
        </w:tc>
        <w:tc>
          <w:tcPr>
            <w:tcW w:w="1980" w:type="dxa"/>
            <w:tcBorders>
              <w:top w:val="single" w:sz="8" w:space="0" w:color="auto"/>
              <w:left w:val="nil"/>
              <w:bottom w:val="single" w:sz="8" w:space="0" w:color="auto"/>
              <w:right w:val="single" w:sz="8" w:space="0" w:color="auto"/>
            </w:tcBorders>
            <w:shd w:val="clear" w:color="auto" w:fill="C2D69B" w:themeFill="accent3" w:themeFillTint="99"/>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center"/>
              <w:rPr>
                <w:b/>
                <w:bCs/>
                <w:lang w:eastAsia="sk-SK"/>
              </w:rPr>
            </w:pPr>
            <w:r w:rsidRPr="00E37F6E">
              <w:rPr>
                <w:b/>
                <w:bCs/>
                <w:lang w:eastAsia="sk-SK"/>
              </w:rPr>
              <w:t xml:space="preserve">Pôvodný </w:t>
            </w:r>
          </w:p>
          <w:p w:rsidR="00B666E1" w:rsidRPr="00E37F6E" w:rsidRDefault="00B666E1" w:rsidP="00021B18">
            <w:pPr>
              <w:spacing w:after="40" w:line="320" w:lineRule="exact"/>
              <w:ind w:right="0" w:firstLine="0"/>
              <w:jc w:val="center"/>
              <w:rPr>
                <w:b/>
                <w:bCs/>
                <w:lang w:eastAsia="sk-SK"/>
              </w:rPr>
            </w:pPr>
            <w:r w:rsidRPr="00E37F6E">
              <w:rPr>
                <w:b/>
                <w:bCs/>
                <w:lang w:eastAsia="sk-SK"/>
              </w:rPr>
              <w:t>rozpočet</w:t>
            </w:r>
          </w:p>
        </w:tc>
        <w:tc>
          <w:tcPr>
            <w:tcW w:w="2040" w:type="dxa"/>
            <w:tcBorders>
              <w:top w:val="single" w:sz="8" w:space="0" w:color="auto"/>
              <w:left w:val="nil"/>
              <w:bottom w:val="single" w:sz="8" w:space="0" w:color="auto"/>
              <w:right w:val="single" w:sz="8" w:space="0" w:color="auto"/>
            </w:tcBorders>
            <w:shd w:val="clear" w:color="auto" w:fill="C2D69B" w:themeFill="accent3" w:themeFillTint="99"/>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center"/>
              <w:rPr>
                <w:b/>
                <w:bCs/>
                <w:lang w:eastAsia="sk-SK"/>
              </w:rPr>
            </w:pPr>
            <w:r w:rsidRPr="00E37F6E">
              <w:rPr>
                <w:b/>
                <w:bCs/>
                <w:lang w:eastAsia="sk-SK"/>
              </w:rPr>
              <w:t>Upravený rozpočet</w:t>
            </w:r>
          </w:p>
        </w:tc>
        <w:tc>
          <w:tcPr>
            <w:tcW w:w="2260" w:type="dxa"/>
            <w:tcBorders>
              <w:top w:val="single" w:sz="8" w:space="0" w:color="auto"/>
              <w:left w:val="nil"/>
              <w:bottom w:val="single" w:sz="8" w:space="0" w:color="auto"/>
              <w:right w:val="single" w:sz="8" w:space="0" w:color="auto"/>
            </w:tcBorders>
            <w:shd w:val="clear" w:color="auto" w:fill="C2D69B" w:themeFill="accent3" w:themeFillTint="99"/>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center"/>
              <w:rPr>
                <w:b/>
                <w:bCs/>
                <w:lang w:eastAsia="sk-SK"/>
              </w:rPr>
            </w:pPr>
            <w:r w:rsidRPr="00E37F6E">
              <w:rPr>
                <w:b/>
                <w:bCs/>
                <w:lang w:eastAsia="sk-SK"/>
              </w:rPr>
              <w:t xml:space="preserve">Skutočné </w:t>
            </w:r>
          </w:p>
          <w:p w:rsidR="00B666E1" w:rsidRPr="00E37F6E" w:rsidRDefault="00B666E1" w:rsidP="00021B18">
            <w:pPr>
              <w:spacing w:after="40" w:line="320" w:lineRule="exact"/>
              <w:ind w:right="0" w:firstLine="0"/>
              <w:jc w:val="center"/>
              <w:rPr>
                <w:b/>
                <w:bCs/>
                <w:lang w:eastAsia="sk-SK"/>
              </w:rPr>
            </w:pPr>
            <w:r w:rsidRPr="00E37F6E">
              <w:rPr>
                <w:b/>
                <w:bCs/>
                <w:lang w:eastAsia="sk-SK"/>
              </w:rPr>
              <w:t>čerpanie</w:t>
            </w:r>
          </w:p>
        </w:tc>
      </w:tr>
      <w:tr w:rsidR="00B666E1" w:rsidRPr="00E37F6E" w:rsidTr="00A60E71">
        <w:trPr>
          <w:trHeight w:val="300"/>
        </w:trPr>
        <w:tc>
          <w:tcPr>
            <w:tcW w:w="27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left"/>
              <w:rPr>
                <w:lang w:eastAsia="sk-SK"/>
              </w:rPr>
            </w:pPr>
            <w:r w:rsidRPr="00E37F6E">
              <w:rPr>
                <w:lang w:eastAsia="sk-SK"/>
              </w:rPr>
              <w:t>Regionálny rozvoj</w:t>
            </w:r>
          </w:p>
        </w:tc>
        <w:tc>
          <w:tcPr>
            <w:tcW w:w="19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right"/>
              <w:rPr>
                <w:lang w:eastAsia="sk-SK"/>
              </w:rPr>
            </w:pPr>
            <w:r w:rsidRPr="00E37F6E">
              <w:rPr>
                <w:lang w:eastAsia="sk-SK"/>
              </w:rPr>
              <w:t>228 963 608</w:t>
            </w:r>
          </w:p>
        </w:tc>
        <w:tc>
          <w:tcPr>
            <w:tcW w:w="2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right"/>
              <w:rPr>
                <w:lang w:eastAsia="sk-SK"/>
              </w:rPr>
            </w:pPr>
            <w:r w:rsidRPr="00E37F6E">
              <w:rPr>
                <w:lang w:eastAsia="sk-SK"/>
              </w:rPr>
              <w:t>295 783 247</w:t>
            </w:r>
          </w:p>
        </w:tc>
        <w:tc>
          <w:tcPr>
            <w:tcW w:w="2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right"/>
              <w:rPr>
                <w:lang w:eastAsia="sk-SK"/>
              </w:rPr>
            </w:pPr>
            <w:r w:rsidRPr="00E37F6E">
              <w:rPr>
                <w:lang w:eastAsia="sk-SK"/>
              </w:rPr>
              <w:t>29</w:t>
            </w:r>
            <w:r w:rsidR="00886988">
              <w:rPr>
                <w:lang w:eastAsia="sk-SK"/>
              </w:rPr>
              <w:t>4</w:t>
            </w:r>
            <w:r w:rsidRPr="00E37F6E">
              <w:rPr>
                <w:lang w:eastAsia="sk-SK"/>
              </w:rPr>
              <w:t xml:space="preserve"> </w:t>
            </w:r>
            <w:r w:rsidR="00886988">
              <w:rPr>
                <w:lang w:eastAsia="sk-SK"/>
              </w:rPr>
              <w:t>021</w:t>
            </w:r>
            <w:r w:rsidRPr="00E37F6E">
              <w:rPr>
                <w:lang w:eastAsia="sk-SK"/>
              </w:rPr>
              <w:t xml:space="preserve"> </w:t>
            </w:r>
            <w:r w:rsidR="00EB3D24">
              <w:rPr>
                <w:lang w:eastAsia="sk-SK"/>
              </w:rPr>
              <w:t>623</w:t>
            </w:r>
          </w:p>
        </w:tc>
      </w:tr>
      <w:tr w:rsidR="00B666E1" w:rsidRPr="00E37F6E" w:rsidTr="00A60E71">
        <w:trPr>
          <w:trHeight w:val="300"/>
        </w:trPr>
        <w:tc>
          <w:tcPr>
            <w:tcW w:w="27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left"/>
              <w:rPr>
                <w:lang w:eastAsia="sk-SK"/>
              </w:rPr>
            </w:pPr>
            <w:r w:rsidRPr="00E37F6E">
              <w:rPr>
                <w:lang w:eastAsia="sk-SK"/>
              </w:rPr>
              <w:t>v tom: výdavky EÚ</w:t>
            </w:r>
          </w:p>
        </w:tc>
        <w:tc>
          <w:tcPr>
            <w:tcW w:w="19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right"/>
              <w:rPr>
                <w:lang w:eastAsia="sk-SK"/>
              </w:rPr>
            </w:pPr>
            <w:r w:rsidRPr="00E37F6E">
              <w:rPr>
                <w:lang w:eastAsia="sk-SK"/>
              </w:rPr>
              <w:t>198 804 708</w:t>
            </w:r>
          </w:p>
        </w:tc>
        <w:tc>
          <w:tcPr>
            <w:tcW w:w="2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right"/>
              <w:rPr>
                <w:lang w:eastAsia="sk-SK"/>
              </w:rPr>
            </w:pPr>
            <w:r w:rsidRPr="00E37F6E">
              <w:rPr>
                <w:lang w:eastAsia="sk-SK"/>
              </w:rPr>
              <w:t>255 953 593</w:t>
            </w:r>
          </w:p>
        </w:tc>
        <w:tc>
          <w:tcPr>
            <w:tcW w:w="2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right"/>
              <w:rPr>
                <w:lang w:eastAsia="sk-SK"/>
              </w:rPr>
            </w:pPr>
            <w:r w:rsidRPr="00E37F6E">
              <w:rPr>
                <w:lang w:eastAsia="sk-SK"/>
              </w:rPr>
              <w:t xml:space="preserve">255 </w:t>
            </w:r>
            <w:r w:rsidR="00EB3D24">
              <w:rPr>
                <w:lang w:eastAsia="sk-SK"/>
              </w:rPr>
              <w:t>171</w:t>
            </w:r>
            <w:r w:rsidRPr="00E37F6E">
              <w:rPr>
                <w:lang w:eastAsia="sk-SK"/>
              </w:rPr>
              <w:t xml:space="preserve"> </w:t>
            </w:r>
            <w:r w:rsidR="00EB3D24">
              <w:rPr>
                <w:lang w:eastAsia="sk-SK"/>
              </w:rPr>
              <w:t>803</w:t>
            </w:r>
          </w:p>
        </w:tc>
      </w:tr>
      <w:tr w:rsidR="00B666E1" w:rsidRPr="00E37F6E" w:rsidTr="00A60E71">
        <w:trPr>
          <w:trHeight w:val="300"/>
        </w:trPr>
        <w:tc>
          <w:tcPr>
            <w:tcW w:w="27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left"/>
              <w:rPr>
                <w:lang w:eastAsia="sk-SK"/>
              </w:rPr>
            </w:pPr>
            <w:r w:rsidRPr="00E37F6E">
              <w:rPr>
                <w:lang w:eastAsia="sk-SK"/>
              </w:rPr>
              <w:t>spolufinancovanie zo ŠR</w:t>
            </w:r>
          </w:p>
        </w:tc>
        <w:tc>
          <w:tcPr>
            <w:tcW w:w="19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right"/>
              <w:rPr>
                <w:lang w:eastAsia="sk-SK"/>
              </w:rPr>
            </w:pPr>
            <w:r w:rsidRPr="00E37F6E">
              <w:rPr>
                <w:lang w:eastAsia="sk-SK"/>
              </w:rPr>
              <w:t>30 158 900</w:t>
            </w:r>
          </w:p>
        </w:tc>
        <w:tc>
          <w:tcPr>
            <w:tcW w:w="20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right"/>
              <w:rPr>
                <w:lang w:eastAsia="sk-SK"/>
              </w:rPr>
            </w:pPr>
            <w:r w:rsidRPr="00E37F6E">
              <w:rPr>
                <w:lang w:eastAsia="sk-SK"/>
              </w:rPr>
              <w:t>39 829 654</w:t>
            </w:r>
          </w:p>
        </w:tc>
        <w:tc>
          <w:tcPr>
            <w:tcW w:w="2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666E1" w:rsidRPr="00E37F6E" w:rsidRDefault="00B666E1" w:rsidP="00021B18">
            <w:pPr>
              <w:spacing w:after="40" w:line="320" w:lineRule="exact"/>
              <w:ind w:right="0" w:firstLine="0"/>
              <w:jc w:val="right"/>
              <w:rPr>
                <w:lang w:eastAsia="sk-SK"/>
              </w:rPr>
            </w:pPr>
            <w:r w:rsidRPr="00E37F6E">
              <w:rPr>
                <w:lang w:eastAsia="sk-SK"/>
              </w:rPr>
              <w:t>3</w:t>
            </w:r>
            <w:r w:rsidR="00EB3D24">
              <w:rPr>
                <w:lang w:eastAsia="sk-SK"/>
              </w:rPr>
              <w:t>8</w:t>
            </w:r>
            <w:r w:rsidRPr="00E37F6E">
              <w:rPr>
                <w:lang w:eastAsia="sk-SK"/>
              </w:rPr>
              <w:t xml:space="preserve"> 8</w:t>
            </w:r>
            <w:r w:rsidR="00EB3D24">
              <w:rPr>
                <w:lang w:eastAsia="sk-SK"/>
              </w:rPr>
              <w:t>4</w:t>
            </w:r>
            <w:r w:rsidRPr="00E37F6E">
              <w:rPr>
                <w:lang w:eastAsia="sk-SK"/>
              </w:rPr>
              <w:t xml:space="preserve">9 </w:t>
            </w:r>
            <w:r w:rsidR="00EB3D24">
              <w:rPr>
                <w:lang w:eastAsia="sk-SK"/>
              </w:rPr>
              <w:t>820</w:t>
            </w:r>
          </w:p>
        </w:tc>
      </w:tr>
    </w:tbl>
    <w:p w:rsidR="00021B18" w:rsidRPr="00E37F6E" w:rsidRDefault="00021B18" w:rsidP="00021B18">
      <w:pPr>
        <w:spacing w:after="40" w:line="320" w:lineRule="exact"/>
        <w:ind w:left="-5" w:right="0" w:hanging="10"/>
      </w:pPr>
      <w:r w:rsidRPr="00E37F6E">
        <w:rPr>
          <w:sz w:val="20"/>
        </w:rPr>
        <w:t>Prameň: MPRV SR</w:t>
      </w:r>
    </w:p>
    <w:p w:rsidR="00B666E1" w:rsidRPr="00E37F6E" w:rsidRDefault="00B666E1" w:rsidP="00021B18">
      <w:pPr>
        <w:keepNext/>
        <w:spacing w:after="40" w:line="320" w:lineRule="exact"/>
        <w:ind w:left="360" w:right="6" w:hanging="502"/>
      </w:pPr>
    </w:p>
    <w:p w:rsidR="00A00547" w:rsidRPr="00CC5B4A" w:rsidRDefault="00A00547" w:rsidP="00021B18">
      <w:pPr>
        <w:spacing w:after="40" w:line="320" w:lineRule="exact"/>
        <w:ind w:right="0" w:firstLine="0"/>
        <w:jc w:val="left"/>
        <w:rPr>
          <w:b/>
        </w:rPr>
      </w:pPr>
      <w:r w:rsidRPr="0089354C">
        <w:rPr>
          <w:b/>
        </w:rPr>
        <w:t>Integrovaný regionálny operačný prog</w:t>
      </w:r>
      <w:r w:rsidR="0079491A">
        <w:rPr>
          <w:b/>
        </w:rPr>
        <w:t>r</w:t>
      </w:r>
      <w:r w:rsidRPr="0089354C">
        <w:rPr>
          <w:b/>
        </w:rPr>
        <w:t>am</w:t>
      </w:r>
    </w:p>
    <w:p w:rsidR="00E37F6E" w:rsidRPr="0091796D" w:rsidRDefault="00E37F6E" w:rsidP="00021B18">
      <w:pPr>
        <w:spacing w:after="40" w:line="320" w:lineRule="exact"/>
      </w:pPr>
      <w:r w:rsidRPr="00E37F6E">
        <w:rPr>
          <w:bCs/>
          <w:color w:val="auto"/>
          <w:szCs w:val="24"/>
        </w:rPr>
        <w:t>Odbor riadenia operačných programov</w:t>
      </w:r>
      <w:r w:rsidRPr="00E37F6E">
        <w:rPr>
          <w:color w:val="auto"/>
        </w:rPr>
        <w:t xml:space="preserve"> </w:t>
      </w:r>
      <w:r w:rsidRPr="0091796D">
        <w:t>zabezpečoval v roku 201</w:t>
      </w:r>
      <w:r>
        <w:t>5</w:t>
      </w:r>
      <w:r w:rsidRPr="0091796D">
        <w:t xml:space="preserve"> výkon úloh Riadiaceho orgánu pre IROP.</w:t>
      </w:r>
    </w:p>
    <w:p w:rsidR="00A00547" w:rsidRPr="00CC5B4A" w:rsidRDefault="00753E3E" w:rsidP="00021B18">
      <w:pPr>
        <w:spacing w:after="40" w:line="320" w:lineRule="exact"/>
      </w:pPr>
      <w:r w:rsidRPr="0091796D">
        <w:t>G</w:t>
      </w:r>
      <w:r w:rsidR="00A00547" w:rsidRPr="0091796D">
        <w:t xml:space="preserve">lobálnym cieľom </w:t>
      </w:r>
      <w:r w:rsidRPr="0091796D">
        <w:t xml:space="preserve">IROP </w:t>
      </w:r>
      <w:r w:rsidR="00A00547" w:rsidRPr="0091796D">
        <w:t>je prispieť k zlepšeniu kvality života a zabezpečiť udržateľné poskytovanie verejných služieb s dopadom na vyvážený</w:t>
      </w:r>
      <w:r w:rsidR="00A00547" w:rsidRPr="00CC5B4A">
        <w:t xml:space="preserve"> a udržateľný územný rozvoj, hospodársku, územnú a sociálnu súdržnosť regiónov, miest a obcí.</w:t>
      </w:r>
    </w:p>
    <w:p w:rsidR="00A00547" w:rsidRPr="00CC5B4A" w:rsidRDefault="00A00547" w:rsidP="00021B18">
      <w:pPr>
        <w:spacing w:after="40" w:line="320" w:lineRule="exact"/>
      </w:pPr>
      <w:r w:rsidRPr="00CC5B4A">
        <w:tab/>
        <w:t>IROP má mnohoodvetvový charakter a je vo svojej väčšine určený pre regionálnu a</w:t>
      </w:r>
      <w:r w:rsidR="0079491A">
        <w:t> </w:t>
      </w:r>
      <w:r w:rsidRPr="00CC5B4A">
        <w:t xml:space="preserve">miestnu samosprávu a má 6 prioritných osí. Oprávneným územím je celé územie Slovenska -  viac rozvinutý región Bratislavský samosprávny kraj a menej rozvinuté regióny – všetky ostatné samosprávne kraje. </w:t>
      </w:r>
    </w:p>
    <w:p w:rsidR="00A00547" w:rsidRDefault="00A00547" w:rsidP="00021B18">
      <w:pPr>
        <w:spacing w:after="40" w:line="320" w:lineRule="exact"/>
        <w:ind w:right="6"/>
      </w:pPr>
      <w:r w:rsidRPr="00CC5B4A">
        <w:tab/>
        <w:t>Alokácia IROP predstavuje 1 754 490 415 € z Európskeho fondu regionálneho rozvoja (EFRR) a celková alokácia vrátane národného spol</w:t>
      </w:r>
      <w:r w:rsidR="000C7CE5">
        <w:t xml:space="preserve">ufinancovania je 2 122 886 242 </w:t>
      </w:r>
      <w:r w:rsidR="00565EDA">
        <w:t>€</w:t>
      </w:r>
      <w:r w:rsidRPr="00CC5B4A">
        <w:t xml:space="preserve"> (národné zdroje v</w:t>
      </w:r>
      <w:r w:rsidR="000C7CE5">
        <w:t xml:space="preserve">erejné sú vo výške 348 486 522 </w:t>
      </w:r>
      <w:r w:rsidR="00565EDA">
        <w:t>€</w:t>
      </w:r>
      <w:r w:rsidRPr="00CC5B4A">
        <w:t xml:space="preserve"> a s</w:t>
      </w:r>
      <w:r w:rsidR="000C7CE5">
        <w:t xml:space="preserve">úkromné sú vo výške 19 909 305 </w:t>
      </w:r>
      <w:r w:rsidR="00565EDA">
        <w:t>€</w:t>
      </w:r>
      <w:r w:rsidRPr="00CC5B4A">
        <w:t xml:space="preserve">). </w:t>
      </w:r>
    </w:p>
    <w:p w:rsidR="00A64E53" w:rsidRDefault="00791A46" w:rsidP="00021B18">
      <w:pPr>
        <w:spacing w:after="40" w:line="320" w:lineRule="exact"/>
        <w:ind w:firstLine="697"/>
        <w:rPr>
          <w:sz w:val="16"/>
          <w:szCs w:val="16"/>
        </w:rPr>
      </w:pPr>
      <w:r w:rsidRPr="00E37F6E">
        <w:t xml:space="preserve">V rámci IROP bolo dňa 9.11.2015 </w:t>
      </w:r>
      <w:r w:rsidR="0019141F" w:rsidRPr="00E37F6E">
        <w:t xml:space="preserve">vyhlásené </w:t>
      </w:r>
      <w:r w:rsidRPr="00E37F6E">
        <w:t>Písomné vyzvanie k predloženiu žiadosti o NFP v rámci implementácie finančných nástrojov IROP-2015-SIH</w:t>
      </w:r>
      <w:r w:rsidR="000C2EEB" w:rsidRPr="00E37F6E">
        <w:t xml:space="preserve">, v rámci </w:t>
      </w:r>
      <w:r w:rsidR="000C2EEB" w:rsidRPr="00E37F6E">
        <w:rPr>
          <w:b/>
        </w:rPr>
        <w:t>prioritnej osi 4 Zlepšenie kvality života v regiónoch s dôrazom na životné prostredie</w:t>
      </w:r>
      <w:r w:rsidR="0019141F" w:rsidRPr="00E37F6E">
        <w:t xml:space="preserve">, investičná priorita </w:t>
      </w:r>
      <w:r w:rsidR="0019141F" w:rsidRPr="00E37F6E">
        <w:lastRenderedPageBreak/>
        <w:t xml:space="preserve">4.1 Podpora energetickej efektívnosti, inteligentného riadenia energie a využívania energie z obnoviteľných zdrojov vo verejných infraštruktúrach vrátane verejných budov a v sektore bývania. </w:t>
      </w:r>
      <w:r w:rsidR="005B7140" w:rsidRPr="00E37F6E">
        <w:t>Lehota na predloženie Žiadosti o NFP na základe pí</w:t>
      </w:r>
      <w:r w:rsidR="000C2EEB" w:rsidRPr="00E37F6E">
        <w:t>somné</w:t>
      </w:r>
      <w:r w:rsidR="005B7140" w:rsidRPr="00E37F6E">
        <w:t>ho vyzvania IROP-2015-SIH</w:t>
      </w:r>
      <w:r w:rsidR="000C2EEB" w:rsidRPr="00E37F6E">
        <w:t xml:space="preserve"> </w:t>
      </w:r>
      <w:r w:rsidR="000C2EEB" w:rsidRPr="00E37F6E">
        <w:rPr>
          <w:b/>
        </w:rPr>
        <w:t>pre</w:t>
      </w:r>
      <w:r w:rsidR="000C2EEB" w:rsidRPr="00E37F6E">
        <w:t xml:space="preserve"> </w:t>
      </w:r>
      <w:r w:rsidR="000C2EEB" w:rsidRPr="00E37F6E">
        <w:rPr>
          <w:b/>
        </w:rPr>
        <w:t>finančný nástroj energetickej efektívnosti bytových domov</w:t>
      </w:r>
      <w:r w:rsidR="005B7140" w:rsidRPr="00E37F6E">
        <w:t xml:space="preserve"> bola </w:t>
      </w:r>
      <w:r w:rsidR="000C2EEB" w:rsidRPr="00E37F6E">
        <w:t>do</w:t>
      </w:r>
      <w:r w:rsidR="008F3A26" w:rsidRPr="00E37F6E">
        <w:t xml:space="preserve"> 30.11.2015.</w:t>
      </w:r>
      <w:r w:rsidR="000C2EEB" w:rsidRPr="00E37F6E">
        <w:t xml:space="preserve"> </w:t>
      </w:r>
      <w:r w:rsidR="008F3A26" w:rsidRPr="00E37F6E">
        <w:t>Prostredníctvom písomného vyzvania IROP-2015-SIH je finančná pomoc poskytovaná vo forme návratného finančného príspevku</w:t>
      </w:r>
      <w:r w:rsidR="008F3A26" w:rsidRPr="00E37F6E">
        <w:rPr>
          <w:sz w:val="16"/>
          <w:szCs w:val="16"/>
        </w:rPr>
        <w:t>.</w:t>
      </w:r>
    </w:p>
    <w:p w:rsidR="002F7D5A" w:rsidRPr="00961013" w:rsidRDefault="00B15992" w:rsidP="00021B18">
      <w:pPr>
        <w:spacing w:after="40" w:line="320" w:lineRule="exact"/>
        <w:ind w:firstLine="0"/>
        <w:rPr>
          <w:i/>
          <w:szCs w:val="16"/>
        </w:rPr>
      </w:pPr>
      <w:r w:rsidRPr="00961013">
        <w:rPr>
          <w:i/>
          <w:szCs w:val="16"/>
        </w:rPr>
        <w:t>(Za účelom implementácie finančných nástrojov  Vláda Slovenskej republiky uznesením č. 736/2013 zo dňa 18.12.2013 schválila Postup implementácie finančných nástrojov cez Slovak Investment Holding, a.s. (ďalej len „SIH“) v programovom období 2014 – 2020. V súlade s článkom 38 Nariadenia Európskeho parlamentu a Rady (EÚ) č. 1303/2013 zo 17. decembra 2013 v zmysle Zmluvy o financovaní, ktorá nadobudla účinnosť dňa 30. septembra 2015 a bola uzatvorená medzi MPRV SR,SZRBAM</w:t>
      </w:r>
      <w:r w:rsidR="00B666E1" w:rsidRPr="00961013">
        <w:rPr>
          <w:i/>
          <w:szCs w:val="16"/>
        </w:rPr>
        <w:t xml:space="preserve"> (SZRB Asset Management, a.s.)</w:t>
      </w:r>
      <w:r w:rsidRPr="00961013">
        <w:rPr>
          <w:i/>
          <w:szCs w:val="16"/>
        </w:rPr>
        <w:t xml:space="preserve"> a SIH, SZRBAM vykonáva činnosť správy SIH ako fondu fondov, prijíma a spravuje finančné prostriedky z alokácie IROP a zabezpečuje </w:t>
      </w:r>
      <w:r w:rsidR="00B666E1" w:rsidRPr="00961013">
        <w:rPr>
          <w:i/>
          <w:szCs w:val="16"/>
        </w:rPr>
        <w:t>ich následné použitie výlučne v súlade so Zmluvou o financovaní. V súlade s článkom 38 ods. 4 písm. a) a b) Nariadenia Európskeho parlamentu a Rady (EÚ) č. 1303/2013 zo 17. decembra 2013 sa finančné nástroje vykonávajú prostredníctvom fondu fondov, ktorého správa je zverená správcovi fondu fondov.)</w:t>
      </w:r>
      <w:r w:rsidRPr="00961013">
        <w:rPr>
          <w:i/>
          <w:szCs w:val="16"/>
        </w:rPr>
        <w:t xml:space="preserve">    </w:t>
      </w:r>
      <w:r w:rsidR="000C2EEB" w:rsidRPr="00961013">
        <w:rPr>
          <w:i/>
          <w:sz w:val="40"/>
        </w:rPr>
        <w:t xml:space="preserve">  </w:t>
      </w:r>
    </w:p>
    <w:p w:rsidR="002F7D5A" w:rsidRPr="00E37F6E" w:rsidRDefault="002F7D5A" w:rsidP="00021B18">
      <w:pPr>
        <w:spacing w:after="40" w:line="320" w:lineRule="exact"/>
        <w:ind w:firstLine="697"/>
        <w:rPr>
          <w:szCs w:val="24"/>
        </w:rPr>
      </w:pPr>
      <w:r w:rsidRPr="00E37F6E">
        <w:rPr>
          <w:szCs w:val="24"/>
        </w:rPr>
        <w:t>Indikatívna výška finančných prostriedkov (alokácia) určených pre finančný nástroj energetickej efektívnosti bytových domov v rámci písomného vyzvania IROP-2015-SIH bola celkovo 139 249 179 €, z toho maximálny príspevok Európskeho fondu regionálneho rozvoja bol 111 388 554 € (85 %).</w:t>
      </w:r>
    </w:p>
    <w:p w:rsidR="002F7D5A" w:rsidRPr="00E37F6E" w:rsidRDefault="005B7140" w:rsidP="00021B18">
      <w:pPr>
        <w:spacing w:after="40" w:line="320" w:lineRule="exact"/>
        <w:rPr>
          <w:szCs w:val="24"/>
        </w:rPr>
      </w:pPr>
      <w:r w:rsidRPr="00E37F6E">
        <w:rPr>
          <w:szCs w:val="24"/>
        </w:rPr>
        <w:t>V rámci v</w:t>
      </w:r>
      <w:r w:rsidR="002F7D5A" w:rsidRPr="00E37F6E">
        <w:rPr>
          <w:szCs w:val="24"/>
        </w:rPr>
        <w:t>yššie uvedené</w:t>
      </w:r>
      <w:r w:rsidRPr="00E37F6E">
        <w:rPr>
          <w:szCs w:val="24"/>
        </w:rPr>
        <w:t>ho</w:t>
      </w:r>
      <w:r w:rsidR="002F7D5A" w:rsidRPr="00E37F6E">
        <w:rPr>
          <w:szCs w:val="24"/>
        </w:rPr>
        <w:t xml:space="preserve"> písomné</w:t>
      </w:r>
      <w:r w:rsidRPr="00E37F6E">
        <w:rPr>
          <w:szCs w:val="24"/>
        </w:rPr>
        <w:t>ho vyzvania</w:t>
      </w:r>
      <w:r w:rsidR="002F7D5A" w:rsidRPr="00E37F6E">
        <w:rPr>
          <w:szCs w:val="24"/>
        </w:rPr>
        <w:t xml:space="preserve"> IROP-2015-SIH </w:t>
      </w:r>
      <w:r w:rsidR="002F7D5A" w:rsidRPr="00E37F6E">
        <w:rPr>
          <w:b/>
          <w:szCs w:val="24"/>
        </w:rPr>
        <w:t>pre finančný nástroj podpory tvorby pracovných miest v MSP v oblasti kultúrneho a kreatívneho priemyslu</w:t>
      </w:r>
      <w:r w:rsidRPr="00E37F6E">
        <w:rPr>
          <w:b/>
          <w:szCs w:val="24"/>
        </w:rPr>
        <w:t xml:space="preserve"> </w:t>
      </w:r>
      <w:r w:rsidRPr="00E37F6E">
        <w:rPr>
          <w:szCs w:val="24"/>
        </w:rPr>
        <w:t xml:space="preserve">v rámci </w:t>
      </w:r>
      <w:r w:rsidRPr="00E37F6E">
        <w:rPr>
          <w:b/>
          <w:szCs w:val="24"/>
        </w:rPr>
        <w:t>prioritnej osi 3 Mobilizácia kreatívneho potenciálu v</w:t>
      </w:r>
      <w:r w:rsidR="00364DFB" w:rsidRPr="00E37F6E">
        <w:rPr>
          <w:b/>
          <w:szCs w:val="24"/>
        </w:rPr>
        <w:t> </w:t>
      </w:r>
      <w:r w:rsidRPr="00E37F6E">
        <w:rPr>
          <w:b/>
          <w:szCs w:val="24"/>
        </w:rPr>
        <w:t>regiónoch</w:t>
      </w:r>
      <w:r w:rsidR="00364DFB" w:rsidRPr="00E37F6E">
        <w:rPr>
          <w:b/>
          <w:szCs w:val="24"/>
        </w:rPr>
        <w:t xml:space="preserve">, </w:t>
      </w:r>
      <w:r w:rsidR="00364DFB" w:rsidRPr="00E37F6E">
        <w:rPr>
          <w:szCs w:val="24"/>
        </w:rPr>
        <w:t xml:space="preserve">investičná priorita 3.1 Podpora rastu priaznivého pre zamestnanosť, a to rozvíjaním vnútorného potenciálu ako súčasti územnej stratégie pre konkrétne oblasti vrátane konverzie upadajúcich priemyselných regiónov a posilnenia prístupnosti a rozvoja špecifických prírodných a kultúrnych zdrojov </w:t>
      </w:r>
      <w:r w:rsidR="00695975">
        <w:rPr>
          <w:szCs w:val="24"/>
        </w:rPr>
        <w:t>je</w:t>
      </w:r>
      <w:r w:rsidRPr="00E37F6E">
        <w:rPr>
          <w:szCs w:val="24"/>
        </w:rPr>
        <w:t xml:space="preserve"> lehota na predloženie Žiadosti o NFP </w:t>
      </w:r>
      <w:r w:rsidR="00BB26B9" w:rsidRPr="00E37F6E">
        <w:rPr>
          <w:szCs w:val="24"/>
        </w:rPr>
        <w:t>do 31.12.2016</w:t>
      </w:r>
      <w:r w:rsidRPr="00E37F6E">
        <w:rPr>
          <w:szCs w:val="24"/>
        </w:rPr>
        <w:t xml:space="preserve">. </w:t>
      </w:r>
      <w:r w:rsidR="00B15992" w:rsidRPr="00E37F6E">
        <w:t xml:space="preserve">Prostredníctvom písomného vyzvania IROP-2015-SIH je finančná pomoc poskytovaná vo forme návratného finančného príspevku.  </w:t>
      </w:r>
      <w:r w:rsidR="002F7D5A" w:rsidRPr="00E37F6E">
        <w:rPr>
          <w:szCs w:val="24"/>
        </w:rPr>
        <w:t xml:space="preserve"> </w:t>
      </w:r>
    </w:p>
    <w:p w:rsidR="00364DFB" w:rsidRPr="0089354C" w:rsidRDefault="00791A46" w:rsidP="00021B18">
      <w:pPr>
        <w:spacing w:after="40" w:line="320" w:lineRule="exact"/>
        <w:ind w:firstLine="697"/>
        <w:rPr>
          <w:szCs w:val="24"/>
        </w:rPr>
      </w:pPr>
      <w:r w:rsidRPr="00E37F6E">
        <w:t xml:space="preserve"> </w:t>
      </w:r>
      <w:r w:rsidR="00364DFB" w:rsidRPr="00E37F6E">
        <w:rPr>
          <w:szCs w:val="24"/>
        </w:rPr>
        <w:t>Indikatívna výška finančných prostriedkov (alokácia) určených pre finančný nástroj podpory tvorby pracovných miest v MSP v oblasti kultúrneho a kreatívneho priemyslu v rámci písomného vyzvania IROP-2015-SIH bola celkovo 5 882 353 €, z toho maximálny príspevok Európskeho fondu regionálneho rozvoja bol 5 000 000 € (85 %).</w:t>
      </w:r>
    </w:p>
    <w:p w:rsidR="00A00547" w:rsidRPr="0079491A" w:rsidRDefault="00A00547" w:rsidP="00021B18">
      <w:pPr>
        <w:spacing w:after="40" w:line="320" w:lineRule="exact"/>
        <w:ind w:right="6" w:firstLine="0"/>
        <w:rPr>
          <w:rFonts w:ascii="Arial" w:hAnsi="Arial" w:cs="Arial"/>
          <w:b/>
          <w:sz w:val="20"/>
          <w:szCs w:val="20"/>
          <w:u w:val="single"/>
        </w:rPr>
      </w:pPr>
      <w:r w:rsidRPr="0079491A">
        <w:rPr>
          <w:b/>
          <w:u w:val="single"/>
        </w:rPr>
        <w:t>Štruktúra IROP</w:t>
      </w:r>
      <w:r w:rsidRPr="0079491A">
        <w:rPr>
          <w:rFonts w:ascii="Arial" w:hAnsi="Arial" w:cs="Arial"/>
          <w:b/>
          <w:sz w:val="20"/>
          <w:szCs w:val="20"/>
          <w:u w:val="single"/>
        </w:rPr>
        <w:t xml:space="preserve"> </w:t>
      </w:r>
    </w:p>
    <w:p w:rsidR="00A00547" w:rsidRPr="00CC5B4A" w:rsidRDefault="00A00547" w:rsidP="00021B18">
      <w:pPr>
        <w:spacing w:after="40" w:line="320" w:lineRule="exact"/>
        <w:ind w:firstLine="0"/>
        <w:rPr>
          <w:rFonts w:ascii="Arial" w:hAnsi="Arial" w:cs="Arial"/>
          <w:b/>
          <w:sz w:val="20"/>
          <w:szCs w:val="20"/>
        </w:rPr>
      </w:pPr>
      <w:r w:rsidRPr="00CC5B4A">
        <w:t>Prioritná os č. 1: Bezpečná a ekologická doprava v regiónoch</w:t>
      </w:r>
    </w:p>
    <w:p w:rsidR="00A00547" w:rsidRPr="00CC5B4A" w:rsidRDefault="00A00547" w:rsidP="00021B18">
      <w:pPr>
        <w:spacing w:after="40" w:line="320" w:lineRule="exact"/>
        <w:ind w:firstLine="0"/>
        <w:rPr>
          <w:rFonts w:ascii="Arial" w:hAnsi="Arial" w:cs="Arial"/>
          <w:b/>
          <w:sz w:val="20"/>
          <w:szCs w:val="20"/>
        </w:rPr>
      </w:pPr>
      <w:r w:rsidRPr="00CC5B4A">
        <w:t xml:space="preserve">Prioritná os č. 2: Ľahší prístup k efektívnym a kvalitnejším verejným službám </w:t>
      </w:r>
    </w:p>
    <w:p w:rsidR="00A00547" w:rsidRPr="00CC5B4A" w:rsidRDefault="00A00547" w:rsidP="00021B18">
      <w:pPr>
        <w:spacing w:after="40" w:line="320" w:lineRule="exact"/>
        <w:ind w:firstLine="0"/>
        <w:rPr>
          <w:rFonts w:ascii="Arial" w:hAnsi="Arial" w:cs="Arial"/>
          <w:b/>
          <w:sz w:val="20"/>
          <w:szCs w:val="20"/>
        </w:rPr>
      </w:pPr>
      <w:r w:rsidRPr="00CC5B4A">
        <w:t xml:space="preserve">Prioritná os č. 3: Mobilizácia kreatívneho potenciálu v regiónoch </w:t>
      </w:r>
    </w:p>
    <w:p w:rsidR="00A00547" w:rsidRPr="00CC5B4A" w:rsidRDefault="00A00547" w:rsidP="00021B18">
      <w:pPr>
        <w:spacing w:after="40" w:line="320" w:lineRule="exact"/>
        <w:ind w:firstLine="0"/>
        <w:rPr>
          <w:rFonts w:ascii="Arial" w:hAnsi="Arial" w:cs="Arial"/>
          <w:b/>
          <w:sz w:val="20"/>
          <w:szCs w:val="20"/>
        </w:rPr>
      </w:pPr>
      <w:r w:rsidRPr="00CC5B4A">
        <w:t>Prioritná os č. 4: Zlepšenie kvality života v regiónoch s dôrazom na životné prostredie</w:t>
      </w:r>
    </w:p>
    <w:p w:rsidR="00A00547" w:rsidRPr="00CC5B4A" w:rsidRDefault="00A00547" w:rsidP="00021B18">
      <w:pPr>
        <w:spacing w:after="40" w:line="320" w:lineRule="exact"/>
        <w:ind w:firstLine="0"/>
        <w:rPr>
          <w:rFonts w:ascii="Arial" w:hAnsi="Arial" w:cs="Arial"/>
          <w:b/>
          <w:sz w:val="20"/>
          <w:szCs w:val="20"/>
        </w:rPr>
      </w:pPr>
      <w:r w:rsidRPr="00CC5B4A">
        <w:t>Prioritná os č. 5: Miestny rozvoj vedený komunitou</w:t>
      </w:r>
    </w:p>
    <w:p w:rsidR="00A00547" w:rsidRDefault="00A00547" w:rsidP="00021B18">
      <w:pPr>
        <w:spacing w:after="40" w:line="320" w:lineRule="exact"/>
        <w:ind w:firstLine="0"/>
      </w:pPr>
      <w:r w:rsidRPr="00CC5B4A">
        <w:t>Prioritná os č. 6: Technická pomoc</w:t>
      </w:r>
    </w:p>
    <w:p w:rsidR="00354C80" w:rsidRDefault="00354C80" w:rsidP="00021B18">
      <w:pPr>
        <w:spacing w:after="40" w:line="320" w:lineRule="exact"/>
        <w:ind w:firstLine="0"/>
        <w:rPr>
          <w:b/>
          <w:szCs w:val="24"/>
        </w:rPr>
      </w:pPr>
    </w:p>
    <w:p w:rsidR="00A00547" w:rsidRPr="00747ED8" w:rsidRDefault="00A00547" w:rsidP="00021B18">
      <w:pPr>
        <w:spacing w:after="40" w:line="320" w:lineRule="exact"/>
        <w:ind w:firstLine="0"/>
        <w:rPr>
          <w:b/>
          <w:szCs w:val="24"/>
        </w:rPr>
      </w:pPr>
      <w:r w:rsidRPr="00747ED8">
        <w:rPr>
          <w:b/>
          <w:szCs w:val="24"/>
        </w:rPr>
        <w:lastRenderedPageBreak/>
        <w:t xml:space="preserve">Prehľad aktivít jednotlivých prioritných osí: </w:t>
      </w:r>
    </w:p>
    <w:p w:rsidR="00A00547" w:rsidRPr="00CC5B4A" w:rsidRDefault="00A00547" w:rsidP="00021B18">
      <w:pPr>
        <w:pStyle w:val="Odsekzoznamu"/>
        <w:spacing w:after="40" w:line="320" w:lineRule="exact"/>
        <w:ind w:left="0"/>
        <w:jc w:val="both"/>
        <w:rPr>
          <w:rFonts w:ascii="Times New Roman" w:hAnsi="Times New Roman" w:cs="Times New Roman"/>
          <w:b/>
          <w:sz w:val="24"/>
          <w:szCs w:val="24"/>
          <w:u w:val="single"/>
        </w:rPr>
      </w:pPr>
      <w:r w:rsidRPr="00CC5B4A">
        <w:rPr>
          <w:rFonts w:ascii="Times New Roman" w:hAnsi="Times New Roman" w:cs="Times New Roman"/>
          <w:b/>
          <w:sz w:val="24"/>
          <w:szCs w:val="24"/>
          <w:u w:val="single"/>
        </w:rPr>
        <w:t xml:space="preserve">Prioritná os 1: </w:t>
      </w:r>
      <w:r w:rsidRPr="00CC5B4A">
        <w:rPr>
          <w:rFonts w:ascii="Times New Roman" w:hAnsi="Times New Roman" w:cs="Times New Roman"/>
          <w:b/>
          <w:bCs/>
          <w:sz w:val="24"/>
          <w:szCs w:val="24"/>
          <w:u w:val="single"/>
        </w:rPr>
        <w:t>Bezpečná a ekologická doprava v regiónoch</w:t>
      </w:r>
    </w:p>
    <w:p w:rsidR="00A00547" w:rsidRPr="00CC5B4A" w:rsidRDefault="00A00547" w:rsidP="00021B18">
      <w:pPr>
        <w:spacing w:after="40" w:line="320" w:lineRule="exact"/>
        <w:rPr>
          <w:i/>
          <w:szCs w:val="24"/>
        </w:rPr>
      </w:pPr>
      <w:r w:rsidRPr="00CC5B4A">
        <w:rPr>
          <w:b/>
          <w:bCs/>
          <w:i/>
          <w:szCs w:val="24"/>
        </w:rPr>
        <w:t xml:space="preserve">Regionálna mobilita - Podpora regionálnych ciest II. a III. triedy (špecifický cieľ </w:t>
      </w:r>
      <w:r w:rsidRPr="00CC5B4A">
        <w:rPr>
          <w:b/>
          <w:bCs/>
          <w:i/>
          <w:szCs w:val="24"/>
        </w:rPr>
        <w:tab/>
        <w:t>1.1)</w:t>
      </w:r>
    </w:p>
    <w:p w:rsidR="00A00547" w:rsidRPr="00CC5B4A" w:rsidRDefault="00A00547" w:rsidP="00021B18">
      <w:pPr>
        <w:numPr>
          <w:ilvl w:val="1"/>
          <w:numId w:val="2"/>
        </w:numPr>
        <w:spacing w:after="40" w:line="320" w:lineRule="exact"/>
        <w:ind w:left="709" w:right="0" w:hanging="283"/>
        <w:rPr>
          <w:szCs w:val="24"/>
        </w:rPr>
      </w:pPr>
      <w:r w:rsidRPr="00CC5B4A">
        <w:rPr>
          <w:szCs w:val="24"/>
        </w:rPr>
        <w:t>rozvoj miestnych/regionálnych plánov udržateľnej mobility (predpoklad pre všetky navrhované intervencie do dopravného systému),</w:t>
      </w:r>
    </w:p>
    <w:p w:rsidR="00A00547" w:rsidRPr="00CC5B4A" w:rsidRDefault="00A00547" w:rsidP="00021B18">
      <w:pPr>
        <w:numPr>
          <w:ilvl w:val="1"/>
          <w:numId w:val="2"/>
        </w:numPr>
        <w:spacing w:after="40" w:line="320" w:lineRule="exact"/>
        <w:ind w:left="709" w:right="0" w:hanging="283"/>
        <w:rPr>
          <w:szCs w:val="24"/>
        </w:rPr>
      </w:pPr>
      <w:r w:rsidRPr="00CC5B4A">
        <w:rPr>
          <w:szCs w:val="24"/>
        </w:rPr>
        <w:t>rekonštrukcia a modernizácia ciest II. a III. triedy (výnimočne ciest III. triedy, s</w:t>
      </w:r>
      <w:r w:rsidR="0072300B">
        <w:rPr>
          <w:szCs w:val="24"/>
        </w:rPr>
        <w:t> </w:t>
      </w:r>
      <w:r w:rsidRPr="00CC5B4A">
        <w:rPr>
          <w:szCs w:val="24"/>
        </w:rPr>
        <w:t>podmienkou priameho napojenia na sieť TEN-T),</w:t>
      </w:r>
    </w:p>
    <w:p w:rsidR="00A00547" w:rsidRPr="00CC5B4A" w:rsidRDefault="00A00547" w:rsidP="00021B18">
      <w:pPr>
        <w:numPr>
          <w:ilvl w:val="1"/>
          <w:numId w:val="2"/>
        </w:numPr>
        <w:spacing w:after="40" w:line="320" w:lineRule="exact"/>
        <w:ind w:left="709" w:right="0" w:hanging="283"/>
        <w:rPr>
          <w:szCs w:val="24"/>
        </w:rPr>
      </w:pPr>
      <w:r w:rsidRPr="00CC5B4A">
        <w:rPr>
          <w:szCs w:val="24"/>
        </w:rPr>
        <w:t>výstavba nových úsekov ciest II. triedy (výnimočne ciest III. triedy).</w:t>
      </w:r>
    </w:p>
    <w:p w:rsidR="00354C80" w:rsidRDefault="00354C80" w:rsidP="00021B18">
      <w:pPr>
        <w:spacing w:after="40" w:line="320" w:lineRule="exact"/>
        <w:rPr>
          <w:b/>
          <w:bCs/>
          <w:i/>
          <w:szCs w:val="24"/>
        </w:rPr>
      </w:pPr>
    </w:p>
    <w:p w:rsidR="00A00547" w:rsidRPr="00354C80" w:rsidRDefault="00A00547" w:rsidP="00021B18">
      <w:pPr>
        <w:spacing w:after="40" w:line="320" w:lineRule="exact"/>
        <w:rPr>
          <w:b/>
          <w:bCs/>
          <w:i/>
          <w:szCs w:val="24"/>
        </w:rPr>
      </w:pPr>
      <w:r w:rsidRPr="00CC5B4A">
        <w:rPr>
          <w:b/>
          <w:bCs/>
          <w:i/>
          <w:szCs w:val="24"/>
        </w:rPr>
        <w:t xml:space="preserve">Rozvoj ekologicky priaznivých a nízkouhlíkových dopravných systémov </w:t>
      </w:r>
    </w:p>
    <w:p w:rsidR="00A00547" w:rsidRPr="00CC5B4A" w:rsidRDefault="00A00547" w:rsidP="00021B18">
      <w:pPr>
        <w:spacing w:after="40" w:line="320" w:lineRule="exact"/>
        <w:rPr>
          <w:szCs w:val="24"/>
        </w:rPr>
      </w:pPr>
      <w:r w:rsidRPr="00CC5B4A">
        <w:rPr>
          <w:b/>
          <w:bCs/>
          <w:szCs w:val="24"/>
        </w:rPr>
        <w:t xml:space="preserve">Verejná osobná doprava </w:t>
      </w:r>
      <w:r w:rsidRPr="00CC5B4A">
        <w:rPr>
          <w:b/>
          <w:bCs/>
          <w:i/>
          <w:szCs w:val="24"/>
        </w:rPr>
        <w:t>(špecifický cieľ 1.2.1)</w:t>
      </w:r>
      <w:r w:rsidRPr="00CC5B4A">
        <w:rPr>
          <w:b/>
          <w:bCs/>
          <w:szCs w:val="24"/>
        </w:rPr>
        <w:t>:</w:t>
      </w:r>
    </w:p>
    <w:p w:rsidR="00A00547" w:rsidRPr="00CC5B4A" w:rsidRDefault="00A00547" w:rsidP="00021B18">
      <w:pPr>
        <w:numPr>
          <w:ilvl w:val="0"/>
          <w:numId w:val="3"/>
        </w:numPr>
        <w:spacing w:after="40" w:line="320" w:lineRule="exact"/>
        <w:ind w:right="0"/>
        <w:rPr>
          <w:szCs w:val="24"/>
        </w:rPr>
      </w:pPr>
      <w:r w:rsidRPr="00CC5B4A">
        <w:rPr>
          <w:szCs w:val="24"/>
        </w:rPr>
        <w:t xml:space="preserve">spracovanie strategických dokumentov pre oblasť dopravy, </w:t>
      </w:r>
    </w:p>
    <w:p w:rsidR="00A00547" w:rsidRPr="00CC5B4A" w:rsidRDefault="00A00547" w:rsidP="00021B18">
      <w:pPr>
        <w:numPr>
          <w:ilvl w:val="0"/>
          <w:numId w:val="3"/>
        </w:numPr>
        <w:spacing w:after="40" w:line="320" w:lineRule="exact"/>
        <w:ind w:right="0"/>
        <w:rPr>
          <w:szCs w:val="24"/>
        </w:rPr>
      </w:pPr>
      <w:r w:rsidRPr="00CC5B4A">
        <w:rPr>
          <w:szCs w:val="24"/>
        </w:rPr>
        <w:t>zabezpečenie moderných tarifných, informačných a dispečerských systémov, zlepšenie informačného a oznamovacieho systému,</w:t>
      </w:r>
    </w:p>
    <w:p w:rsidR="00A00547" w:rsidRPr="00CC5B4A" w:rsidRDefault="00A00547" w:rsidP="00021B18">
      <w:pPr>
        <w:numPr>
          <w:ilvl w:val="0"/>
          <w:numId w:val="3"/>
        </w:numPr>
        <w:spacing w:after="40" w:line="320" w:lineRule="exact"/>
        <w:ind w:right="0"/>
        <w:rPr>
          <w:szCs w:val="24"/>
        </w:rPr>
      </w:pPr>
      <w:r w:rsidRPr="00CC5B4A">
        <w:rPr>
          <w:szCs w:val="24"/>
        </w:rPr>
        <w:t>zlepšenie infraštruktúry verejnej osobnej dopravy (prestupné uzly, zastávky),</w:t>
      </w:r>
    </w:p>
    <w:p w:rsidR="00A00547" w:rsidRPr="00CC5B4A" w:rsidRDefault="00A00547" w:rsidP="00021B18">
      <w:pPr>
        <w:numPr>
          <w:ilvl w:val="0"/>
          <w:numId w:val="3"/>
        </w:numPr>
        <w:spacing w:after="40" w:line="320" w:lineRule="exact"/>
        <w:ind w:right="0"/>
        <w:rPr>
          <w:szCs w:val="24"/>
        </w:rPr>
      </w:pPr>
      <w:r w:rsidRPr="00CC5B4A">
        <w:rPr>
          <w:szCs w:val="24"/>
        </w:rPr>
        <w:t>zlepšenie kvality vozidlového parku autobusovej dopravy (MHD, prímestská doprava).</w:t>
      </w:r>
    </w:p>
    <w:p w:rsidR="00A00547" w:rsidRPr="00CC5B4A" w:rsidRDefault="00A00547" w:rsidP="00021B18">
      <w:pPr>
        <w:spacing w:after="40" w:line="320" w:lineRule="exact"/>
        <w:rPr>
          <w:szCs w:val="24"/>
        </w:rPr>
      </w:pPr>
      <w:r w:rsidRPr="00CC5B4A">
        <w:rPr>
          <w:b/>
          <w:bCs/>
          <w:szCs w:val="24"/>
        </w:rPr>
        <w:t xml:space="preserve">Cyklistická a nemotorová doprava </w:t>
      </w:r>
      <w:r w:rsidRPr="00CC5B4A">
        <w:rPr>
          <w:b/>
          <w:bCs/>
          <w:i/>
          <w:szCs w:val="24"/>
        </w:rPr>
        <w:t>(špecifický cieľ 1.2.2)</w:t>
      </w:r>
      <w:r w:rsidRPr="00CC5B4A">
        <w:rPr>
          <w:b/>
          <w:bCs/>
          <w:szCs w:val="24"/>
        </w:rPr>
        <w:t xml:space="preserve">: </w:t>
      </w:r>
    </w:p>
    <w:p w:rsidR="00A00547" w:rsidRPr="00CC5B4A" w:rsidRDefault="00A00547" w:rsidP="00021B18">
      <w:pPr>
        <w:numPr>
          <w:ilvl w:val="0"/>
          <w:numId w:val="4"/>
        </w:numPr>
        <w:spacing w:after="40" w:line="320" w:lineRule="exact"/>
        <w:ind w:right="0"/>
        <w:rPr>
          <w:szCs w:val="24"/>
        </w:rPr>
      </w:pPr>
      <w:r w:rsidRPr="00CC5B4A">
        <w:rPr>
          <w:szCs w:val="24"/>
        </w:rPr>
        <w:t>rekonštrukcia, modernizácia a výstavba infraštruktúry pre nemotorovú dopravu (cyklistické komunikácie a doplnková infraštruktúra),</w:t>
      </w:r>
    </w:p>
    <w:p w:rsidR="00A00547" w:rsidRPr="00CC5B4A" w:rsidRDefault="00A00547" w:rsidP="00021B18">
      <w:pPr>
        <w:numPr>
          <w:ilvl w:val="0"/>
          <w:numId w:val="4"/>
        </w:numPr>
        <w:spacing w:after="40" w:line="320" w:lineRule="exact"/>
        <w:ind w:right="0"/>
        <w:rPr>
          <w:szCs w:val="24"/>
        </w:rPr>
      </w:pPr>
      <w:r w:rsidRPr="00CC5B4A">
        <w:rPr>
          <w:szCs w:val="24"/>
        </w:rPr>
        <w:t>propagácia a zvyšovanie atraktivity cyklistickej dopravy.</w:t>
      </w:r>
    </w:p>
    <w:p w:rsidR="00A00547" w:rsidRPr="00CC5B4A" w:rsidRDefault="00A00547" w:rsidP="00021B18">
      <w:pPr>
        <w:spacing w:after="40" w:line="320" w:lineRule="exact"/>
        <w:rPr>
          <w:b/>
          <w:szCs w:val="24"/>
        </w:rPr>
      </w:pPr>
      <w:r w:rsidRPr="00CC5B4A">
        <w:rPr>
          <w:b/>
          <w:szCs w:val="24"/>
        </w:rPr>
        <w:t>Prijímatelia</w:t>
      </w:r>
    </w:p>
    <w:p w:rsidR="00A00547" w:rsidRPr="00CC5B4A" w:rsidRDefault="00A00547" w:rsidP="00021B18">
      <w:pPr>
        <w:spacing w:after="40" w:line="320" w:lineRule="exact"/>
        <w:rPr>
          <w:szCs w:val="24"/>
        </w:rPr>
      </w:pPr>
      <w:r w:rsidRPr="00CC5B4A">
        <w:rPr>
          <w:szCs w:val="24"/>
          <w:u w:val="single"/>
        </w:rPr>
        <w:t>cesty II. a III. triedy</w:t>
      </w:r>
    </w:p>
    <w:p w:rsidR="00A00547" w:rsidRPr="00CC5B4A" w:rsidRDefault="00A00547" w:rsidP="00021B18">
      <w:pPr>
        <w:numPr>
          <w:ilvl w:val="0"/>
          <w:numId w:val="5"/>
        </w:numPr>
        <w:spacing w:after="40" w:line="320" w:lineRule="exact"/>
        <w:ind w:right="0"/>
        <w:rPr>
          <w:szCs w:val="24"/>
        </w:rPr>
      </w:pPr>
      <w:r w:rsidRPr="00CC5B4A">
        <w:rPr>
          <w:szCs w:val="24"/>
        </w:rPr>
        <w:t xml:space="preserve">VÚC, </w:t>
      </w:r>
    </w:p>
    <w:p w:rsidR="00A00547" w:rsidRPr="00CC5B4A" w:rsidRDefault="00A00547" w:rsidP="00021B18">
      <w:pPr>
        <w:numPr>
          <w:ilvl w:val="0"/>
          <w:numId w:val="5"/>
        </w:numPr>
        <w:spacing w:after="40" w:line="320" w:lineRule="exact"/>
        <w:ind w:right="0"/>
        <w:rPr>
          <w:szCs w:val="24"/>
        </w:rPr>
      </w:pPr>
      <w:r w:rsidRPr="00CC5B4A">
        <w:rPr>
          <w:szCs w:val="24"/>
        </w:rPr>
        <w:t>mestá Bratislava a Košice (vlastníci ciest II. a III. triedy).</w:t>
      </w:r>
    </w:p>
    <w:p w:rsidR="00A00547" w:rsidRPr="00CC5B4A" w:rsidRDefault="00A00547" w:rsidP="00021B18">
      <w:pPr>
        <w:spacing w:after="40" w:line="320" w:lineRule="exact"/>
        <w:rPr>
          <w:szCs w:val="24"/>
        </w:rPr>
      </w:pPr>
      <w:r w:rsidRPr="00CC5B4A">
        <w:rPr>
          <w:szCs w:val="24"/>
          <w:u w:val="single"/>
        </w:rPr>
        <w:t>IDS + cyklodoprava/nemotorová doprava</w:t>
      </w:r>
    </w:p>
    <w:p w:rsidR="00A00547" w:rsidRPr="00CC5B4A" w:rsidRDefault="00A00547" w:rsidP="00021B18">
      <w:pPr>
        <w:numPr>
          <w:ilvl w:val="0"/>
          <w:numId w:val="6"/>
        </w:numPr>
        <w:spacing w:after="40" w:line="320" w:lineRule="exact"/>
        <w:ind w:right="0"/>
        <w:rPr>
          <w:szCs w:val="24"/>
        </w:rPr>
      </w:pPr>
      <w:r w:rsidRPr="00CC5B4A">
        <w:rPr>
          <w:szCs w:val="24"/>
        </w:rPr>
        <w:t>mestá, obce, združenia obcí, VÚC,</w:t>
      </w:r>
    </w:p>
    <w:p w:rsidR="00A00547" w:rsidRPr="00CC5B4A" w:rsidRDefault="00A00547" w:rsidP="00021B18">
      <w:pPr>
        <w:numPr>
          <w:ilvl w:val="0"/>
          <w:numId w:val="6"/>
        </w:numPr>
        <w:spacing w:after="40" w:line="320" w:lineRule="exact"/>
        <w:ind w:right="0"/>
        <w:rPr>
          <w:szCs w:val="24"/>
        </w:rPr>
      </w:pPr>
      <w:r w:rsidRPr="00CC5B4A">
        <w:rPr>
          <w:szCs w:val="24"/>
        </w:rPr>
        <w:t xml:space="preserve">subjekty poskytujúce pravidelnú verejnú osobnú dopravu, subjekty organizujúce integrované dopravné systémy. </w:t>
      </w:r>
    </w:p>
    <w:p w:rsidR="00A00547" w:rsidRPr="00CC5B4A" w:rsidRDefault="00A00547" w:rsidP="00021B18">
      <w:pPr>
        <w:spacing w:after="40" w:line="320" w:lineRule="exact"/>
        <w:ind w:left="360" w:hanging="360"/>
        <w:rPr>
          <w:b/>
          <w:szCs w:val="24"/>
        </w:rPr>
      </w:pPr>
      <w:r w:rsidRPr="00CC5B4A">
        <w:rPr>
          <w:b/>
          <w:szCs w:val="24"/>
        </w:rPr>
        <w:tab/>
      </w:r>
      <w:r w:rsidRPr="00CC5B4A">
        <w:rPr>
          <w:b/>
          <w:szCs w:val="24"/>
        </w:rPr>
        <w:tab/>
        <w:t>Cieľové územie</w:t>
      </w:r>
    </w:p>
    <w:p w:rsidR="00A00547" w:rsidRPr="00CC5B4A" w:rsidRDefault="00A00547" w:rsidP="00021B18">
      <w:pPr>
        <w:numPr>
          <w:ilvl w:val="0"/>
          <w:numId w:val="6"/>
        </w:numPr>
        <w:spacing w:after="40" w:line="320" w:lineRule="exact"/>
        <w:ind w:right="0"/>
        <w:rPr>
          <w:szCs w:val="24"/>
        </w:rPr>
      </w:pPr>
      <w:r w:rsidRPr="00CC5B4A">
        <w:rPr>
          <w:szCs w:val="24"/>
        </w:rPr>
        <w:t xml:space="preserve">SR, v prípade VOD – mestské aglomerácie. </w:t>
      </w:r>
    </w:p>
    <w:p w:rsidR="00354C80" w:rsidRDefault="00354C80" w:rsidP="00021B18">
      <w:pPr>
        <w:spacing w:after="40" w:line="320" w:lineRule="exact"/>
        <w:rPr>
          <w:b/>
          <w:szCs w:val="24"/>
        </w:rPr>
      </w:pPr>
    </w:p>
    <w:p w:rsidR="00A00547" w:rsidRPr="00CC5B4A" w:rsidRDefault="00A00547" w:rsidP="00021B18">
      <w:pPr>
        <w:spacing w:after="40" w:line="320" w:lineRule="exact"/>
        <w:rPr>
          <w:szCs w:val="24"/>
        </w:rPr>
      </w:pPr>
      <w:r w:rsidRPr="00CC5B4A">
        <w:rPr>
          <w:b/>
          <w:szCs w:val="24"/>
        </w:rPr>
        <w:t xml:space="preserve">Alokácie na prioritnú os: </w:t>
      </w:r>
      <w:r w:rsidRPr="00CC5B4A">
        <w:rPr>
          <w:b/>
          <w:szCs w:val="24"/>
        </w:rPr>
        <w:tab/>
        <w:t xml:space="preserve">421 mil. </w:t>
      </w:r>
      <w:r w:rsidR="00565EDA">
        <w:rPr>
          <w:b/>
          <w:szCs w:val="24"/>
        </w:rPr>
        <w:t>€</w:t>
      </w:r>
      <w:r w:rsidRPr="00CC5B4A">
        <w:rPr>
          <w:b/>
          <w:szCs w:val="24"/>
        </w:rPr>
        <w:t xml:space="preserve"> (EFRR), 512 588 239 </w:t>
      </w:r>
      <w:r w:rsidR="00565EDA">
        <w:rPr>
          <w:b/>
          <w:szCs w:val="24"/>
        </w:rPr>
        <w:t>€</w:t>
      </w:r>
      <w:r w:rsidRPr="00CC5B4A">
        <w:rPr>
          <w:b/>
          <w:szCs w:val="24"/>
        </w:rPr>
        <w:t xml:space="preserve"> (spolu) </w:t>
      </w:r>
    </w:p>
    <w:p w:rsidR="00A00547" w:rsidRPr="00CC5B4A" w:rsidRDefault="00A00547" w:rsidP="00021B18">
      <w:pPr>
        <w:spacing w:after="40" w:line="320" w:lineRule="exact"/>
        <w:rPr>
          <w:szCs w:val="24"/>
        </w:rPr>
      </w:pPr>
      <w:r w:rsidRPr="00CC5B4A">
        <w:rPr>
          <w:szCs w:val="24"/>
        </w:rPr>
        <w:t xml:space="preserve">menej rozvinutý región: </w:t>
      </w:r>
      <w:r w:rsidRPr="00CC5B4A">
        <w:rPr>
          <w:szCs w:val="24"/>
        </w:rPr>
        <w:tab/>
        <w:t xml:space="preserve">400 mil. </w:t>
      </w:r>
      <w:r w:rsidR="00565EDA">
        <w:rPr>
          <w:szCs w:val="24"/>
        </w:rPr>
        <w:t>€</w:t>
      </w:r>
      <w:r w:rsidRPr="00CC5B4A">
        <w:rPr>
          <w:szCs w:val="24"/>
        </w:rPr>
        <w:t xml:space="preserve"> (EFRR), 470 588 239 </w:t>
      </w:r>
      <w:r w:rsidR="00565EDA">
        <w:rPr>
          <w:szCs w:val="24"/>
        </w:rPr>
        <w:t>€</w:t>
      </w:r>
      <w:r w:rsidRPr="00CC5B4A">
        <w:rPr>
          <w:szCs w:val="24"/>
        </w:rPr>
        <w:t xml:space="preserve"> (spolu)</w:t>
      </w:r>
    </w:p>
    <w:p w:rsidR="00A00547" w:rsidRDefault="00A00547" w:rsidP="00021B18">
      <w:pPr>
        <w:spacing w:after="40" w:line="320" w:lineRule="exact"/>
        <w:rPr>
          <w:szCs w:val="24"/>
        </w:rPr>
      </w:pPr>
      <w:r w:rsidRPr="00CC5B4A">
        <w:rPr>
          <w:szCs w:val="24"/>
        </w:rPr>
        <w:t>viac rozvinutý región:</w:t>
      </w:r>
      <w:r w:rsidRPr="00CC5B4A">
        <w:rPr>
          <w:szCs w:val="24"/>
        </w:rPr>
        <w:tab/>
      </w:r>
      <w:r w:rsidRPr="00CC5B4A">
        <w:rPr>
          <w:szCs w:val="24"/>
        </w:rPr>
        <w:tab/>
      </w:r>
      <w:r w:rsidR="00747ED8">
        <w:rPr>
          <w:szCs w:val="24"/>
        </w:rPr>
        <w:t xml:space="preserve">  </w:t>
      </w:r>
      <w:r w:rsidRPr="00CC5B4A">
        <w:rPr>
          <w:szCs w:val="24"/>
        </w:rPr>
        <w:t xml:space="preserve">21 mil. </w:t>
      </w:r>
      <w:r w:rsidR="00565EDA">
        <w:rPr>
          <w:szCs w:val="24"/>
        </w:rPr>
        <w:t>€</w:t>
      </w:r>
      <w:r w:rsidRPr="00CC5B4A">
        <w:rPr>
          <w:szCs w:val="24"/>
        </w:rPr>
        <w:t xml:space="preserve"> (EFRR), 42 mil. </w:t>
      </w:r>
      <w:r w:rsidR="00565EDA">
        <w:rPr>
          <w:szCs w:val="24"/>
        </w:rPr>
        <w:t>€</w:t>
      </w:r>
      <w:r w:rsidRPr="00CC5B4A">
        <w:rPr>
          <w:szCs w:val="24"/>
        </w:rPr>
        <w:t xml:space="preserve"> (spolu)</w:t>
      </w:r>
    </w:p>
    <w:p w:rsidR="00A64E53" w:rsidRPr="00CC5B4A" w:rsidRDefault="00A64E53" w:rsidP="00021B18">
      <w:pPr>
        <w:spacing w:after="40" w:line="320" w:lineRule="exact"/>
        <w:rPr>
          <w:szCs w:val="24"/>
        </w:rPr>
      </w:pPr>
    </w:p>
    <w:p w:rsidR="00A00547" w:rsidRPr="00CC5B4A" w:rsidRDefault="00A00547" w:rsidP="00021B18">
      <w:pPr>
        <w:spacing w:after="40" w:line="320" w:lineRule="exact"/>
        <w:rPr>
          <w:b/>
          <w:szCs w:val="24"/>
          <w:u w:val="single"/>
        </w:rPr>
      </w:pPr>
      <w:r w:rsidRPr="00CC5B4A">
        <w:rPr>
          <w:b/>
          <w:szCs w:val="24"/>
          <w:u w:val="single"/>
        </w:rPr>
        <w:t xml:space="preserve">Prioritná os č. 2: </w:t>
      </w:r>
      <w:r w:rsidRPr="00CC5B4A">
        <w:rPr>
          <w:b/>
          <w:bCs/>
          <w:szCs w:val="24"/>
          <w:u w:val="single"/>
        </w:rPr>
        <w:t>Ľahší prístup k efektívnym a kvalitnejším verejným službám</w:t>
      </w:r>
      <w:r w:rsidRPr="00CC5B4A">
        <w:rPr>
          <w:b/>
          <w:szCs w:val="24"/>
          <w:u w:val="single"/>
        </w:rPr>
        <w:t xml:space="preserve"> </w:t>
      </w:r>
    </w:p>
    <w:p w:rsidR="00A00547" w:rsidRPr="00CC5B4A" w:rsidRDefault="00A00547" w:rsidP="00021B18">
      <w:pPr>
        <w:spacing w:after="40" w:line="320" w:lineRule="exact"/>
        <w:rPr>
          <w:i/>
          <w:szCs w:val="24"/>
        </w:rPr>
      </w:pPr>
      <w:r w:rsidRPr="00CC5B4A">
        <w:rPr>
          <w:b/>
          <w:bCs/>
          <w:i/>
          <w:szCs w:val="24"/>
        </w:rPr>
        <w:t>Podpora sociálnej infraštruktúry (špecifický cieľ 2.1.1)</w:t>
      </w:r>
    </w:p>
    <w:p w:rsidR="00A00547" w:rsidRPr="00CC5B4A" w:rsidRDefault="00A00547" w:rsidP="00021B18">
      <w:pPr>
        <w:numPr>
          <w:ilvl w:val="0"/>
          <w:numId w:val="7"/>
        </w:numPr>
        <w:spacing w:after="40" w:line="320" w:lineRule="exact"/>
        <w:ind w:right="0"/>
        <w:rPr>
          <w:szCs w:val="24"/>
        </w:rPr>
      </w:pPr>
      <w:r w:rsidRPr="00CC5B4A">
        <w:rPr>
          <w:szCs w:val="24"/>
        </w:rPr>
        <w:lastRenderedPageBreak/>
        <w:t xml:space="preserve">investície do zariadení </w:t>
      </w:r>
      <w:r w:rsidRPr="00CC5B4A">
        <w:rPr>
          <w:b/>
          <w:bCs/>
          <w:szCs w:val="24"/>
        </w:rPr>
        <w:t xml:space="preserve">sociálnych služieb </w:t>
      </w:r>
      <w:r w:rsidRPr="00CC5B4A">
        <w:rPr>
          <w:szCs w:val="24"/>
        </w:rPr>
        <w:t>(napr. podporované bývanie, detské jasle) a</w:t>
      </w:r>
      <w:r w:rsidR="0072300B">
        <w:rPr>
          <w:szCs w:val="24"/>
        </w:rPr>
        <w:t> </w:t>
      </w:r>
      <w:r w:rsidRPr="00CC5B4A">
        <w:rPr>
          <w:b/>
          <w:bCs/>
          <w:szCs w:val="24"/>
        </w:rPr>
        <w:t xml:space="preserve">náhradnej starostlivosti </w:t>
      </w:r>
      <w:r w:rsidRPr="00CC5B4A">
        <w:rPr>
          <w:szCs w:val="24"/>
        </w:rPr>
        <w:t>(napr. detské domovy) – veľkokapacitné objekty sa</w:t>
      </w:r>
      <w:r w:rsidR="0072300B">
        <w:rPr>
          <w:szCs w:val="24"/>
        </w:rPr>
        <w:t> </w:t>
      </w:r>
      <w:r w:rsidRPr="00CC5B4A">
        <w:rPr>
          <w:szCs w:val="24"/>
        </w:rPr>
        <w:t>podporovať nebudú,</w:t>
      </w:r>
    </w:p>
    <w:p w:rsidR="00A00547" w:rsidRPr="00CC5B4A" w:rsidRDefault="00A00547" w:rsidP="00021B18">
      <w:pPr>
        <w:numPr>
          <w:ilvl w:val="0"/>
          <w:numId w:val="7"/>
        </w:numPr>
        <w:spacing w:after="40" w:line="320" w:lineRule="exact"/>
        <w:ind w:right="0"/>
        <w:rPr>
          <w:szCs w:val="24"/>
        </w:rPr>
      </w:pPr>
      <w:r w:rsidRPr="00CC5B4A">
        <w:rPr>
          <w:b/>
          <w:bCs/>
          <w:szCs w:val="24"/>
        </w:rPr>
        <w:t xml:space="preserve">investície do budov - </w:t>
      </w:r>
      <w:r w:rsidRPr="00CC5B4A">
        <w:rPr>
          <w:szCs w:val="24"/>
        </w:rPr>
        <w:t>rekonštrukcia (vrátane rozširovania) a modernizácia objektov, zriaďovanie a výstavba nových objektov,</w:t>
      </w:r>
    </w:p>
    <w:p w:rsidR="00A00547" w:rsidRPr="00CC5B4A" w:rsidRDefault="00A00547" w:rsidP="00021B18">
      <w:pPr>
        <w:numPr>
          <w:ilvl w:val="0"/>
          <w:numId w:val="7"/>
        </w:numPr>
        <w:spacing w:after="40" w:line="320" w:lineRule="exact"/>
        <w:ind w:right="0"/>
        <w:rPr>
          <w:szCs w:val="24"/>
        </w:rPr>
      </w:pPr>
      <w:r w:rsidRPr="00CC5B4A">
        <w:rPr>
          <w:b/>
          <w:bCs/>
          <w:szCs w:val="24"/>
        </w:rPr>
        <w:t>investície do materiálno-technického vybavenia zariadení.</w:t>
      </w:r>
    </w:p>
    <w:p w:rsidR="00A00547" w:rsidRPr="00CC5B4A" w:rsidRDefault="00A00547" w:rsidP="00021B18">
      <w:pPr>
        <w:spacing w:after="40" w:line="320" w:lineRule="exact"/>
        <w:rPr>
          <w:b/>
          <w:szCs w:val="24"/>
        </w:rPr>
      </w:pPr>
      <w:r w:rsidRPr="00CC5B4A">
        <w:rPr>
          <w:b/>
          <w:szCs w:val="24"/>
        </w:rPr>
        <w:t xml:space="preserve">Prijímatelia </w:t>
      </w:r>
    </w:p>
    <w:p w:rsidR="00A00547" w:rsidRPr="00CC5B4A" w:rsidRDefault="00A00547" w:rsidP="00021B18">
      <w:pPr>
        <w:pStyle w:val="Odsekzoznamu"/>
        <w:numPr>
          <w:ilvl w:val="0"/>
          <w:numId w:val="8"/>
        </w:numPr>
        <w:spacing w:after="40" w:line="320" w:lineRule="exact"/>
        <w:jc w:val="both"/>
        <w:rPr>
          <w:rFonts w:ascii="Times New Roman" w:hAnsi="Times New Roman" w:cs="Times New Roman"/>
          <w:sz w:val="24"/>
          <w:szCs w:val="24"/>
        </w:rPr>
      </w:pPr>
      <w:r w:rsidRPr="00CC5B4A">
        <w:rPr>
          <w:rFonts w:ascii="Times New Roman" w:hAnsi="Times New Roman" w:cs="Times New Roman"/>
          <w:sz w:val="24"/>
          <w:szCs w:val="24"/>
        </w:rPr>
        <w:t>poskytovatelia sociálnych služieb (napr. obce, právnická osoba zriadená alebo založená obcou alebo VÚC, neverejní poskytovatelia),</w:t>
      </w:r>
    </w:p>
    <w:p w:rsidR="00A00547" w:rsidRPr="00CC5B4A" w:rsidRDefault="00A00547" w:rsidP="00021B18">
      <w:pPr>
        <w:numPr>
          <w:ilvl w:val="0"/>
          <w:numId w:val="8"/>
        </w:numPr>
        <w:spacing w:after="40" w:line="320" w:lineRule="exact"/>
        <w:ind w:right="0"/>
        <w:rPr>
          <w:szCs w:val="24"/>
        </w:rPr>
      </w:pPr>
      <w:r w:rsidRPr="00CC5B4A">
        <w:rPr>
          <w:szCs w:val="24"/>
        </w:rPr>
        <w:t>zriaďovatelia poskytovateľov sociálnych služieb (napr. VÚC),</w:t>
      </w:r>
    </w:p>
    <w:p w:rsidR="00A00547" w:rsidRPr="00CC5B4A" w:rsidRDefault="00A00547" w:rsidP="00021B18">
      <w:pPr>
        <w:numPr>
          <w:ilvl w:val="0"/>
          <w:numId w:val="8"/>
        </w:numPr>
        <w:spacing w:after="40" w:line="320" w:lineRule="exact"/>
        <w:ind w:right="0"/>
        <w:rPr>
          <w:szCs w:val="24"/>
        </w:rPr>
      </w:pPr>
      <w:r w:rsidRPr="00CC5B4A">
        <w:rPr>
          <w:szCs w:val="24"/>
        </w:rPr>
        <w:t xml:space="preserve">zriaďovatelia zariadení na výkon opatrení sociálnoprávnej ochrany detí a sociálnej kurately (obec, </w:t>
      </w:r>
      <w:r w:rsidRPr="00ED121D">
        <w:rPr>
          <w:szCs w:val="24"/>
        </w:rPr>
        <w:t xml:space="preserve">VÚC, Ústredie </w:t>
      </w:r>
      <w:r w:rsidR="00F25257" w:rsidRPr="00ED121D">
        <w:rPr>
          <w:szCs w:val="24"/>
        </w:rPr>
        <w:t>p</w:t>
      </w:r>
      <w:r w:rsidR="009E13D6" w:rsidRPr="00ED121D">
        <w:rPr>
          <w:szCs w:val="24"/>
        </w:rPr>
        <w:t>ráce sociálnych vecí a rodiny</w:t>
      </w:r>
      <w:r w:rsidRPr="00ED121D">
        <w:rPr>
          <w:szCs w:val="24"/>
        </w:rPr>
        <w:t>, akreditované</w:t>
      </w:r>
      <w:r w:rsidRPr="00CC5B4A">
        <w:rPr>
          <w:szCs w:val="24"/>
        </w:rPr>
        <w:t xml:space="preserve"> fyzické a</w:t>
      </w:r>
      <w:r w:rsidR="00021B18">
        <w:rPr>
          <w:szCs w:val="24"/>
        </w:rPr>
        <w:t> </w:t>
      </w:r>
      <w:r w:rsidRPr="00CC5B4A">
        <w:rPr>
          <w:szCs w:val="24"/>
        </w:rPr>
        <w:t>právnické osoby).</w:t>
      </w:r>
    </w:p>
    <w:p w:rsidR="00A00547" w:rsidRPr="00CC5B4A" w:rsidRDefault="00A00547" w:rsidP="00021B18">
      <w:pPr>
        <w:spacing w:after="40" w:line="320" w:lineRule="exact"/>
        <w:rPr>
          <w:szCs w:val="24"/>
        </w:rPr>
      </w:pPr>
      <w:r w:rsidRPr="00CC5B4A">
        <w:rPr>
          <w:b/>
          <w:szCs w:val="24"/>
        </w:rPr>
        <w:t>Cieľové územie:</w:t>
      </w:r>
      <w:r w:rsidRPr="00CC5B4A">
        <w:rPr>
          <w:szCs w:val="24"/>
        </w:rPr>
        <w:t xml:space="preserve"> celé územie SR.</w:t>
      </w:r>
    </w:p>
    <w:p w:rsidR="00A00547" w:rsidRPr="00CC5B4A" w:rsidRDefault="00A00547" w:rsidP="00021B18">
      <w:pPr>
        <w:spacing w:after="40" w:line="320" w:lineRule="exact"/>
        <w:jc w:val="left"/>
        <w:rPr>
          <w:szCs w:val="24"/>
        </w:rPr>
      </w:pPr>
      <w:r w:rsidRPr="00CC5B4A">
        <w:rPr>
          <w:b/>
          <w:szCs w:val="24"/>
        </w:rPr>
        <w:t>Alokácie na špecifický cieľ:</w:t>
      </w:r>
      <w:r w:rsidRPr="00CC5B4A">
        <w:rPr>
          <w:b/>
          <w:szCs w:val="24"/>
        </w:rPr>
        <w:tab/>
        <w:t xml:space="preserve">214 913 197 </w:t>
      </w:r>
      <w:r w:rsidR="00565EDA">
        <w:rPr>
          <w:b/>
          <w:szCs w:val="24"/>
        </w:rPr>
        <w:t>€</w:t>
      </w:r>
      <w:r w:rsidRPr="00CC5B4A">
        <w:rPr>
          <w:b/>
          <w:szCs w:val="24"/>
        </w:rPr>
        <w:t xml:space="preserve"> (EFRR), 262 364 597 </w:t>
      </w:r>
      <w:r w:rsidR="00565EDA">
        <w:rPr>
          <w:b/>
          <w:szCs w:val="24"/>
        </w:rPr>
        <w:t>€</w:t>
      </w:r>
      <w:r w:rsidRPr="00CC5B4A">
        <w:rPr>
          <w:b/>
          <w:szCs w:val="24"/>
        </w:rPr>
        <w:t xml:space="preserve"> (spolu)</w:t>
      </w:r>
    </w:p>
    <w:p w:rsidR="00A00547" w:rsidRPr="00CC5B4A" w:rsidRDefault="00A00547" w:rsidP="00021B18">
      <w:pPr>
        <w:spacing w:after="40" w:line="320" w:lineRule="exact"/>
        <w:rPr>
          <w:szCs w:val="24"/>
        </w:rPr>
      </w:pPr>
      <w:r w:rsidRPr="00CC5B4A">
        <w:rPr>
          <w:szCs w:val="24"/>
        </w:rPr>
        <w:t xml:space="preserve">menej rozvinutý región: </w:t>
      </w:r>
      <w:r w:rsidRPr="00CC5B4A">
        <w:rPr>
          <w:szCs w:val="24"/>
        </w:rPr>
        <w:tab/>
        <w:t xml:space="preserve">203 346 472 </w:t>
      </w:r>
      <w:r w:rsidR="00565EDA">
        <w:rPr>
          <w:szCs w:val="24"/>
        </w:rPr>
        <w:t>€</w:t>
      </w:r>
      <w:r w:rsidRPr="00CC5B4A">
        <w:rPr>
          <w:szCs w:val="24"/>
        </w:rPr>
        <w:t xml:space="preserve"> (EFRR), 239 231 146 </w:t>
      </w:r>
      <w:r w:rsidR="00565EDA">
        <w:rPr>
          <w:szCs w:val="24"/>
        </w:rPr>
        <w:t>€</w:t>
      </w:r>
      <w:r w:rsidRPr="00CC5B4A">
        <w:rPr>
          <w:szCs w:val="24"/>
        </w:rPr>
        <w:t xml:space="preserve"> (spolu)</w:t>
      </w:r>
    </w:p>
    <w:p w:rsidR="00A00547" w:rsidRPr="00CC5B4A" w:rsidRDefault="00A00547" w:rsidP="00021B18">
      <w:pPr>
        <w:spacing w:after="40" w:line="320" w:lineRule="exact"/>
        <w:rPr>
          <w:szCs w:val="24"/>
        </w:rPr>
      </w:pPr>
      <w:r w:rsidRPr="00CC5B4A">
        <w:rPr>
          <w:szCs w:val="24"/>
        </w:rPr>
        <w:t>viac rozvinutý región:</w:t>
      </w:r>
      <w:r w:rsidRPr="00CC5B4A">
        <w:rPr>
          <w:szCs w:val="24"/>
        </w:rPr>
        <w:tab/>
      </w:r>
      <w:r w:rsidRPr="00CC5B4A">
        <w:rPr>
          <w:szCs w:val="24"/>
        </w:rPr>
        <w:tab/>
      </w:r>
      <w:r w:rsidR="00747ED8">
        <w:rPr>
          <w:szCs w:val="24"/>
        </w:rPr>
        <w:t xml:space="preserve"> </w:t>
      </w:r>
      <w:r w:rsidRPr="00CC5B4A">
        <w:rPr>
          <w:szCs w:val="24"/>
        </w:rPr>
        <w:t xml:space="preserve">11 566 725 </w:t>
      </w:r>
      <w:r w:rsidR="00565EDA">
        <w:rPr>
          <w:szCs w:val="24"/>
        </w:rPr>
        <w:t>€</w:t>
      </w:r>
      <w:r w:rsidRPr="00CC5B4A">
        <w:rPr>
          <w:szCs w:val="24"/>
        </w:rPr>
        <w:t xml:space="preserve"> (EFRR), </w:t>
      </w:r>
      <w:r w:rsidR="00747ED8">
        <w:rPr>
          <w:szCs w:val="24"/>
        </w:rPr>
        <w:t xml:space="preserve">   </w:t>
      </w:r>
      <w:r w:rsidRPr="00CC5B4A">
        <w:rPr>
          <w:szCs w:val="24"/>
        </w:rPr>
        <w:t xml:space="preserve">23 133 451 </w:t>
      </w:r>
      <w:r w:rsidR="00565EDA">
        <w:rPr>
          <w:szCs w:val="24"/>
        </w:rPr>
        <w:t>€</w:t>
      </w:r>
      <w:r w:rsidRPr="00CC5B4A">
        <w:rPr>
          <w:szCs w:val="24"/>
        </w:rPr>
        <w:t xml:space="preserve"> (spolu)</w:t>
      </w:r>
    </w:p>
    <w:p w:rsidR="00354C80" w:rsidRDefault="00354C80" w:rsidP="00021B18">
      <w:pPr>
        <w:spacing w:after="40" w:line="320" w:lineRule="exact"/>
        <w:rPr>
          <w:b/>
          <w:bCs/>
          <w:i/>
          <w:szCs w:val="24"/>
        </w:rPr>
      </w:pPr>
    </w:p>
    <w:p w:rsidR="00A00547" w:rsidRPr="00CC5B4A" w:rsidRDefault="00A00547" w:rsidP="00021B18">
      <w:pPr>
        <w:spacing w:after="40" w:line="320" w:lineRule="exact"/>
        <w:rPr>
          <w:i/>
          <w:szCs w:val="24"/>
        </w:rPr>
      </w:pPr>
      <w:r w:rsidRPr="00CC5B4A">
        <w:rPr>
          <w:b/>
          <w:bCs/>
          <w:i/>
          <w:szCs w:val="24"/>
        </w:rPr>
        <w:t xml:space="preserve">Podpora zdravotníckej infraštruktúry (špecifický cieľ 2.1.2 a 2.1.3 ) </w:t>
      </w:r>
    </w:p>
    <w:p w:rsidR="00A00547" w:rsidRPr="00CC5B4A" w:rsidRDefault="00A00547" w:rsidP="00021B18">
      <w:pPr>
        <w:pStyle w:val="Odsekzoznamu"/>
        <w:numPr>
          <w:ilvl w:val="0"/>
          <w:numId w:val="9"/>
        </w:numPr>
        <w:spacing w:after="40" w:line="320" w:lineRule="exact"/>
        <w:ind w:left="709" w:hanging="425"/>
        <w:jc w:val="both"/>
        <w:rPr>
          <w:rFonts w:ascii="Times New Roman" w:hAnsi="Times New Roman" w:cs="Times New Roman"/>
          <w:sz w:val="24"/>
          <w:szCs w:val="24"/>
        </w:rPr>
      </w:pPr>
      <w:r w:rsidRPr="00CC5B4A">
        <w:rPr>
          <w:rFonts w:ascii="Times New Roman" w:hAnsi="Times New Roman" w:cs="Times New Roman"/>
          <w:sz w:val="24"/>
          <w:szCs w:val="24"/>
        </w:rPr>
        <w:t xml:space="preserve">budovanie infraštruktúry </w:t>
      </w:r>
      <w:r w:rsidRPr="00CC5B4A">
        <w:rPr>
          <w:rFonts w:ascii="Times New Roman" w:hAnsi="Times New Roman" w:cs="Times New Roman"/>
          <w:b/>
          <w:bCs/>
          <w:sz w:val="24"/>
          <w:szCs w:val="24"/>
        </w:rPr>
        <w:t>centier integrovanej zdravotnej starostlivosti,</w:t>
      </w:r>
    </w:p>
    <w:p w:rsidR="00A00547" w:rsidRPr="00CC5B4A" w:rsidRDefault="00A00547" w:rsidP="00021B18">
      <w:pPr>
        <w:pStyle w:val="Odsekzoznamu"/>
        <w:numPr>
          <w:ilvl w:val="0"/>
          <w:numId w:val="9"/>
        </w:numPr>
        <w:spacing w:after="40" w:line="320" w:lineRule="exact"/>
        <w:ind w:left="709" w:hanging="425"/>
        <w:jc w:val="both"/>
        <w:rPr>
          <w:rFonts w:ascii="Times New Roman" w:hAnsi="Times New Roman" w:cs="Times New Roman"/>
          <w:sz w:val="24"/>
          <w:szCs w:val="24"/>
        </w:rPr>
      </w:pPr>
      <w:r w:rsidRPr="00CC5B4A">
        <w:rPr>
          <w:rFonts w:ascii="Times New Roman" w:hAnsi="Times New Roman" w:cs="Times New Roman"/>
          <w:sz w:val="24"/>
          <w:szCs w:val="24"/>
        </w:rPr>
        <w:t xml:space="preserve">modernizácia </w:t>
      </w:r>
      <w:r w:rsidRPr="00CC5B4A">
        <w:rPr>
          <w:rFonts w:ascii="Times New Roman" w:hAnsi="Times New Roman" w:cs="Times New Roman"/>
          <w:b/>
          <w:bCs/>
          <w:sz w:val="24"/>
          <w:szCs w:val="24"/>
        </w:rPr>
        <w:t xml:space="preserve">infraštruktúry nemocníc </w:t>
      </w:r>
      <w:r w:rsidRPr="00CC5B4A">
        <w:rPr>
          <w:rFonts w:ascii="Times New Roman" w:hAnsi="Times New Roman" w:cs="Times New Roman"/>
          <w:sz w:val="24"/>
          <w:szCs w:val="24"/>
        </w:rPr>
        <w:t>poskytujúcich akútnu zdravotnú starostlivosť za účelom zlepšenia ich produktivity,</w:t>
      </w:r>
    </w:p>
    <w:p w:rsidR="00A00547" w:rsidRPr="00CC5B4A" w:rsidRDefault="00A00547" w:rsidP="00021B18">
      <w:pPr>
        <w:pStyle w:val="Odsekzoznamu"/>
        <w:numPr>
          <w:ilvl w:val="0"/>
          <w:numId w:val="9"/>
        </w:numPr>
        <w:spacing w:after="40" w:line="320" w:lineRule="exact"/>
        <w:ind w:left="709" w:hanging="425"/>
        <w:jc w:val="both"/>
        <w:rPr>
          <w:rFonts w:ascii="Times New Roman" w:hAnsi="Times New Roman" w:cs="Times New Roman"/>
          <w:sz w:val="24"/>
          <w:szCs w:val="24"/>
        </w:rPr>
      </w:pPr>
      <w:r w:rsidRPr="00CC5B4A">
        <w:rPr>
          <w:rFonts w:ascii="Times New Roman" w:hAnsi="Times New Roman" w:cs="Times New Roman"/>
          <w:b/>
          <w:bCs/>
          <w:sz w:val="24"/>
          <w:szCs w:val="24"/>
        </w:rPr>
        <w:t xml:space="preserve">investície do budov </w:t>
      </w:r>
      <w:r w:rsidRPr="00CC5B4A">
        <w:rPr>
          <w:rFonts w:ascii="Times New Roman" w:hAnsi="Times New Roman" w:cs="Times New Roman"/>
          <w:sz w:val="24"/>
          <w:szCs w:val="24"/>
        </w:rPr>
        <w:t>a materiálno-technického vybavenia.</w:t>
      </w:r>
    </w:p>
    <w:p w:rsidR="00A00547" w:rsidRPr="00CC5B4A" w:rsidRDefault="00A00547" w:rsidP="00021B18">
      <w:pPr>
        <w:spacing w:after="40" w:line="320" w:lineRule="exact"/>
        <w:rPr>
          <w:b/>
          <w:szCs w:val="24"/>
        </w:rPr>
      </w:pPr>
      <w:r w:rsidRPr="00CC5B4A">
        <w:rPr>
          <w:b/>
          <w:szCs w:val="24"/>
        </w:rPr>
        <w:t xml:space="preserve">Prijímatelia: </w:t>
      </w:r>
    </w:p>
    <w:p w:rsidR="00A00547" w:rsidRPr="00CC5B4A" w:rsidRDefault="00A00547" w:rsidP="00021B18">
      <w:pPr>
        <w:numPr>
          <w:ilvl w:val="0"/>
          <w:numId w:val="10"/>
        </w:numPr>
        <w:spacing w:after="40" w:line="320" w:lineRule="exact"/>
        <w:ind w:right="0" w:hanging="436"/>
        <w:rPr>
          <w:szCs w:val="24"/>
        </w:rPr>
      </w:pPr>
      <w:r w:rsidRPr="00CC5B4A">
        <w:rPr>
          <w:szCs w:val="24"/>
        </w:rPr>
        <w:t>neziskové organizácie zriadené Ministerstvom zdravotníctva SR v spolupráci s VÚC a obcami,</w:t>
      </w:r>
    </w:p>
    <w:p w:rsidR="00A00547" w:rsidRPr="00CC5B4A" w:rsidRDefault="00A00547" w:rsidP="00021B18">
      <w:pPr>
        <w:numPr>
          <w:ilvl w:val="0"/>
          <w:numId w:val="10"/>
        </w:numPr>
        <w:spacing w:after="40" w:line="320" w:lineRule="exact"/>
        <w:ind w:right="0" w:hanging="436"/>
        <w:rPr>
          <w:szCs w:val="24"/>
        </w:rPr>
      </w:pPr>
      <w:r w:rsidRPr="00CC5B4A">
        <w:rPr>
          <w:szCs w:val="24"/>
        </w:rPr>
        <w:t>všeobecné nemocnice.</w:t>
      </w:r>
    </w:p>
    <w:p w:rsidR="00A00547" w:rsidRPr="00CC5B4A" w:rsidRDefault="00A00547" w:rsidP="00021B18">
      <w:pPr>
        <w:spacing w:after="40" w:line="320" w:lineRule="exact"/>
        <w:rPr>
          <w:szCs w:val="24"/>
        </w:rPr>
      </w:pPr>
      <w:r w:rsidRPr="00CC5B4A">
        <w:rPr>
          <w:b/>
          <w:szCs w:val="24"/>
        </w:rPr>
        <w:t>Cieľové územie:</w:t>
      </w:r>
      <w:r w:rsidRPr="00CC5B4A">
        <w:rPr>
          <w:szCs w:val="24"/>
        </w:rPr>
        <w:t xml:space="preserve"> menej rozvinuté regióny (okrem Bratislavského kraja).</w:t>
      </w:r>
    </w:p>
    <w:p w:rsidR="00A00547" w:rsidRPr="00CC5B4A" w:rsidRDefault="00A00547" w:rsidP="00021B18">
      <w:pPr>
        <w:spacing w:after="40" w:line="320" w:lineRule="exact"/>
        <w:rPr>
          <w:szCs w:val="24"/>
        </w:rPr>
      </w:pPr>
      <w:r w:rsidRPr="00CC5B4A">
        <w:rPr>
          <w:b/>
          <w:szCs w:val="24"/>
        </w:rPr>
        <w:t>Alokácie na špecifický cieľ</w:t>
      </w:r>
      <w:r w:rsidRPr="00CC5B4A">
        <w:rPr>
          <w:szCs w:val="24"/>
        </w:rPr>
        <w:t xml:space="preserve"> (menej rozvinutý región): </w:t>
      </w:r>
      <w:r w:rsidRPr="00CC5B4A">
        <w:rPr>
          <w:b/>
          <w:szCs w:val="24"/>
        </w:rPr>
        <w:t xml:space="preserve">278 mil. </w:t>
      </w:r>
      <w:r w:rsidR="00565EDA">
        <w:rPr>
          <w:b/>
          <w:szCs w:val="24"/>
        </w:rPr>
        <w:t>€</w:t>
      </w:r>
      <w:r w:rsidRPr="00CC5B4A">
        <w:rPr>
          <w:b/>
          <w:szCs w:val="24"/>
        </w:rPr>
        <w:t xml:space="preserve"> (EFRR), </w:t>
      </w:r>
      <w:r w:rsidRPr="00CC5B4A">
        <w:rPr>
          <w:b/>
          <w:szCs w:val="24"/>
        </w:rPr>
        <w:tab/>
        <w:t xml:space="preserve">327 058 825 </w:t>
      </w:r>
      <w:r w:rsidR="00565EDA">
        <w:rPr>
          <w:b/>
          <w:szCs w:val="24"/>
        </w:rPr>
        <w:t>€</w:t>
      </w:r>
      <w:r w:rsidRPr="00CC5B4A">
        <w:rPr>
          <w:b/>
          <w:szCs w:val="24"/>
        </w:rPr>
        <w:t xml:space="preserve"> (spolu)</w:t>
      </w:r>
      <w:r w:rsidRPr="00CC5B4A">
        <w:rPr>
          <w:szCs w:val="24"/>
        </w:rPr>
        <w:t xml:space="preserve"> </w:t>
      </w:r>
    </w:p>
    <w:p w:rsidR="00354C80" w:rsidRDefault="00354C80" w:rsidP="00021B18">
      <w:pPr>
        <w:spacing w:after="40" w:line="320" w:lineRule="exact"/>
        <w:rPr>
          <w:b/>
          <w:bCs/>
          <w:i/>
          <w:szCs w:val="24"/>
        </w:rPr>
      </w:pPr>
    </w:p>
    <w:p w:rsidR="00A00547" w:rsidRPr="00CC5B4A" w:rsidRDefault="00A00547" w:rsidP="00021B18">
      <w:pPr>
        <w:spacing w:after="40" w:line="320" w:lineRule="exact"/>
        <w:rPr>
          <w:i/>
          <w:szCs w:val="24"/>
        </w:rPr>
      </w:pPr>
      <w:r w:rsidRPr="00CC5B4A">
        <w:rPr>
          <w:b/>
          <w:bCs/>
          <w:i/>
          <w:szCs w:val="24"/>
        </w:rPr>
        <w:t xml:space="preserve">Podpora infraštruktúry vzdelávania a celoživotného vzdelávania (špecifický cieľ </w:t>
      </w:r>
      <w:r w:rsidRPr="00CC5B4A">
        <w:rPr>
          <w:b/>
          <w:bCs/>
          <w:i/>
          <w:szCs w:val="24"/>
        </w:rPr>
        <w:tab/>
        <w:t>2.2.1, 2.2.2 a 2.2.3)</w:t>
      </w:r>
    </w:p>
    <w:p w:rsidR="00A00547" w:rsidRPr="00CC5B4A" w:rsidRDefault="00A00547" w:rsidP="00021B18">
      <w:pPr>
        <w:spacing w:after="40" w:line="320" w:lineRule="exact"/>
        <w:rPr>
          <w:szCs w:val="24"/>
        </w:rPr>
      </w:pPr>
      <w:r w:rsidRPr="00CC5B4A">
        <w:rPr>
          <w:szCs w:val="24"/>
        </w:rPr>
        <w:t xml:space="preserve">Podpora investícií do </w:t>
      </w:r>
      <w:r w:rsidRPr="00CC5B4A">
        <w:rPr>
          <w:b/>
          <w:bCs/>
          <w:szCs w:val="24"/>
        </w:rPr>
        <w:t>budov</w:t>
      </w:r>
      <w:r w:rsidRPr="00CC5B4A">
        <w:rPr>
          <w:szCs w:val="24"/>
        </w:rPr>
        <w:t xml:space="preserve"> a </w:t>
      </w:r>
      <w:r w:rsidRPr="00CC5B4A">
        <w:rPr>
          <w:b/>
          <w:bCs/>
          <w:szCs w:val="24"/>
        </w:rPr>
        <w:t xml:space="preserve">materiálno-technologického vybavenia: </w:t>
      </w:r>
    </w:p>
    <w:p w:rsidR="00A00547" w:rsidRPr="00CC5B4A" w:rsidRDefault="00A00547" w:rsidP="00021B18">
      <w:pPr>
        <w:numPr>
          <w:ilvl w:val="0"/>
          <w:numId w:val="11"/>
        </w:numPr>
        <w:spacing w:after="40" w:line="320" w:lineRule="exact"/>
        <w:ind w:right="0"/>
        <w:rPr>
          <w:szCs w:val="24"/>
        </w:rPr>
      </w:pPr>
      <w:r w:rsidRPr="00CC5B4A">
        <w:rPr>
          <w:b/>
          <w:bCs/>
          <w:szCs w:val="24"/>
        </w:rPr>
        <w:t xml:space="preserve">materských škôl – rozširovanie kapacít (vrátane výstavby), </w:t>
      </w:r>
      <w:r w:rsidRPr="00CC5B4A">
        <w:rPr>
          <w:szCs w:val="24"/>
        </w:rPr>
        <w:t xml:space="preserve">modernizácia budov, </w:t>
      </w:r>
      <w:r w:rsidRPr="00CC5B4A">
        <w:rPr>
          <w:b/>
          <w:bCs/>
          <w:szCs w:val="24"/>
        </w:rPr>
        <w:t>stavebno-technické úpravy</w:t>
      </w:r>
      <w:r w:rsidRPr="00CC5B4A">
        <w:rPr>
          <w:szCs w:val="24"/>
        </w:rPr>
        <w:t xml:space="preserve">, </w:t>
      </w:r>
      <w:r w:rsidRPr="00CC5B4A">
        <w:rPr>
          <w:b/>
          <w:bCs/>
          <w:szCs w:val="24"/>
        </w:rPr>
        <w:t>vnútorné vybavenie</w:t>
      </w:r>
      <w:r w:rsidRPr="00CC5B4A">
        <w:rPr>
          <w:szCs w:val="24"/>
        </w:rPr>
        <w:t xml:space="preserve"> vrátane areálov škôl, </w:t>
      </w:r>
    </w:p>
    <w:p w:rsidR="00A00547" w:rsidRPr="00CC5B4A" w:rsidRDefault="00A00547" w:rsidP="00021B18">
      <w:pPr>
        <w:numPr>
          <w:ilvl w:val="0"/>
          <w:numId w:val="11"/>
        </w:numPr>
        <w:spacing w:after="40" w:line="320" w:lineRule="exact"/>
        <w:ind w:right="0"/>
        <w:rPr>
          <w:szCs w:val="24"/>
        </w:rPr>
      </w:pPr>
      <w:r w:rsidRPr="00CC5B4A">
        <w:rPr>
          <w:b/>
          <w:bCs/>
          <w:szCs w:val="24"/>
        </w:rPr>
        <w:t xml:space="preserve">základných škôl </w:t>
      </w:r>
      <w:r w:rsidRPr="00CC5B4A">
        <w:rPr>
          <w:szCs w:val="24"/>
        </w:rPr>
        <w:t xml:space="preserve">- </w:t>
      </w:r>
      <w:r w:rsidRPr="00CC5B4A">
        <w:rPr>
          <w:b/>
          <w:bCs/>
          <w:szCs w:val="24"/>
        </w:rPr>
        <w:t xml:space="preserve">materiálno-technické vybavenie </w:t>
      </w:r>
      <w:r w:rsidRPr="00CC5B4A">
        <w:rPr>
          <w:szCs w:val="24"/>
        </w:rPr>
        <w:t xml:space="preserve">jazykových, technických a prírodovedných </w:t>
      </w:r>
      <w:r w:rsidRPr="00CC5B4A">
        <w:rPr>
          <w:b/>
          <w:bCs/>
          <w:szCs w:val="24"/>
        </w:rPr>
        <w:t>učební,</w:t>
      </w:r>
    </w:p>
    <w:p w:rsidR="00A00547" w:rsidRPr="00CC5B4A" w:rsidRDefault="00A00547" w:rsidP="00021B18">
      <w:pPr>
        <w:numPr>
          <w:ilvl w:val="0"/>
          <w:numId w:val="11"/>
        </w:numPr>
        <w:spacing w:after="40" w:line="320" w:lineRule="exact"/>
        <w:ind w:right="0"/>
        <w:rPr>
          <w:szCs w:val="24"/>
        </w:rPr>
      </w:pPr>
      <w:r w:rsidRPr="00CC5B4A">
        <w:rPr>
          <w:b/>
          <w:bCs/>
          <w:szCs w:val="24"/>
        </w:rPr>
        <w:lastRenderedPageBreak/>
        <w:t>stredných odborných škôl</w:t>
      </w:r>
      <w:r w:rsidRPr="00CC5B4A">
        <w:rPr>
          <w:szCs w:val="24"/>
        </w:rPr>
        <w:t xml:space="preserve"> (najmä centier odborného vzdelávania a prípravy) – napr. </w:t>
      </w:r>
      <w:r w:rsidRPr="00CC5B4A">
        <w:rPr>
          <w:b/>
          <w:bCs/>
          <w:szCs w:val="24"/>
        </w:rPr>
        <w:t>dielne, učebne, knižnice</w:t>
      </w:r>
      <w:r w:rsidRPr="00CC5B4A">
        <w:rPr>
          <w:szCs w:val="24"/>
        </w:rPr>
        <w:t xml:space="preserve">, stavebné úpravy, prvky inkluzívneho vzdelávania, </w:t>
      </w:r>
      <w:r w:rsidRPr="00CC5B4A">
        <w:rPr>
          <w:b/>
          <w:bCs/>
          <w:szCs w:val="24"/>
        </w:rPr>
        <w:t>podnikateľské inkubátory, vybavenie internátov.</w:t>
      </w:r>
      <w:r w:rsidRPr="00CC5B4A">
        <w:rPr>
          <w:szCs w:val="24"/>
        </w:rPr>
        <w:t xml:space="preserve"> </w:t>
      </w:r>
    </w:p>
    <w:p w:rsidR="00A00547" w:rsidRPr="00CC5B4A" w:rsidRDefault="00A00547" w:rsidP="00021B18">
      <w:pPr>
        <w:spacing w:after="40" w:line="320" w:lineRule="exact"/>
        <w:rPr>
          <w:b/>
          <w:szCs w:val="24"/>
        </w:rPr>
      </w:pPr>
      <w:r w:rsidRPr="00CC5B4A">
        <w:rPr>
          <w:b/>
          <w:szCs w:val="24"/>
        </w:rPr>
        <w:t xml:space="preserve">Prijímatelia </w:t>
      </w:r>
    </w:p>
    <w:p w:rsidR="00A00547" w:rsidRPr="00CC5B4A" w:rsidRDefault="00A00547" w:rsidP="00021B18">
      <w:pPr>
        <w:numPr>
          <w:ilvl w:val="0"/>
          <w:numId w:val="12"/>
        </w:numPr>
        <w:spacing w:after="40" w:line="320" w:lineRule="exact"/>
        <w:ind w:right="0"/>
        <w:rPr>
          <w:szCs w:val="24"/>
        </w:rPr>
      </w:pPr>
      <w:r w:rsidRPr="00CC5B4A">
        <w:rPr>
          <w:szCs w:val="24"/>
        </w:rPr>
        <w:t>obce, mestské časti, VÚC, okresné úrady,</w:t>
      </w:r>
    </w:p>
    <w:p w:rsidR="00A00547" w:rsidRPr="00CC5B4A" w:rsidRDefault="00A00547" w:rsidP="00021B18">
      <w:pPr>
        <w:numPr>
          <w:ilvl w:val="0"/>
          <w:numId w:val="12"/>
        </w:numPr>
        <w:spacing w:after="40" w:line="320" w:lineRule="exact"/>
        <w:ind w:right="0"/>
        <w:rPr>
          <w:szCs w:val="24"/>
        </w:rPr>
      </w:pPr>
      <w:r w:rsidRPr="00CC5B4A">
        <w:rPr>
          <w:szCs w:val="24"/>
        </w:rPr>
        <w:t xml:space="preserve">cirkvi a náboženské spoločnosti, združenia, právnické a fyzické osoby, neziskové organizácie, </w:t>
      </w:r>
    </w:p>
    <w:p w:rsidR="00A00547" w:rsidRPr="00CC5B4A" w:rsidRDefault="00A00547" w:rsidP="00021B18">
      <w:pPr>
        <w:numPr>
          <w:ilvl w:val="0"/>
          <w:numId w:val="12"/>
        </w:numPr>
        <w:spacing w:after="40" w:line="320" w:lineRule="exact"/>
        <w:ind w:right="0"/>
        <w:rPr>
          <w:szCs w:val="24"/>
        </w:rPr>
      </w:pPr>
      <w:r w:rsidRPr="00CC5B4A">
        <w:rPr>
          <w:szCs w:val="24"/>
        </w:rPr>
        <w:t>stredné odborné školy v zriaďovateľskej pôsobnosti VÚC.</w:t>
      </w:r>
    </w:p>
    <w:p w:rsidR="00A00547" w:rsidRPr="00CC5B4A" w:rsidRDefault="00A00547" w:rsidP="00021B18">
      <w:pPr>
        <w:spacing w:after="40" w:line="320" w:lineRule="exact"/>
        <w:rPr>
          <w:szCs w:val="24"/>
        </w:rPr>
      </w:pPr>
      <w:r w:rsidRPr="00CC5B4A">
        <w:rPr>
          <w:b/>
          <w:szCs w:val="24"/>
        </w:rPr>
        <w:t>Cieľové územie:</w:t>
      </w:r>
      <w:r w:rsidRPr="00CC5B4A">
        <w:rPr>
          <w:szCs w:val="24"/>
        </w:rPr>
        <w:t xml:space="preserve"> SR</w:t>
      </w:r>
    </w:p>
    <w:p w:rsidR="00A00547" w:rsidRPr="00CC5B4A" w:rsidRDefault="00A00547" w:rsidP="00021B18">
      <w:pPr>
        <w:spacing w:after="40" w:line="320" w:lineRule="exact"/>
        <w:rPr>
          <w:szCs w:val="24"/>
        </w:rPr>
      </w:pPr>
      <w:r w:rsidRPr="00CC5B4A">
        <w:rPr>
          <w:b/>
          <w:szCs w:val="24"/>
        </w:rPr>
        <w:t>Alokácie na špecifický cieľ:</w:t>
      </w:r>
      <w:r w:rsidRPr="00CC5B4A">
        <w:rPr>
          <w:b/>
          <w:szCs w:val="24"/>
        </w:rPr>
        <w:tab/>
        <w:t xml:space="preserve">263 mil. </w:t>
      </w:r>
      <w:r w:rsidR="00565EDA">
        <w:rPr>
          <w:b/>
          <w:szCs w:val="24"/>
        </w:rPr>
        <w:t>€</w:t>
      </w:r>
      <w:r w:rsidRPr="00CC5B4A">
        <w:rPr>
          <w:b/>
          <w:szCs w:val="24"/>
        </w:rPr>
        <w:t xml:space="preserve"> (EFRR), 326 705 888 (spolu)</w:t>
      </w:r>
      <w:r w:rsidRPr="00CC5B4A">
        <w:rPr>
          <w:szCs w:val="24"/>
        </w:rPr>
        <w:t xml:space="preserve"> </w:t>
      </w:r>
    </w:p>
    <w:p w:rsidR="00A00547" w:rsidRPr="00CC5B4A" w:rsidRDefault="00A00547" w:rsidP="00021B18">
      <w:pPr>
        <w:spacing w:after="40" w:line="320" w:lineRule="exact"/>
        <w:rPr>
          <w:szCs w:val="24"/>
        </w:rPr>
      </w:pPr>
      <w:r w:rsidRPr="00CC5B4A">
        <w:rPr>
          <w:szCs w:val="24"/>
        </w:rPr>
        <w:t xml:space="preserve">menej rozvinutý región: </w:t>
      </w:r>
      <w:r w:rsidRPr="00CC5B4A">
        <w:rPr>
          <w:szCs w:val="24"/>
        </w:rPr>
        <w:tab/>
        <w:t xml:space="preserve">242 mil. </w:t>
      </w:r>
      <w:r w:rsidR="00565EDA">
        <w:rPr>
          <w:szCs w:val="24"/>
        </w:rPr>
        <w:t>€</w:t>
      </w:r>
      <w:r w:rsidRPr="00CC5B4A">
        <w:rPr>
          <w:szCs w:val="24"/>
        </w:rPr>
        <w:t xml:space="preserve"> (EFRR), 284 705 888 </w:t>
      </w:r>
      <w:r w:rsidR="00565EDA">
        <w:rPr>
          <w:szCs w:val="24"/>
        </w:rPr>
        <w:t>€</w:t>
      </w:r>
      <w:r w:rsidRPr="00CC5B4A">
        <w:rPr>
          <w:szCs w:val="24"/>
        </w:rPr>
        <w:t xml:space="preserve"> (spolu)</w:t>
      </w:r>
    </w:p>
    <w:p w:rsidR="00A00547" w:rsidRDefault="00A00547" w:rsidP="00021B18">
      <w:pPr>
        <w:spacing w:after="40" w:line="320" w:lineRule="exact"/>
        <w:rPr>
          <w:szCs w:val="24"/>
        </w:rPr>
      </w:pPr>
      <w:r w:rsidRPr="00CC5B4A">
        <w:rPr>
          <w:szCs w:val="24"/>
        </w:rPr>
        <w:t xml:space="preserve">viac rozvinutý región: </w:t>
      </w:r>
      <w:r w:rsidRPr="00CC5B4A">
        <w:rPr>
          <w:szCs w:val="24"/>
        </w:rPr>
        <w:tab/>
      </w:r>
      <w:r w:rsidR="00747ED8">
        <w:rPr>
          <w:szCs w:val="24"/>
        </w:rPr>
        <w:t xml:space="preserve"> </w:t>
      </w:r>
      <w:r w:rsidRPr="00CC5B4A">
        <w:rPr>
          <w:szCs w:val="24"/>
        </w:rPr>
        <w:t xml:space="preserve">42 mil. </w:t>
      </w:r>
      <w:r w:rsidR="00565EDA">
        <w:rPr>
          <w:szCs w:val="24"/>
        </w:rPr>
        <w:t>€</w:t>
      </w:r>
      <w:r w:rsidRPr="00CC5B4A">
        <w:rPr>
          <w:szCs w:val="24"/>
        </w:rPr>
        <w:t xml:space="preserve"> (EFRR), 21 mil. </w:t>
      </w:r>
      <w:r w:rsidR="00565EDA">
        <w:rPr>
          <w:szCs w:val="24"/>
        </w:rPr>
        <w:t>€</w:t>
      </w:r>
      <w:r w:rsidRPr="00CC5B4A">
        <w:rPr>
          <w:szCs w:val="24"/>
        </w:rPr>
        <w:t xml:space="preserve"> (spolu)</w:t>
      </w:r>
    </w:p>
    <w:p w:rsidR="00A64E53" w:rsidRPr="00CC5B4A" w:rsidRDefault="00A64E53" w:rsidP="00021B18">
      <w:pPr>
        <w:spacing w:after="40" w:line="320" w:lineRule="exact"/>
        <w:rPr>
          <w:szCs w:val="24"/>
        </w:rPr>
      </w:pPr>
    </w:p>
    <w:p w:rsidR="00A00547" w:rsidRPr="00CC5B4A" w:rsidRDefault="00A00547" w:rsidP="00021B18">
      <w:pPr>
        <w:spacing w:after="40" w:line="320" w:lineRule="exact"/>
        <w:rPr>
          <w:b/>
          <w:szCs w:val="24"/>
          <w:u w:val="single"/>
        </w:rPr>
      </w:pPr>
      <w:r w:rsidRPr="00CC5B4A">
        <w:rPr>
          <w:b/>
          <w:szCs w:val="24"/>
          <w:u w:val="single"/>
        </w:rPr>
        <w:t xml:space="preserve">Prioritná os č. 3: </w:t>
      </w:r>
      <w:r w:rsidRPr="00CC5B4A">
        <w:rPr>
          <w:b/>
          <w:bCs/>
          <w:szCs w:val="24"/>
          <w:u w:val="single"/>
        </w:rPr>
        <w:t xml:space="preserve">Mobilizácia kreatívneho potenciálu v regiónoch </w:t>
      </w:r>
    </w:p>
    <w:p w:rsidR="00A00547" w:rsidRPr="00CC5B4A" w:rsidRDefault="00A00547" w:rsidP="00021B18">
      <w:pPr>
        <w:spacing w:after="40" w:line="320" w:lineRule="exact"/>
        <w:rPr>
          <w:i/>
          <w:szCs w:val="24"/>
        </w:rPr>
      </w:pPr>
      <w:r w:rsidRPr="00CC5B4A">
        <w:rPr>
          <w:b/>
          <w:bCs/>
          <w:i/>
          <w:szCs w:val="24"/>
        </w:rPr>
        <w:t xml:space="preserve">Podpora rastu a zamestnanosti v kultúrnom a kreatívnom priemysle (špecifický cieľ </w:t>
      </w:r>
      <w:r w:rsidRPr="00CC5B4A">
        <w:rPr>
          <w:b/>
          <w:bCs/>
          <w:i/>
          <w:szCs w:val="24"/>
        </w:rPr>
        <w:tab/>
        <w:t>3.1)</w:t>
      </w:r>
    </w:p>
    <w:p w:rsidR="00A00547" w:rsidRPr="00CC5B4A" w:rsidRDefault="00A00547" w:rsidP="00021B18">
      <w:pPr>
        <w:pStyle w:val="Odsekzoznamu"/>
        <w:numPr>
          <w:ilvl w:val="0"/>
          <w:numId w:val="13"/>
        </w:numPr>
        <w:spacing w:after="40" w:line="320" w:lineRule="exact"/>
        <w:ind w:left="709" w:hanging="425"/>
        <w:jc w:val="both"/>
        <w:rPr>
          <w:rFonts w:ascii="Times New Roman" w:hAnsi="Times New Roman" w:cs="Times New Roman"/>
          <w:sz w:val="24"/>
          <w:szCs w:val="24"/>
        </w:rPr>
      </w:pPr>
      <w:r w:rsidRPr="00CC5B4A">
        <w:rPr>
          <w:rFonts w:ascii="Times New Roman" w:hAnsi="Times New Roman" w:cs="Times New Roman"/>
          <w:sz w:val="24"/>
          <w:szCs w:val="24"/>
        </w:rPr>
        <w:t>zriadenie kreatívnych centier a podpora ich služieb,</w:t>
      </w:r>
    </w:p>
    <w:p w:rsidR="00A00547" w:rsidRPr="00CC5B4A" w:rsidRDefault="00A00547" w:rsidP="00021B18">
      <w:pPr>
        <w:pStyle w:val="Odsekzoznamu"/>
        <w:numPr>
          <w:ilvl w:val="0"/>
          <w:numId w:val="13"/>
        </w:numPr>
        <w:spacing w:after="40" w:line="320" w:lineRule="exact"/>
        <w:ind w:left="709" w:hanging="425"/>
        <w:jc w:val="both"/>
        <w:rPr>
          <w:rFonts w:ascii="Times New Roman" w:hAnsi="Times New Roman" w:cs="Times New Roman"/>
          <w:sz w:val="24"/>
          <w:szCs w:val="24"/>
        </w:rPr>
      </w:pPr>
      <w:r w:rsidRPr="00CC5B4A">
        <w:rPr>
          <w:rFonts w:ascii="Times New Roman" w:hAnsi="Times New Roman" w:cs="Times New Roman"/>
          <w:sz w:val="24"/>
          <w:szCs w:val="24"/>
        </w:rPr>
        <w:t>podpora MSP v kultúrnom a kreatívnom priemysle (priestorové a technické vybavenie, marketing a pod.).</w:t>
      </w:r>
    </w:p>
    <w:p w:rsidR="00A00547" w:rsidRPr="00CC5B4A" w:rsidRDefault="00A00547" w:rsidP="00021B18">
      <w:pPr>
        <w:spacing w:after="40" w:line="320" w:lineRule="exact"/>
        <w:rPr>
          <w:b/>
          <w:szCs w:val="24"/>
        </w:rPr>
      </w:pPr>
      <w:r w:rsidRPr="00CC5B4A">
        <w:rPr>
          <w:b/>
          <w:szCs w:val="24"/>
        </w:rPr>
        <w:t>Prijímatelia</w:t>
      </w:r>
    </w:p>
    <w:p w:rsidR="00A00547" w:rsidRPr="00CC5B4A" w:rsidRDefault="00A00547" w:rsidP="00021B18">
      <w:pPr>
        <w:pStyle w:val="Odsekzoznamu"/>
        <w:numPr>
          <w:ilvl w:val="0"/>
          <w:numId w:val="14"/>
        </w:numPr>
        <w:spacing w:after="40" w:line="320" w:lineRule="exact"/>
        <w:ind w:left="714" w:hanging="357"/>
        <w:jc w:val="both"/>
        <w:rPr>
          <w:rFonts w:ascii="Times New Roman" w:hAnsi="Times New Roman" w:cs="Times New Roman"/>
          <w:sz w:val="24"/>
          <w:szCs w:val="24"/>
        </w:rPr>
      </w:pPr>
      <w:r w:rsidRPr="00CC5B4A">
        <w:rPr>
          <w:rFonts w:ascii="Times New Roman" w:hAnsi="Times New Roman" w:cs="Times New Roman"/>
          <w:sz w:val="24"/>
          <w:szCs w:val="24"/>
        </w:rPr>
        <w:t xml:space="preserve">štátna a verejná správa, samospráva, </w:t>
      </w:r>
    </w:p>
    <w:p w:rsidR="00A00547" w:rsidRPr="00CC5B4A" w:rsidRDefault="00A00547" w:rsidP="00021B18">
      <w:pPr>
        <w:numPr>
          <w:ilvl w:val="0"/>
          <w:numId w:val="14"/>
        </w:numPr>
        <w:spacing w:after="40" w:line="320" w:lineRule="exact"/>
        <w:ind w:left="714" w:right="0" w:hanging="357"/>
        <w:rPr>
          <w:szCs w:val="24"/>
        </w:rPr>
      </w:pPr>
      <w:r w:rsidRPr="00CC5B4A">
        <w:rPr>
          <w:szCs w:val="24"/>
        </w:rPr>
        <w:t>neziskové organizácie, súkromný sektor.</w:t>
      </w:r>
    </w:p>
    <w:p w:rsidR="00A00547" w:rsidRPr="00CC5B4A" w:rsidRDefault="00A00547" w:rsidP="00021B18">
      <w:pPr>
        <w:spacing w:after="40" w:line="320" w:lineRule="exact"/>
        <w:rPr>
          <w:szCs w:val="24"/>
        </w:rPr>
      </w:pPr>
      <w:r w:rsidRPr="00CC5B4A">
        <w:rPr>
          <w:b/>
          <w:szCs w:val="24"/>
        </w:rPr>
        <w:t>Cieľové územie:</w:t>
      </w:r>
      <w:r w:rsidRPr="00CC5B4A">
        <w:rPr>
          <w:szCs w:val="24"/>
        </w:rPr>
        <w:t xml:space="preserve"> celé územie SR</w:t>
      </w:r>
    </w:p>
    <w:p w:rsidR="00A00547" w:rsidRPr="00CC5B4A" w:rsidRDefault="00A00547" w:rsidP="00021B18">
      <w:pPr>
        <w:spacing w:after="40" w:line="320" w:lineRule="exact"/>
        <w:rPr>
          <w:szCs w:val="24"/>
        </w:rPr>
      </w:pPr>
      <w:r w:rsidRPr="00CC5B4A">
        <w:rPr>
          <w:b/>
          <w:szCs w:val="24"/>
        </w:rPr>
        <w:t>Alokácie na prioritnú os:</w:t>
      </w:r>
      <w:r w:rsidRPr="00CC5B4A">
        <w:rPr>
          <w:szCs w:val="24"/>
        </w:rPr>
        <w:t xml:space="preserve"> </w:t>
      </w:r>
      <w:r w:rsidRPr="00CC5B4A">
        <w:rPr>
          <w:szCs w:val="24"/>
        </w:rPr>
        <w:tab/>
      </w:r>
      <w:r w:rsidRPr="00CC5B4A">
        <w:rPr>
          <w:b/>
          <w:szCs w:val="24"/>
        </w:rPr>
        <w:t xml:space="preserve">215 860 548 </w:t>
      </w:r>
      <w:r w:rsidR="00565EDA">
        <w:rPr>
          <w:b/>
          <w:szCs w:val="24"/>
        </w:rPr>
        <w:t>€</w:t>
      </w:r>
      <w:r w:rsidRPr="00CC5B4A">
        <w:rPr>
          <w:b/>
          <w:szCs w:val="24"/>
        </w:rPr>
        <w:t xml:space="preserve"> (EFRR), 270 424 175 </w:t>
      </w:r>
      <w:r w:rsidR="00565EDA">
        <w:rPr>
          <w:b/>
          <w:szCs w:val="24"/>
        </w:rPr>
        <w:t>€</w:t>
      </w:r>
      <w:r w:rsidRPr="00CC5B4A">
        <w:rPr>
          <w:b/>
          <w:szCs w:val="24"/>
        </w:rPr>
        <w:t xml:space="preserve"> (spolu)</w:t>
      </w:r>
    </w:p>
    <w:p w:rsidR="00A00547" w:rsidRPr="00CC5B4A" w:rsidRDefault="00A00547" w:rsidP="00021B18">
      <w:pPr>
        <w:spacing w:after="40" w:line="320" w:lineRule="exact"/>
        <w:rPr>
          <w:szCs w:val="24"/>
        </w:rPr>
      </w:pPr>
      <w:r w:rsidRPr="00CC5B4A">
        <w:rPr>
          <w:szCs w:val="24"/>
        </w:rPr>
        <w:t xml:space="preserve">menej rozvinutý región: </w:t>
      </w:r>
      <w:r w:rsidRPr="00CC5B4A">
        <w:rPr>
          <w:szCs w:val="24"/>
        </w:rPr>
        <w:tab/>
        <w:t xml:space="preserve">195 860 548 </w:t>
      </w:r>
      <w:r w:rsidR="00565EDA">
        <w:rPr>
          <w:szCs w:val="24"/>
        </w:rPr>
        <w:t>€</w:t>
      </w:r>
      <w:r w:rsidRPr="00CC5B4A">
        <w:rPr>
          <w:szCs w:val="24"/>
        </w:rPr>
        <w:t xml:space="preserve"> (EFRR), 230 424 175 </w:t>
      </w:r>
      <w:r w:rsidR="00565EDA">
        <w:rPr>
          <w:szCs w:val="24"/>
        </w:rPr>
        <w:t>€</w:t>
      </w:r>
      <w:r w:rsidRPr="00CC5B4A">
        <w:rPr>
          <w:szCs w:val="24"/>
        </w:rPr>
        <w:t xml:space="preserve"> (spolu)</w:t>
      </w:r>
    </w:p>
    <w:p w:rsidR="00A00547" w:rsidRDefault="00A00547" w:rsidP="00021B18">
      <w:pPr>
        <w:spacing w:after="40" w:line="320" w:lineRule="exact"/>
        <w:rPr>
          <w:szCs w:val="24"/>
        </w:rPr>
      </w:pPr>
      <w:r w:rsidRPr="00CC5B4A">
        <w:rPr>
          <w:szCs w:val="24"/>
        </w:rPr>
        <w:t xml:space="preserve">viac rozvinutý región: </w:t>
      </w:r>
      <w:r w:rsidRPr="00CC5B4A">
        <w:rPr>
          <w:szCs w:val="24"/>
        </w:rPr>
        <w:tab/>
      </w:r>
      <w:r w:rsidR="00747ED8">
        <w:rPr>
          <w:szCs w:val="24"/>
        </w:rPr>
        <w:t xml:space="preserve">        </w:t>
      </w:r>
      <w:r w:rsidRPr="00CC5B4A">
        <w:rPr>
          <w:szCs w:val="24"/>
        </w:rPr>
        <w:t xml:space="preserve">20 mil. </w:t>
      </w:r>
      <w:r w:rsidR="00565EDA">
        <w:rPr>
          <w:szCs w:val="24"/>
        </w:rPr>
        <w:t>€</w:t>
      </w:r>
      <w:r w:rsidRPr="00CC5B4A">
        <w:rPr>
          <w:szCs w:val="24"/>
        </w:rPr>
        <w:t xml:space="preserve"> (EFRR), 40 mil. </w:t>
      </w:r>
      <w:r w:rsidR="00565EDA">
        <w:rPr>
          <w:szCs w:val="24"/>
        </w:rPr>
        <w:t>€</w:t>
      </w:r>
      <w:r w:rsidRPr="00CC5B4A">
        <w:rPr>
          <w:szCs w:val="24"/>
        </w:rPr>
        <w:t xml:space="preserve"> (spolu)</w:t>
      </w:r>
    </w:p>
    <w:p w:rsidR="00A64E53" w:rsidRPr="00CC5B4A" w:rsidRDefault="00A64E53" w:rsidP="00021B18">
      <w:pPr>
        <w:spacing w:after="40" w:line="320" w:lineRule="exact"/>
        <w:rPr>
          <w:szCs w:val="24"/>
        </w:rPr>
      </w:pPr>
    </w:p>
    <w:p w:rsidR="00A00547" w:rsidRPr="00CC5B4A" w:rsidRDefault="00A00547" w:rsidP="00021B18">
      <w:pPr>
        <w:spacing w:after="40" w:line="320" w:lineRule="exact"/>
        <w:rPr>
          <w:b/>
          <w:szCs w:val="24"/>
          <w:u w:val="single"/>
        </w:rPr>
      </w:pPr>
      <w:r w:rsidRPr="00CC5B4A">
        <w:rPr>
          <w:b/>
          <w:szCs w:val="24"/>
          <w:u w:val="single"/>
        </w:rPr>
        <w:t xml:space="preserve">Prioritná os č. 4: </w:t>
      </w:r>
      <w:r w:rsidRPr="00CC5B4A">
        <w:rPr>
          <w:b/>
          <w:bCs/>
          <w:szCs w:val="24"/>
          <w:u w:val="single"/>
        </w:rPr>
        <w:t>Zlepšenie kvality života v regiónoch s dôrazom na životné prostredie</w:t>
      </w:r>
    </w:p>
    <w:p w:rsidR="00A00547" w:rsidRPr="00CC5B4A" w:rsidRDefault="00A00547" w:rsidP="00021B18">
      <w:pPr>
        <w:spacing w:after="40" w:line="320" w:lineRule="exact"/>
        <w:rPr>
          <w:i/>
          <w:szCs w:val="24"/>
        </w:rPr>
      </w:pPr>
      <w:r w:rsidRPr="00CC5B4A">
        <w:rPr>
          <w:b/>
          <w:bCs/>
          <w:i/>
          <w:szCs w:val="24"/>
        </w:rPr>
        <w:t>Zvýšenie energetickej efektívnosti bytových domov (špecifický cieľ 4.1)</w:t>
      </w:r>
    </w:p>
    <w:p w:rsidR="00A00547" w:rsidRPr="00CC5B4A" w:rsidRDefault="00A00547" w:rsidP="00021B18">
      <w:pPr>
        <w:pStyle w:val="Odsekzoznamu"/>
        <w:numPr>
          <w:ilvl w:val="0"/>
          <w:numId w:val="15"/>
        </w:numPr>
        <w:spacing w:after="40" w:line="320" w:lineRule="exact"/>
        <w:jc w:val="both"/>
        <w:rPr>
          <w:rFonts w:ascii="Times New Roman" w:hAnsi="Times New Roman" w:cs="Times New Roman"/>
          <w:sz w:val="24"/>
          <w:szCs w:val="24"/>
        </w:rPr>
      </w:pPr>
      <w:r w:rsidRPr="00CC5B4A">
        <w:rPr>
          <w:rFonts w:ascii="Times New Roman" w:hAnsi="Times New Roman" w:cs="Times New Roman"/>
          <w:sz w:val="24"/>
          <w:szCs w:val="24"/>
        </w:rPr>
        <w:t xml:space="preserve">komplexná rekonštrukcia budov vrátane podpory inovačných nízkouhlíkových technológií: </w:t>
      </w:r>
      <w:r w:rsidRPr="00CC5B4A">
        <w:rPr>
          <w:rFonts w:ascii="Times New Roman" w:hAnsi="Times New Roman" w:cs="Times New Roman"/>
          <w:b/>
          <w:bCs/>
          <w:sz w:val="24"/>
          <w:szCs w:val="24"/>
        </w:rPr>
        <w:t>zatepľovanie, modernizácia vykurovacích systémov, modernizácia osvetlenia, modernizácia výťahov</w:t>
      </w:r>
    </w:p>
    <w:p w:rsidR="00A00547" w:rsidRPr="00CC5B4A" w:rsidRDefault="00A00547" w:rsidP="00021B18">
      <w:pPr>
        <w:spacing w:after="40" w:line="320" w:lineRule="exact"/>
        <w:rPr>
          <w:b/>
          <w:szCs w:val="24"/>
        </w:rPr>
      </w:pPr>
      <w:r w:rsidRPr="00CC5B4A">
        <w:rPr>
          <w:b/>
          <w:szCs w:val="24"/>
        </w:rPr>
        <w:t>Prijímatelia:</w:t>
      </w:r>
    </w:p>
    <w:p w:rsidR="00A00547" w:rsidRPr="00CC5B4A" w:rsidRDefault="00A00547" w:rsidP="00021B18">
      <w:pPr>
        <w:pStyle w:val="Odsekzoznamu"/>
        <w:numPr>
          <w:ilvl w:val="0"/>
          <w:numId w:val="15"/>
        </w:numPr>
        <w:spacing w:after="40" w:line="320" w:lineRule="exact"/>
        <w:jc w:val="both"/>
        <w:rPr>
          <w:rFonts w:ascii="Times New Roman" w:hAnsi="Times New Roman" w:cs="Times New Roman"/>
          <w:sz w:val="24"/>
          <w:szCs w:val="24"/>
        </w:rPr>
      </w:pPr>
      <w:r w:rsidRPr="00CC5B4A">
        <w:rPr>
          <w:rFonts w:ascii="Times New Roman" w:hAnsi="Times New Roman" w:cs="Times New Roman"/>
          <w:sz w:val="24"/>
          <w:szCs w:val="24"/>
        </w:rPr>
        <w:t>rozpočtové a príspevkové organizácie,</w:t>
      </w:r>
    </w:p>
    <w:p w:rsidR="00A00547" w:rsidRPr="00CC5B4A" w:rsidRDefault="00A00547" w:rsidP="00021B18">
      <w:pPr>
        <w:pStyle w:val="Odsekzoznamu"/>
        <w:numPr>
          <w:ilvl w:val="0"/>
          <w:numId w:val="15"/>
        </w:numPr>
        <w:spacing w:after="40" w:line="320" w:lineRule="exact"/>
        <w:jc w:val="both"/>
        <w:rPr>
          <w:rFonts w:ascii="Times New Roman" w:hAnsi="Times New Roman" w:cs="Times New Roman"/>
          <w:sz w:val="24"/>
          <w:szCs w:val="24"/>
        </w:rPr>
      </w:pPr>
      <w:r w:rsidRPr="00CC5B4A">
        <w:rPr>
          <w:rFonts w:ascii="Times New Roman" w:hAnsi="Times New Roman" w:cs="Times New Roman"/>
          <w:sz w:val="24"/>
          <w:szCs w:val="24"/>
        </w:rPr>
        <w:t>fyzické osoby cez združenia vlastníkov bytov.</w:t>
      </w:r>
    </w:p>
    <w:p w:rsidR="00A00547" w:rsidRPr="00CC5B4A" w:rsidRDefault="00A00547" w:rsidP="00021B18">
      <w:pPr>
        <w:spacing w:after="40" w:line="320" w:lineRule="exact"/>
        <w:rPr>
          <w:szCs w:val="24"/>
        </w:rPr>
      </w:pPr>
      <w:r w:rsidRPr="00CC5B4A">
        <w:rPr>
          <w:b/>
          <w:szCs w:val="24"/>
        </w:rPr>
        <w:t>Cieľové územie:</w:t>
      </w:r>
      <w:r w:rsidRPr="00CC5B4A">
        <w:rPr>
          <w:szCs w:val="24"/>
        </w:rPr>
        <w:t xml:space="preserve"> celé územie SR</w:t>
      </w:r>
    </w:p>
    <w:p w:rsidR="00A00547" w:rsidRPr="00CC5B4A" w:rsidRDefault="00A00547" w:rsidP="00021B18">
      <w:pPr>
        <w:spacing w:after="40" w:line="320" w:lineRule="exact"/>
        <w:rPr>
          <w:b/>
          <w:szCs w:val="24"/>
        </w:rPr>
      </w:pPr>
      <w:r w:rsidRPr="00CC5B4A">
        <w:rPr>
          <w:b/>
          <w:szCs w:val="24"/>
        </w:rPr>
        <w:t xml:space="preserve">Alokácie na špecifický cieľ: 111 388 554 </w:t>
      </w:r>
      <w:r w:rsidR="00565EDA">
        <w:rPr>
          <w:b/>
          <w:szCs w:val="24"/>
        </w:rPr>
        <w:t>€</w:t>
      </w:r>
      <w:r w:rsidRPr="00CC5B4A">
        <w:rPr>
          <w:b/>
          <w:szCs w:val="24"/>
        </w:rPr>
        <w:t xml:space="preserve"> (EFRR), 139 249 179 </w:t>
      </w:r>
      <w:r w:rsidR="00565EDA">
        <w:rPr>
          <w:b/>
          <w:szCs w:val="24"/>
        </w:rPr>
        <w:t>€</w:t>
      </w:r>
      <w:r w:rsidRPr="00CC5B4A">
        <w:rPr>
          <w:b/>
          <w:szCs w:val="24"/>
        </w:rPr>
        <w:t xml:space="preserve"> (spolu)</w:t>
      </w:r>
    </w:p>
    <w:p w:rsidR="00A00547" w:rsidRPr="00CC5B4A" w:rsidRDefault="00A00547" w:rsidP="00021B18">
      <w:pPr>
        <w:spacing w:after="40" w:line="320" w:lineRule="exact"/>
        <w:rPr>
          <w:szCs w:val="24"/>
        </w:rPr>
      </w:pPr>
      <w:r w:rsidRPr="00CC5B4A">
        <w:rPr>
          <w:szCs w:val="24"/>
        </w:rPr>
        <w:t xml:space="preserve">menej rozvinutý región: </w:t>
      </w:r>
      <w:r w:rsidRPr="00CC5B4A">
        <w:rPr>
          <w:szCs w:val="24"/>
        </w:rPr>
        <w:tab/>
        <w:t xml:space="preserve">101 426 772 </w:t>
      </w:r>
      <w:r w:rsidR="00565EDA">
        <w:rPr>
          <w:szCs w:val="24"/>
        </w:rPr>
        <w:t>€</w:t>
      </w:r>
      <w:r w:rsidRPr="00CC5B4A">
        <w:rPr>
          <w:szCs w:val="24"/>
        </w:rPr>
        <w:t xml:space="preserve"> (EFRR), 119 325 615 </w:t>
      </w:r>
      <w:r w:rsidR="00565EDA">
        <w:rPr>
          <w:szCs w:val="24"/>
        </w:rPr>
        <w:t>€</w:t>
      </w:r>
      <w:r w:rsidRPr="00CC5B4A">
        <w:rPr>
          <w:szCs w:val="24"/>
        </w:rPr>
        <w:t xml:space="preserve"> (spolu)</w:t>
      </w:r>
    </w:p>
    <w:p w:rsidR="00A00547" w:rsidRDefault="00A00547" w:rsidP="00021B18">
      <w:pPr>
        <w:spacing w:after="40" w:line="320" w:lineRule="exact"/>
        <w:rPr>
          <w:szCs w:val="24"/>
        </w:rPr>
      </w:pPr>
      <w:r w:rsidRPr="00CC5B4A">
        <w:rPr>
          <w:szCs w:val="24"/>
        </w:rPr>
        <w:t xml:space="preserve">viac rozvinutý región: </w:t>
      </w:r>
      <w:r w:rsidRPr="00CC5B4A">
        <w:rPr>
          <w:szCs w:val="24"/>
        </w:rPr>
        <w:tab/>
        <w:t xml:space="preserve">9 961 782 </w:t>
      </w:r>
      <w:r w:rsidR="00565EDA">
        <w:rPr>
          <w:szCs w:val="24"/>
        </w:rPr>
        <w:t>€</w:t>
      </w:r>
      <w:r w:rsidRPr="00CC5B4A">
        <w:rPr>
          <w:szCs w:val="24"/>
        </w:rPr>
        <w:t xml:space="preserve"> (EFRR), 19 923 564 </w:t>
      </w:r>
      <w:r w:rsidR="00565EDA">
        <w:rPr>
          <w:szCs w:val="24"/>
        </w:rPr>
        <w:t>€</w:t>
      </w:r>
      <w:r w:rsidRPr="00CC5B4A">
        <w:rPr>
          <w:szCs w:val="24"/>
        </w:rPr>
        <w:t xml:space="preserve"> (spolu)</w:t>
      </w:r>
    </w:p>
    <w:p w:rsidR="00A64E53" w:rsidRPr="00CC5B4A" w:rsidRDefault="00A64E53" w:rsidP="00021B18">
      <w:pPr>
        <w:spacing w:after="40" w:line="320" w:lineRule="exact"/>
        <w:rPr>
          <w:szCs w:val="24"/>
        </w:rPr>
      </w:pPr>
    </w:p>
    <w:p w:rsidR="00A00547" w:rsidRPr="00CC5B4A" w:rsidRDefault="00A00547" w:rsidP="00021B18">
      <w:pPr>
        <w:spacing w:after="40" w:line="320" w:lineRule="exact"/>
        <w:ind w:left="709" w:firstLine="0"/>
        <w:rPr>
          <w:i/>
          <w:szCs w:val="24"/>
        </w:rPr>
      </w:pPr>
      <w:r w:rsidRPr="00CC5B4A">
        <w:rPr>
          <w:b/>
          <w:bCs/>
          <w:i/>
          <w:szCs w:val="24"/>
        </w:rPr>
        <w:t>Zabezpečenie bezproblémového zásobovania obyvateľstva kvalitnou pitnou vodou a</w:t>
      </w:r>
      <w:r w:rsidR="0072300B">
        <w:rPr>
          <w:b/>
          <w:bCs/>
          <w:i/>
          <w:szCs w:val="24"/>
        </w:rPr>
        <w:t> </w:t>
      </w:r>
      <w:r w:rsidRPr="00CC5B4A">
        <w:rPr>
          <w:b/>
          <w:bCs/>
          <w:i/>
          <w:szCs w:val="24"/>
        </w:rPr>
        <w:t>efektívna likvidácia odpadových vôd (špecifický cieľ 4.2.1)</w:t>
      </w:r>
    </w:p>
    <w:p w:rsidR="00A00547" w:rsidRPr="00CC5B4A" w:rsidRDefault="00A00547" w:rsidP="00021B18">
      <w:pPr>
        <w:pStyle w:val="Odsekzoznamu"/>
        <w:numPr>
          <w:ilvl w:val="0"/>
          <w:numId w:val="16"/>
        </w:numPr>
        <w:spacing w:after="40" w:line="320" w:lineRule="exact"/>
        <w:ind w:left="709" w:hanging="425"/>
        <w:jc w:val="both"/>
        <w:rPr>
          <w:rFonts w:ascii="Times New Roman" w:hAnsi="Times New Roman" w:cs="Times New Roman"/>
          <w:sz w:val="24"/>
          <w:szCs w:val="24"/>
        </w:rPr>
      </w:pPr>
      <w:r w:rsidRPr="00CC5B4A">
        <w:rPr>
          <w:rFonts w:ascii="Times New Roman" w:hAnsi="Times New Roman" w:cs="Times New Roman"/>
          <w:b/>
          <w:bCs/>
          <w:sz w:val="24"/>
          <w:szCs w:val="24"/>
        </w:rPr>
        <w:t>rekonštrukcia prívodov vody</w:t>
      </w:r>
      <w:r w:rsidRPr="00CC5B4A">
        <w:rPr>
          <w:rFonts w:ascii="Times New Roman" w:hAnsi="Times New Roman" w:cs="Times New Roman"/>
          <w:sz w:val="24"/>
          <w:szCs w:val="24"/>
        </w:rPr>
        <w:t>, vodovodných sietí a vodárenských zariadení v</w:t>
      </w:r>
      <w:r w:rsidR="00747ED8">
        <w:rPr>
          <w:rFonts w:ascii="Times New Roman" w:hAnsi="Times New Roman" w:cs="Times New Roman"/>
          <w:sz w:val="24"/>
          <w:szCs w:val="24"/>
        </w:rPr>
        <w:t> </w:t>
      </w:r>
      <w:r w:rsidRPr="00CC5B4A">
        <w:rPr>
          <w:rFonts w:ascii="Times New Roman" w:hAnsi="Times New Roman" w:cs="Times New Roman"/>
          <w:sz w:val="24"/>
          <w:szCs w:val="24"/>
        </w:rPr>
        <w:t>obciach</w:t>
      </w:r>
      <w:r w:rsidR="00747ED8">
        <w:rPr>
          <w:rFonts w:ascii="Times New Roman" w:hAnsi="Times New Roman" w:cs="Times New Roman"/>
          <w:sz w:val="24"/>
          <w:szCs w:val="24"/>
        </w:rPr>
        <w:t>,</w:t>
      </w:r>
    </w:p>
    <w:p w:rsidR="00A00547" w:rsidRPr="00CC5B4A" w:rsidRDefault="00A00547" w:rsidP="00021B18">
      <w:pPr>
        <w:pStyle w:val="Odsekzoznamu"/>
        <w:numPr>
          <w:ilvl w:val="0"/>
          <w:numId w:val="16"/>
        </w:numPr>
        <w:spacing w:after="40" w:line="320" w:lineRule="exact"/>
        <w:ind w:left="709" w:hanging="425"/>
        <w:jc w:val="both"/>
        <w:rPr>
          <w:rFonts w:ascii="Times New Roman" w:hAnsi="Times New Roman" w:cs="Times New Roman"/>
          <w:sz w:val="24"/>
          <w:szCs w:val="24"/>
        </w:rPr>
      </w:pPr>
      <w:r w:rsidRPr="00CC5B4A">
        <w:rPr>
          <w:rFonts w:ascii="Times New Roman" w:hAnsi="Times New Roman" w:cs="Times New Roman"/>
          <w:b/>
          <w:bCs/>
          <w:sz w:val="24"/>
          <w:szCs w:val="24"/>
        </w:rPr>
        <w:t xml:space="preserve">rekonštrukcia stokovej siete </w:t>
      </w:r>
      <w:r w:rsidRPr="00CC5B4A">
        <w:rPr>
          <w:rFonts w:ascii="Times New Roman" w:hAnsi="Times New Roman" w:cs="Times New Roman"/>
          <w:sz w:val="24"/>
          <w:szCs w:val="24"/>
        </w:rPr>
        <w:t>a kanalizačných zariadení v</w:t>
      </w:r>
      <w:r w:rsidR="00747ED8">
        <w:rPr>
          <w:rFonts w:ascii="Times New Roman" w:hAnsi="Times New Roman" w:cs="Times New Roman"/>
          <w:sz w:val="24"/>
          <w:szCs w:val="24"/>
        </w:rPr>
        <w:t> </w:t>
      </w:r>
      <w:r w:rsidRPr="00CC5B4A">
        <w:rPr>
          <w:rFonts w:ascii="Times New Roman" w:hAnsi="Times New Roman" w:cs="Times New Roman"/>
          <w:sz w:val="24"/>
          <w:szCs w:val="24"/>
        </w:rPr>
        <w:t>obciach</w:t>
      </w:r>
      <w:r w:rsidR="00747ED8">
        <w:rPr>
          <w:rFonts w:ascii="Times New Roman" w:hAnsi="Times New Roman" w:cs="Times New Roman"/>
          <w:sz w:val="24"/>
          <w:szCs w:val="24"/>
        </w:rPr>
        <w:t>,</w:t>
      </w:r>
    </w:p>
    <w:p w:rsidR="00A00547" w:rsidRPr="00CC5B4A" w:rsidRDefault="00A00547" w:rsidP="00021B18">
      <w:pPr>
        <w:pStyle w:val="Odsekzoznamu"/>
        <w:numPr>
          <w:ilvl w:val="0"/>
          <w:numId w:val="16"/>
        </w:numPr>
        <w:spacing w:after="40" w:line="320" w:lineRule="exact"/>
        <w:ind w:left="709" w:hanging="425"/>
        <w:jc w:val="both"/>
        <w:rPr>
          <w:rFonts w:ascii="Times New Roman" w:hAnsi="Times New Roman" w:cs="Times New Roman"/>
          <w:sz w:val="24"/>
          <w:szCs w:val="24"/>
        </w:rPr>
      </w:pPr>
      <w:r w:rsidRPr="00CC5B4A">
        <w:rPr>
          <w:rFonts w:ascii="Times New Roman" w:hAnsi="Times New Roman" w:cs="Times New Roman"/>
          <w:b/>
          <w:bCs/>
          <w:sz w:val="24"/>
          <w:szCs w:val="24"/>
        </w:rPr>
        <w:t>budovanie verejných vodovodov</w:t>
      </w:r>
      <w:r w:rsidRPr="00CC5B4A">
        <w:rPr>
          <w:rFonts w:ascii="Times New Roman" w:hAnsi="Times New Roman" w:cs="Times New Roman"/>
          <w:sz w:val="24"/>
          <w:szCs w:val="24"/>
        </w:rPr>
        <w:t>, okrem prípadov ich súbežnej výstavby s výstavbou verejnej kanalizácie prostredníctvom OP KŽP</w:t>
      </w:r>
      <w:r w:rsidR="00747ED8">
        <w:rPr>
          <w:rFonts w:ascii="Times New Roman" w:hAnsi="Times New Roman" w:cs="Times New Roman"/>
          <w:sz w:val="24"/>
          <w:szCs w:val="24"/>
        </w:rPr>
        <w:t>,</w:t>
      </w:r>
    </w:p>
    <w:p w:rsidR="00A00547" w:rsidRPr="00CC5B4A" w:rsidRDefault="00A00547" w:rsidP="00021B18">
      <w:pPr>
        <w:pStyle w:val="Odsekzoznamu"/>
        <w:numPr>
          <w:ilvl w:val="0"/>
          <w:numId w:val="16"/>
        </w:numPr>
        <w:spacing w:after="40" w:line="320" w:lineRule="exact"/>
        <w:ind w:left="709" w:hanging="425"/>
        <w:jc w:val="both"/>
        <w:rPr>
          <w:rFonts w:ascii="Times New Roman" w:hAnsi="Times New Roman" w:cs="Times New Roman"/>
          <w:sz w:val="24"/>
          <w:szCs w:val="24"/>
        </w:rPr>
      </w:pPr>
      <w:r w:rsidRPr="00CC5B4A">
        <w:rPr>
          <w:rFonts w:ascii="Times New Roman" w:hAnsi="Times New Roman" w:cs="Times New Roman"/>
          <w:b/>
          <w:bCs/>
          <w:sz w:val="24"/>
          <w:szCs w:val="24"/>
        </w:rPr>
        <w:t>budovanie verejných kanalizácií a čistiarní odpadových vôd</w:t>
      </w:r>
      <w:r w:rsidRPr="00CC5B4A">
        <w:rPr>
          <w:rFonts w:ascii="Times New Roman" w:hAnsi="Times New Roman" w:cs="Times New Roman"/>
          <w:sz w:val="24"/>
          <w:szCs w:val="24"/>
        </w:rPr>
        <w:t xml:space="preserve"> pre obce do 2 000 obyvateľov</w:t>
      </w:r>
      <w:r w:rsidR="00747ED8">
        <w:rPr>
          <w:rFonts w:ascii="Times New Roman" w:hAnsi="Times New Roman" w:cs="Times New Roman"/>
          <w:sz w:val="24"/>
          <w:szCs w:val="24"/>
        </w:rPr>
        <w:t>,</w:t>
      </w:r>
    </w:p>
    <w:p w:rsidR="00A00547" w:rsidRPr="00CC5B4A" w:rsidRDefault="00A00547" w:rsidP="00021B18">
      <w:pPr>
        <w:pStyle w:val="Odsekzoznamu"/>
        <w:numPr>
          <w:ilvl w:val="0"/>
          <w:numId w:val="16"/>
        </w:numPr>
        <w:spacing w:after="40" w:line="320" w:lineRule="exact"/>
        <w:ind w:left="709" w:hanging="425"/>
        <w:jc w:val="both"/>
        <w:rPr>
          <w:rFonts w:ascii="Times New Roman" w:hAnsi="Times New Roman" w:cs="Times New Roman"/>
          <w:sz w:val="24"/>
          <w:szCs w:val="24"/>
        </w:rPr>
      </w:pPr>
      <w:r w:rsidRPr="00CC5B4A">
        <w:rPr>
          <w:rFonts w:ascii="Times New Roman" w:hAnsi="Times New Roman" w:cs="Times New Roman"/>
          <w:b/>
          <w:bCs/>
          <w:sz w:val="24"/>
          <w:szCs w:val="24"/>
        </w:rPr>
        <w:t>rekonštrukcia, rozširovanie kapacity a budovanie (v limitovaných prípadoch) nových</w:t>
      </w:r>
      <w:r w:rsidRPr="00CC5B4A">
        <w:rPr>
          <w:rFonts w:ascii="Times New Roman" w:hAnsi="Times New Roman" w:cs="Times New Roman"/>
          <w:sz w:val="24"/>
          <w:szCs w:val="24"/>
        </w:rPr>
        <w:t xml:space="preserve"> zdrojov podzemnej vody</w:t>
      </w:r>
      <w:r w:rsidR="00747ED8">
        <w:rPr>
          <w:rFonts w:ascii="Times New Roman" w:hAnsi="Times New Roman" w:cs="Times New Roman"/>
          <w:sz w:val="24"/>
          <w:szCs w:val="24"/>
        </w:rPr>
        <w:t>.</w:t>
      </w:r>
    </w:p>
    <w:p w:rsidR="00A00547" w:rsidRPr="00CC5B4A" w:rsidRDefault="00A00547" w:rsidP="00021B18">
      <w:pPr>
        <w:spacing w:after="40" w:line="320" w:lineRule="exact"/>
        <w:rPr>
          <w:b/>
          <w:szCs w:val="24"/>
        </w:rPr>
      </w:pPr>
      <w:r w:rsidRPr="00CC5B4A">
        <w:rPr>
          <w:b/>
          <w:szCs w:val="24"/>
        </w:rPr>
        <w:t xml:space="preserve">Prijímatelia: </w:t>
      </w:r>
    </w:p>
    <w:p w:rsidR="00A00547" w:rsidRPr="00CC5B4A" w:rsidRDefault="00A00547" w:rsidP="00021B18">
      <w:pPr>
        <w:numPr>
          <w:ilvl w:val="0"/>
          <w:numId w:val="17"/>
        </w:numPr>
        <w:spacing w:after="40" w:line="320" w:lineRule="exact"/>
        <w:ind w:right="0"/>
        <w:rPr>
          <w:szCs w:val="24"/>
        </w:rPr>
      </w:pPr>
      <w:r w:rsidRPr="00CC5B4A">
        <w:rPr>
          <w:szCs w:val="24"/>
        </w:rPr>
        <w:t>verejný sektor (obce/mestá, združenia miest a obcí),</w:t>
      </w:r>
    </w:p>
    <w:p w:rsidR="00A00547" w:rsidRPr="00CC5B4A" w:rsidRDefault="00A00547" w:rsidP="00021B18">
      <w:pPr>
        <w:numPr>
          <w:ilvl w:val="0"/>
          <w:numId w:val="17"/>
        </w:numPr>
        <w:spacing w:after="40" w:line="320" w:lineRule="exact"/>
        <w:ind w:right="0"/>
        <w:rPr>
          <w:szCs w:val="24"/>
        </w:rPr>
      </w:pPr>
      <w:r w:rsidRPr="00CC5B4A">
        <w:rPr>
          <w:szCs w:val="24"/>
        </w:rPr>
        <w:t>vlastníci verejných vodovodov,</w:t>
      </w:r>
    </w:p>
    <w:p w:rsidR="00A00547" w:rsidRPr="00CC5B4A" w:rsidRDefault="00A00547" w:rsidP="00021B18">
      <w:pPr>
        <w:numPr>
          <w:ilvl w:val="0"/>
          <w:numId w:val="17"/>
        </w:numPr>
        <w:spacing w:after="40" w:line="320" w:lineRule="exact"/>
        <w:ind w:right="0"/>
        <w:rPr>
          <w:szCs w:val="24"/>
        </w:rPr>
      </w:pPr>
      <w:r w:rsidRPr="00CC5B4A">
        <w:rPr>
          <w:szCs w:val="24"/>
        </w:rPr>
        <w:t>právnické osoby oprávnené na podnikanie v oblasti verejných, vodovodov a verejných kanali</w:t>
      </w:r>
      <w:r w:rsidR="00747ED8">
        <w:rPr>
          <w:szCs w:val="24"/>
        </w:rPr>
        <w:t>z</w:t>
      </w:r>
      <w:r w:rsidRPr="00CC5B4A">
        <w:rPr>
          <w:szCs w:val="24"/>
        </w:rPr>
        <w:t>ácií.</w:t>
      </w:r>
    </w:p>
    <w:p w:rsidR="00A00547" w:rsidRPr="00CC5B4A" w:rsidRDefault="00A00547" w:rsidP="00021B18">
      <w:pPr>
        <w:spacing w:after="40" w:line="320" w:lineRule="exact"/>
        <w:rPr>
          <w:szCs w:val="24"/>
        </w:rPr>
      </w:pPr>
      <w:r w:rsidRPr="00CC5B4A">
        <w:rPr>
          <w:b/>
          <w:szCs w:val="24"/>
        </w:rPr>
        <w:t>Cieľové územie:</w:t>
      </w:r>
      <w:r w:rsidRPr="00CC5B4A">
        <w:rPr>
          <w:szCs w:val="24"/>
        </w:rPr>
        <w:t xml:space="preserve"> menej rozvinuté regióny (okrem Bratislavského kraja)</w:t>
      </w:r>
    </w:p>
    <w:p w:rsidR="00A00547" w:rsidRPr="00CC5B4A" w:rsidRDefault="00A00547" w:rsidP="00021B18">
      <w:pPr>
        <w:spacing w:after="40" w:line="320" w:lineRule="exact"/>
        <w:rPr>
          <w:szCs w:val="24"/>
        </w:rPr>
      </w:pPr>
    </w:p>
    <w:p w:rsidR="00A00547" w:rsidRDefault="00A00547" w:rsidP="00021B18">
      <w:pPr>
        <w:spacing w:after="40" w:line="320" w:lineRule="exact"/>
        <w:rPr>
          <w:szCs w:val="24"/>
        </w:rPr>
      </w:pPr>
      <w:r w:rsidRPr="00CC5B4A">
        <w:rPr>
          <w:b/>
          <w:szCs w:val="24"/>
        </w:rPr>
        <w:t>Alokácie na špecifický cieľ</w:t>
      </w:r>
      <w:r w:rsidRPr="00CC5B4A">
        <w:rPr>
          <w:szCs w:val="24"/>
        </w:rPr>
        <w:t xml:space="preserve"> (menej rozvinutý región): 55 mil. </w:t>
      </w:r>
      <w:r w:rsidR="00565EDA">
        <w:rPr>
          <w:szCs w:val="24"/>
        </w:rPr>
        <w:t>€</w:t>
      </w:r>
      <w:r w:rsidRPr="00CC5B4A">
        <w:rPr>
          <w:szCs w:val="24"/>
        </w:rPr>
        <w:t xml:space="preserve"> (EFRR), </w:t>
      </w:r>
      <w:r w:rsidRPr="00CC5B4A">
        <w:rPr>
          <w:szCs w:val="24"/>
        </w:rPr>
        <w:tab/>
        <w:t xml:space="preserve">64 705 885 </w:t>
      </w:r>
      <w:r w:rsidR="00565EDA">
        <w:rPr>
          <w:szCs w:val="24"/>
        </w:rPr>
        <w:t>€</w:t>
      </w:r>
      <w:r w:rsidRPr="00CC5B4A">
        <w:rPr>
          <w:szCs w:val="24"/>
        </w:rPr>
        <w:t xml:space="preserve"> (spolu)</w:t>
      </w:r>
    </w:p>
    <w:p w:rsidR="00354C80" w:rsidRDefault="00354C80" w:rsidP="00021B18">
      <w:pPr>
        <w:spacing w:after="40" w:line="320" w:lineRule="exact"/>
        <w:ind w:firstLine="0"/>
        <w:rPr>
          <w:szCs w:val="24"/>
        </w:rPr>
      </w:pPr>
    </w:p>
    <w:p w:rsidR="00A00547" w:rsidRPr="00CC5B4A" w:rsidRDefault="00A00547" w:rsidP="00021B18">
      <w:pPr>
        <w:spacing w:after="40" w:line="320" w:lineRule="exact"/>
        <w:rPr>
          <w:i/>
          <w:szCs w:val="24"/>
        </w:rPr>
      </w:pPr>
      <w:r w:rsidRPr="00CC5B4A">
        <w:rPr>
          <w:b/>
          <w:bCs/>
          <w:i/>
          <w:szCs w:val="24"/>
        </w:rPr>
        <w:t>Budovanie prvkov zelenej infraštruktúry (špecifický cieľ 4.3.1)</w:t>
      </w:r>
    </w:p>
    <w:p w:rsidR="00A00547" w:rsidRPr="00CC5B4A" w:rsidRDefault="00A00547" w:rsidP="00021B18">
      <w:pPr>
        <w:numPr>
          <w:ilvl w:val="0"/>
          <w:numId w:val="18"/>
        </w:numPr>
        <w:spacing w:after="40" w:line="320" w:lineRule="exact"/>
        <w:ind w:right="0"/>
        <w:rPr>
          <w:szCs w:val="24"/>
        </w:rPr>
      </w:pPr>
      <w:r w:rsidRPr="00CC5B4A">
        <w:rPr>
          <w:szCs w:val="24"/>
        </w:rPr>
        <w:t xml:space="preserve">prirodzené krajinné prvky ako napr. </w:t>
      </w:r>
      <w:r w:rsidRPr="00CC5B4A">
        <w:rPr>
          <w:b/>
          <w:bCs/>
          <w:szCs w:val="24"/>
        </w:rPr>
        <w:t>malé vodné toky, ostrovčeky lesa, živé ploty,</w:t>
      </w:r>
    </w:p>
    <w:p w:rsidR="00A00547" w:rsidRPr="00CC5B4A" w:rsidRDefault="00A00547" w:rsidP="00021B18">
      <w:pPr>
        <w:numPr>
          <w:ilvl w:val="0"/>
          <w:numId w:val="18"/>
        </w:numPr>
        <w:spacing w:after="40" w:line="320" w:lineRule="exact"/>
        <w:ind w:right="0"/>
        <w:rPr>
          <w:szCs w:val="24"/>
        </w:rPr>
      </w:pPr>
      <w:r w:rsidRPr="00CC5B4A">
        <w:rPr>
          <w:szCs w:val="24"/>
        </w:rPr>
        <w:t xml:space="preserve">mestské prvky napr. </w:t>
      </w:r>
      <w:r w:rsidRPr="00CC5B4A">
        <w:rPr>
          <w:b/>
          <w:bCs/>
          <w:szCs w:val="24"/>
        </w:rPr>
        <w:t>zelené parky, izolačná zeleň</w:t>
      </w:r>
      <w:r w:rsidRPr="00CC5B4A">
        <w:rPr>
          <w:szCs w:val="24"/>
        </w:rPr>
        <w:t xml:space="preserve">, zelené steny a </w:t>
      </w:r>
      <w:r w:rsidRPr="00CC5B4A">
        <w:rPr>
          <w:b/>
          <w:bCs/>
          <w:szCs w:val="24"/>
        </w:rPr>
        <w:t>zelené strechy,</w:t>
      </w:r>
    </w:p>
    <w:p w:rsidR="00A00547" w:rsidRPr="00CC5B4A" w:rsidRDefault="00A00547" w:rsidP="00021B18">
      <w:pPr>
        <w:numPr>
          <w:ilvl w:val="0"/>
          <w:numId w:val="18"/>
        </w:numPr>
        <w:spacing w:after="40" w:line="320" w:lineRule="exact"/>
        <w:ind w:right="0"/>
        <w:rPr>
          <w:szCs w:val="24"/>
        </w:rPr>
      </w:pPr>
      <w:r w:rsidRPr="00CC5B4A">
        <w:rPr>
          <w:szCs w:val="24"/>
        </w:rPr>
        <w:t xml:space="preserve">aktivity v oblasti dopravnej infraštruktúry: </w:t>
      </w:r>
      <w:r w:rsidRPr="00CC5B4A">
        <w:rPr>
          <w:b/>
          <w:bCs/>
          <w:szCs w:val="24"/>
        </w:rPr>
        <w:t xml:space="preserve">zelené koridory </w:t>
      </w:r>
      <w:r w:rsidRPr="00CC5B4A">
        <w:rPr>
          <w:szCs w:val="24"/>
        </w:rPr>
        <w:t xml:space="preserve">pozdĺž cyklotrás, </w:t>
      </w:r>
      <w:r w:rsidRPr="00CC5B4A">
        <w:rPr>
          <w:b/>
          <w:bCs/>
          <w:szCs w:val="24"/>
        </w:rPr>
        <w:t xml:space="preserve">zelené steny </w:t>
      </w:r>
      <w:r w:rsidRPr="00CC5B4A">
        <w:rPr>
          <w:szCs w:val="24"/>
        </w:rPr>
        <w:t>na protihlukových stenách,</w:t>
      </w:r>
    </w:p>
    <w:p w:rsidR="00A00547" w:rsidRPr="00CC5B4A" w:rsidRDefault="00A00547" w:rsidP="00021B18">
      <w:pPr>
        <w:numPr>
          <w:ilvl w:val="0"/>
          <w:numId w:val="18"/>
        </w:numPr>
        <w:spacing w:after="40" w:line="320" w:lineRule="exact"/>
        <w:ind w:right="0"/>
        <w:rPr>
          <w:szCs w:val="24"/>
        </w:rPr>
      </w:pPr>
      <w:r w:rsidRPr="00CC5B4A">
        <w:rPr>
          <w:szCs w:val="24"/>
        </w:rPr>
        <w:t xml:space="preserve">osobitné </w:t>
      </w:r>
      <w:r w:rsidRPr="00CC5B4A">
        <w:rPr>
          <w:b/>
          <w:bCs/>
          <w:szCs w:val="24"/>
        </w:rPr>
        <w:t>zberné systémy na odpadovú a dažďovú vodu,</w:t>
      </w:r>
    </w:p>
    <w:p w:rsidR="00A00547" w:rsidRPr="00CC5B4A" w:rsidRDefault="00A00547" w:rsidP="00021B18">
      <w:pPr>
        <w:numPr>
          <w:ilvl w:val="0"/>
          <w:numId w:val="18"/>
        </w:numPr>
        <w:spacing w:after="40" w:line="320" w:lineRule="exact"/>
        <w:ind w:right="0"/>
        <w:rPr>
          <w:szCs w:val="24"/>
        </w:rPr>
      </w:pPr>
      <w:r w:rsidRPr="00CC5B4A">
        <w:rPr>
          <w:b/>
          <w:bCs/>
          <w:szCs w:val="24"/>
        </w:rPr>
        <w:t>regenerácia vnútroblokov sídlisk.</w:t>
      </w:r>
    </w:p>
    <w:p w:rsidR="00A00547" w:rsidRPr="00CC5B4A" w:rsidRDefault="00A00547" w:rsidP="00021B18">
      <w:pPr>
        <w:spacing w:after="40" w:line="320" w:lineRule="exact"/>
        <w:rPr>
          <w:szCs w:val="24"/>
        </w:rPr>
      </w:pPr>
      <w:r w:rsidRPr="00CC5B4A">
        <w:rPr>
          <w:b/>
          <w:bCs/>
          <w:szCs w:val="24"/>
        </w:rPr>
        <w:t xml:space="preserve"> Prijímatelia:</w:t>
      </w:r>
    </w:p>
    <w:p w:rsidR="00A00547" w:rsidRPr="00CC5B4A" w:rsidRDefault="00A00547" w:rsidP="00021B18">
      <w:pPr>
        <w:numPr>
          <w:ilvl w:val="0"/>
          <w:numId w:val="19"/>
        </w:numPr>
        <w:spacing w:after="40" w:line="320" w:lineRule="exact"/>
        <w:ind w:right="0"/>
        <w:rPr>
          <w:szCs w:val="24"/>
        </w:rPr>
      </w:pPr>
      <w:r w:rsidRPr="00CC5B4A">
        <w:rPr>
          <w:szCs w:val="24"/>
        </w:rPr>
        <w:t>obce, VÚC, OZ, MVO.</w:t>
      </w:r>
    </w:p>
    <w:p w:rsidR="00A00547" w:rsidRPr="00CC5B4A" w:rsidRDefault="00A00547" w:rsidP="00021B18">
      <w:pPr>
        <w:spacing w:after="40" w:line="320" w:lineRule="exact"/>
        <w:rPr>
          <w:szCs w:val="24"/>
        </w:rPr>
      </w:pPr>
      <w:r w:rsidRPr="00CC5B4A">
        <w:rPr>
          <w:b/>
          <w:szCs w:val="24"/>
        </w:rPr>
        <w:t>Cieľové územie:</w:t>
      </w:r>
      <w:r w:rsidRPr="00CC5B4A">
        <w:rPr>
          <w:szCs w:val="24"/>
        </w:rPr>
        <w:t xml:space="preserve"> funkčné územia krajských miest okrem Bratislavského kraja, pre</w:t>
      </w:r>
      <w:r w:rsidR="0072300B">
        <w:rPr>
          <w:szCs w:val="24"/>
        </w:rPr>
        <w:t> </w:t>
      </w:r>
      <w:r w:rsidRPr="00CC5B4A">
        <w:rPr>
          <w:szCs w:val="24"/>
        </w:rPr>
        <w:tab/>
        <w:t xml:space="preserve">aktivitu regenerácia vnútroblokov sídlisk celé územie SR s výnimkou Bratislavského </w:t>
      </w:r>
      <w:r w:rsidRPr="00CC5B4A">
        <w:rPr>
          <w:szCs w:val="24"/>
        </w:rPr>
        <w:tab/>
        <w:t>kraja.</w:t>
      </w:r>
    </w:p>
    <w:p w:rsidR="00A00547" w:rsidRDefault="00A00547" w:rsidP="00021B18">
      <w:pPr>
        <w:spacing w:after="40" w:line="320" w:lineRule="exact"/>
        <w:rPr>
          <w:szCs w:val="24"/>
        </w:rPr>
      </w:pPr>
      <w:r w:rsidRPr="00CC5B4A">
        <w:rPr>
          <w:b/>
          <w:szCs w:val="24"/>
        </w:rPr>
        <w:t>Alokácie na špecifický cieľ</w:t>
      </w:r>
      <w:r w:rsidRPr="00CC5B4A">
        <w:rPr>
          <w:szCs w:val="24"/>
        </w:rPr>
        <w:t xml:space="preserve"> (menej rozvinutý región): </w:t>
      </w:r>
      <w:r w:rsidRPr="00CC5B4A">
        <w:rPr>
          <w:b/>
          <w:szCs w:val="24"/>
        </w:rPr>
        <w:t xml:space="preserve">33 328 116 </w:t>
      </w:r>
      <w:r w:rsidR="00565EDA">
        <w:rPr>
          <w:b/>
          <w:szCs w:val="24"/>
        </w:rPr>
        <w:t>€</w:t>
      </w:r>
      <w:r w:rsidRPr="00CC5B4A">
        <w:rPr>
          <w:b/>
          <w:szCs w:val="24"/>
        </w:rPr>
        <w:t xml:space="preserve"> (EFRR), </w:t>
      </w:r>
      <w:r w:rsidRPr="00CC5B4A">
        <w:rPr>
          <w:b/>
          <w:szCs w:val="24"/>
        </w:rPr>
        <w:tab/>
        <w:t xml:space="preserve">39 209 551 </w:t>
      </w:r>
      <w:r w:rsidR="00565EDA">
        <w:rPr>
          <w:b/>
          <w:szCs w:val="24"/>
        </w:rPr>
        <w:t>€</w:t>
      </w:r>
      <w:r w:rsidRPr="00CC5B4A">
        <w:rPr>
          <w:b/>
          <w:szCs w:val="24"/>
        </w:rPr>
        <w:t xml:space="preserve"> (spolu)</w:t>
      </w:r>
      <w:r w:rsidRPr="00CC5B4A">
        <w:rPr>
          <w:szCs w:val="24"/>
        </w:rPr>
        <w:t xml:space="preserve"> </w:t>
      </w:r>
    </w:p>
    <w:p w:rsidR="00A64E53" w:rsidRDefault="00A64E53" w:rsidP="00021B18">
      <w:pPr>
        <w:spacing w:after="40" w:line="320" w:lineRule="exact"/>
        <w:rPr>
          <w:szCs w:val="24"/>
        </w:rPr>
      </w:pPr>
    </w:p>
    <w:p w:rsidR="00A00547" w:rsidRPr="00CC5B4A" w:rsidRDefault="00A00547" w:rsidP="00021B18">
      <w:pPr>
        <w:spacing w:after="40" w:line="320" w:lineRule="exact"/>
        <w:rPr>
          <w:b/>
          <w:szCs w:val="24"/>
          <w:u w:val="single"/>
        </w:rPr>
      </w:pPr>
      <w:r w:rsidRPr="00CC5B4A">
        <w:rPr>
          <w:b/>
          <w:szCs w:val="24"/>
          <w:u w:val="single"/>
        </w:rPr>
        <w:t xml:space="preserve">Prioritná os č. 5: </w:t>
      </w:r>
      <w:r w:rsidRPr="00CC5B4A">
        <w:rPr>
          <w:b/>
          <w:bCs/>
          <w:szCs w:val="24"/>
          <w:u w:val="single"/>
        </w:rPr>
        <w:t>Miestny rozvoj vedený komunitou</w:t>
      </w:r>
    </w:p>
    <w:p w:rsidR="00A00547" w:rsidRPr="00CC5B4A" w:rsidRDefault="00A00547" w:rsidP="00021B18">
      <w:pPr>
        <w:spacing w:after="40" w:line="320" w:lineRule="exact"/>
        <w:rPr>
          <w:i/>
          <w:szCs w:val="24"/>
        </w:rPr>
      </w:pPr>
      <w:r w:rsidRPr="00CC5B4A">
        <w:rPr>
          <w:b/>
          <w:bCs/>
          <w:i/>
          <w:szCs w:val="24"/>
        </w:rPr>
        <w:t xml:space="preserve">Zvýšenie zamestnanosti na miestnej úrovni podporou podnikania a inovácií </w:t>
      </w:r>
      <w:r w:rsidRPr="00CC5B4A">
        <w:rPr>
          <w:b/>
          <w:bCs/>
          <w:i/>
          <w:szCs w:val="24"/>
        </w:rPr>
        <w:tab/>
        <w:t>(špecifický cieľ 5.1.1) </w:t>
      </w:r>
    </w:p>
    <w:p w:rsidR="00A00547" w:rsidRPr="00CC5B4A" w:rsidRDefault="00A00547" w:rsidP="00021B18">
      <w:pPr>
        <w:pStyle w:val="Odsekzoznamu"/>
        <w:numPr>
          <w:ilvl w:val="0"/>
          <w:numId w:val="20"/>
        </w:numPr>
        <w:spacing w:after="40" w:line="320" w:lineRule="exact"/>
        <w:ind w:left="567" w:hanging="283"/>
        <w:jc w:val="both"/>
        <w:rPr>
          <w:rFonts w:ascii="Times New Roman" w:hAnsi="Times New Roman" w:cs="Times New Roman"/>
          <w:sz w:val="24"/>
          <w:szCs w:val="24"/>
        </w:rPr>
      </w:pPr>
      <w:r w:rsidRPr="00CC5B4A">
        <w:rPr>
          <w:rFonts w:ascii="Times New Roman" w:hAnsi="Times New Roman" w:cs="Times New Roman"/>
          <w:sz w:val="24"/>
          <w:szCs w:val="24"/>
        </w:rPr>
        <w:lastRenderedPageBreak/>
        <w:t>podpora chodu miestnych akčných skupín (MAS) – okrem Bratislavského kraja a zmiešaných MAS</w:t>
      </w:r>
    </w:p>
    <w:p w:rsidR="00A00547" w:rsidRPr="00CC5B4A" w:rsidRDefault="00A00547" w:rsidP="00021B18">
      <w:pPr>
        <w:pStyle w:val="Odsekzoznamu"/>
        <w:numPr>
          <w:ilvl w:val="0"/>
          <w:numId w:val="20"/>
        </w:numPr>
        <w:spacing w:after="40" w:line="320" w:lineRule="exact"/>
        <w:ind w:left="567" w:hanging="283"/>
        <w:jc w:val="both"/>
        <w:rPr>
          <w:rFonts w:ascii="Times New Roman" w:hAnsi="Times New Roman" w:cs="Times New Roman"/>
          <w:sz w:val="24"/>
          <w:szCs w:val="24"/>
        </w:rPr>
      </w:pPr>
      <w:r w:rsidRPr="00CC5B4A">
        <w:rPr>
          <w:rFonts w:ascii="Times New Roman" w:hAnsi="Times New Roman" w:cs="Times New Roman"/>
          <w:sz w:val="24"/>
          <w:szCs w:val="24"/>
        </w:rPr>
        <w:t>podpora obstarania materiálno-technického vybavenia mikro a malých podnikov (do</w:t>
      </w:r>
      <w:r w:rsidR="00302357">
        <w:rPr>
          <w:rFonts w:ascii="Times New Roman" w:hAnsi="Times New Roman" w:cs="Times New Roman"/>
          <w:sz w:val="24"/>
          <w:szCs w:val="24"/>
        </w:rPr>
        <w:t> </w:t>
      </w:r>
      <w:r w:rsidRPr="00CC5B4A">
        <w:rPr>
          <w:rFonts w:ascii="Times New Roman" w:hAnsi="Times New Roman" w:cs="Times New Roman"/>
          <w:sz w:val="24"/>
          <w:szCs w:val="24"/>
        </w:rPr>
        <w:t>49</w:t>
      </w:r>
      <w:r w:rsidR="00302357">
        <w:rPr>
          <w:rFonts w:ascii="Times New Roman" w:hAnsi="Times New Roman" w:cs="Times New Roman"/>
          <w:sz w:val="24"/>
          <w:szCs w:val="24"/>
        </w:rPr>
        <w:t> </w:t>
      </w:r>
      <w:r w:rsidRPr="00CC5B4A">
        <w:rPr>
          <w:rFonts w:ascii="Times New Roman" w:hAnsi="Times New Roman" w:cs="Times New Roman"/>
          <w:sz w:val="24"/>
          <w:szCs w:val="24"/>
        </w:rPr>
        <w:t>zamestnancov),</w:t>
      </w:r>
    </w:p>
    <w:p w:rsidR="00A00547" w:rsidRDefault="00A00547" w:rsidP="00021B18">
      <w:pPr>
        <w:pStyle w:val="Odsekzoznamu"/>
        <w:numPr>
          <w:ilvl w:val="0"/>
          <w:numId w:val="20"/>
        </w:numPr>
        <w:spacing w:after="40" w:line="320" w:lineRule="exact"/>
        <w:ind w:left="567" w:hanging="283"/>
        <w:jc w:val="both"/>
        <w:rPr>
          <w:rFonts w:ascii="Times New Roman" w:hAnsi="Times New Roman" w:cs="Times New Roman"/>
          <w:sz w:val="24"/>
          <w:szCs w:val="24"/>
        </w:rPr>
      </w:pPr>
      <w:r w:rsidRPr="00CC5B4A">
        <w:rPr>
          <w:rFonts w:ascii="Times New Roman" w:hAnsi="Times New Roman" w:cs="Times New Roman"/>
          <w:sz w:val="24"/>
          <w:szCs w:val="24"/>
        </w:rPr>
        <w:t xml:space="preserve">podpora „mäkkých“ aktivít pre podnikateľov a podniky (vzdelávanie, sieťovanie, marketing, poradenstvo, prenos poznatkov). </w:t>
      </w:r>
    </w:p>
    <w:p w:rsidR="00354C80" w:rsidRDefault="00354C80" w:rsidP="00021B18">
      <w:pPr>
        <w:spacing w:after="40" w:line="320" w:lineRule="exact"/>
        <w:rPr>
          <w:b/>
          <w:bCs/>
          <w:i/>
          <w:szCs w:val="24"/>
        </w:rPr>
      </w:pPr>
    </w:p>
    <w:p w:rsidR="00A00547" w:rsidRPr="00CC5B4A" w:rsidRDefault="00A00547" w:rsidP="00021B18">
      <w:pPr>
        <w:spacing w:after="40" w:line="320" w:lineRule="exact"/>
        <w:rPr>
          <w:i/>
          <w:szCs w:val="24"/>
        </w:rPr>
      </w:pPr>
      <w:r w:rsidRPr="00CC5B4A">
        <w:rPr>
          <w:b/>
          <w:bCs/>
          <w:i/>
          <w:szCs w:val="24"/>
        </w:rPr>
        <w:t xml:space="preserve">Podpora udržateľných vzťahov medzi vidieckymi rozvojovými centrami a ich </w:t>
      </w:r>
      <w:r w:rsidRPr="00CC5B4A">
        <w:rPr>
          <w:b/>
          <w:bCs/>
          <w:i/>
          <w:szCs w:val="24"/>
        </w:rPr>
        <w:tab/>
        <w:t xml:space="preserve">zázemím vo verejných službách a vo verejných infraštruktúrach (špecifický cieľ </w:t>
      </w:r>
      <w:r w:rsidRPr="00CC5B4A">
        <w:rPr>
          <w:b/>
          <w:bCs/>
          <w:i/>
          <w:szCs w:val="24"/>
        </w:rPr>
        <w:tab/>
        <w:t>5.1.2) </w:t>
      </w:r>
    </w:p>
    <w:p w:rsidR="00A00547" w:rsidRPr="00CC5B4A" w:rsidRDefault="00A00547" w:rsidP="00021B18">
      <w:pPr>
        <w:pStyle w:val="Odsekzoznamu"/>
        <w:numPr>
          <w:ilvl w:val="0"/>
          <w:numId w:val="21"/>
        </w:numPr>
        <w:spacing w:after="40" w:line="320" w:lineRule="exact"/>
        <w:ind w:left="567" w:hanging="283"/>
        <w:jc w:val="both"/>
        <w:rPr>
          <w:rFonts w:ascii="Times New Roman" w:hAnsi="Times New Roman" w:cs="Times New Roman"/>
          <w:sz w:val="24"/>
          <w:szCs w:val="24"/>
        </w:rPr>
      </w:pPr>
      <w:r w:rsidRPr="00CC5B4A">
        <w:rPr>
          <w:rFonts w:ascii="Times New Roman" w:hAnsi="Times New Roman" w:cs="Times New Roman"/>
          <w:sz w:val="24"/>
          <w:szCs w:val="24"/>
        </w:rPr>
        <w:t>rozvoj základnej infraštruktúry v obciach v oblasti verejnej osobnej dopravy a</w:t>
      </w:r>
      <w:r w:rsidR="0072300B">
        <w:rPr>
          <w:rFonts w:ascii="Times New Roman" w:hAnsi="Times New Roman" w:cs="Times New Roman"/>
          <w:sz w:val="24"/>
          <w:szCs w:val="24"/>
        </w:rPr>
        <w:t> </w:t>
      </w:r>
      <w:r w:rsidRPr="00CC5B4A">
        <w:rPr>
          <w:rFonts w:ascii="Times New Roman" w:hAnsi="Times New Roman" w:cs="Times New Roman"/>
          <w:sz w:val="24"/>
          <w:szCs w:val="24"/>
        </w:rPr>
        <w:t>cyklodopravy, sociálnych služieb a komunitných služieb, školskej infraštruktúry,</w:t>
      </w:r>
    </w:p>
    <w:p w:rsidR="00A00547" w:rsidRPr="00CC5B4A" w:rsidRDefault="00A00547" w:rsidP="00021B18">
      <w:pPr>
        <w:pStyle w:val="Odsekzoznamu"/>
        <w:numPr>
          <w:ilvl w:val="0"/>
          <w:numId w:val="21"/>
        </w:numPr>
        <w:spacing w:after="40" w:line="320" w:lineRule="exact"/>
        <w:ind w:left="567" w:hanging="283"/>
        <w:jc w:val="both"/>
        <w:rPr>
          <w:rFonts w:ascii="Times New Roman" w:hAnsi="Times New Roman" w:cs="Times New Roman"/>
          <w:sz w:val="24"/>
          <w:szCs w:val="24"/>
        </w:rPr>
      </w:pPr>
      <w:r w:rsidRPr="00CC5B4A">
        <w:rPr>
          <w:rFonts w:ascii="Times New Roman" w:hAnsi="Times New Roman" w:cs="Times New Roman"/>
          <w:sz w:val="24"/>
          <w:szCs w:val="24"/>
        </w:rPr>
        <w:t>rozvoj miestnych služieb vrátane lokálnych ekologických služieb,</w:t>
      </w:r>
    </w:p>
    <w:p w:rsidR="00A00547" w:rsidRPr="00CC5B4A" w:rsidRDefault="00A00547" w:rsidP="00021B18">
      <w:pPr>
        <w:pStyle w:val="Odsekzoznamu"/>
        <w:numPr>
          <w:ilvl w:val="0"/>
          <w:numId w:val="21"/>
        </w:numPr>
        <w:spacing w:after="40" w:line="320" w:lineRule="exact"/>
        <w:ind w:left="567" w:hanging="283"/>
        <w:jc w:val="both"/>
        <w:rPr>
          <w:rFonts w:ascii="Times New Roman" w:hAnsi="Times New Roman" w:cs="Times New Roman"/>
          <w:sz w:val="24"/>
          <w:szCs w:val="24"/>
        </w:rPr>
      </w:pPr>
      <w:r w:rsidRPr="00CC5B4A">
        <w:rPr>
          <w:rFonts w:ascii="Times New Roman" w:hAnsi="Times New Roman" w:cs="Times New Roman"/>
          <w:sz w:val="24"/>
          <w:szCs w:val="24"/>
        </w:rPr>
        <w:t>výstavba a obnova mestských trhových priestorov za účelom podpory lokálnych producentov,</w:t>
      </w:r>
    </w:p>
    <w:p w:rsidR="00A00547" w:rsidRPr="00CC5B4A" w:rsidRDefault="00A00547" w:rsidP="00021B18">
      <w:pPr>
        <w:pStyle w:val="Odsekzoznamu"/>
        <w:numPr>
          <w:ilvl w:val="0"/>
          <w:numId w:val="21"/>
        </w:numPr>
        <w:spacing w:after="40" w:line="320" w:lineRule="exact"/>
        <w:ind w:left="567" w:hanging="283"/>
        <w:jc w:val="both"/>
        <w:rPr>
          <w:rFonts w:ascii="Times New Roman" w:hAnsi="Times New Roman" w:cs="Times New Roman"/>
          <w:sz w:val="24"/>
          <w:szCs w:val="24"/>
        </w:rPr>
      </w:pPr>
      <w:r w:rsidRPr="00CC5B4A">
        <w:rPr>
          <w:rFonts w:ascii="Times New Roman" w:hAnsi="Times New Roman" w:cs="Times New Roman"/>
          <w:sz w:val="24"/>
          <w:szCs w:val="24"/>
        </w:rPr>
        <w:t>rekonštrukcia/budovanie vodovodných sietí, stokovej siete, verejných vodovodov v</w:t>
      </w:r>
      <w:r w:rsidR="0072300B">
        <w:rPr>
          <w:rFonts w:ascii="Times New Roman" w:hAnsi="Times New Roman" w:cs="Times New Roman"/>
          <w:sz w:val="24"/>
          <w:szCs w:val="24"/>
        </w:rPr>
        <w:t> </w:t>
      </w:r>
      <w:r w:rsidRPr="00CC5B4A">
        <w:rPr>
          <w:rFonts w:ascii="Times New Roman" w:hAnsi="Times New Roman" w:cs="Times New Roman"/>
          <w:sz w:val="24"/>
          <w:szCs w:val="24"/>
        </w:rPr>
        <w:t>aglomeráciách do 2 000 ekvivalentných obyvateľov.</w:t>
      </w:r>
    </w:p>
    <w:p w:rsidR="00A00547" w:rsidRPr="00CC5B4A" w:rsidRDefault="00A00547" w:rsidP="00021B18">
      <w:pPr>
        <w:spacing w:after="40" w:line="320" w:lineRule="exact"/>
        <w:rPr>
          <w:b/>
          <w:szCs w:val="24"/>
        </w:rPr>
      </w:pPr>
      <w:r w:rsidRPr="00CC5B4A">
        <w:rPr>
          <w:b/>
          <w:szCs w:val="24"/>
        </w:rPr>
        <w:t>Prijímatelia:</w:t>
      </w:r>
    </w:p>
    <w:p w:rsidR="00A00547" w:rsidRPr="00CC5B4A" w:rsidRDefault="00A00547" w:rsidP="00021B18">
      <w:pPr>
        <w:numPr>
          <w:ilvl w:val="0"/>
          <w:numId w:val="22"/>
        </w:numPr>
        <w:spacing w:after="40" w:line="320" w:lineRule="exact"/>
        <w:ind w:right="0"/>
        <w:rPr>
          <w:szCs w:val="24"/>
        </w:rPr>
      </w:pPr>
      <w:r w:rsidRPr="00CC5B4A">
        <w:rPr>
          <w:szCs w:val="24"/>
        </w:rPr>
        <w:t xml:space="preserve">mestá/samostatné mestské časti a obce, združenia miest a obcí, mikroregionálne združenia, </w:t>
      </w:r>
    </w:p>
    <w:p w:rsidR="00A00547" w:rsidRPr="00CC5B4A" w:rsidRDefault="00A00547" w:rsidP="00021B18">
      <w:pPr>
        <w:numPr>
          <w:ilvl w:val="0"/>
          <w:numId w:val="22"/>
        </w:numPr>
        <w:spacing w:after="40" w:line="320" w:lineRule="exact"/>
        <w:ind w:right="0"/>
        <w:rPr>
          <w:szCs w:val="24"/>
        </w:rPr>
      </w:pPr>
      <w:r w:rsidRPr="00CC5B4A">
        <w:rPr>
          <w:szCs w:val="24"/>
        </w:rPr>
        <w:t xml:space="preserve">SZČO, mikro a malé podniky, </w:t>
      </w:r>
    </w:p>
    <w:p w:rsidR="00A00547" w:rsidRPr="00CC5B4A" w:rsidRDefault="00A00547" w:rsidP="00021B18">
      <w:pPr>
        <w:numPr>
          <w:ilvl w:val="0"/>
          <w:numId w:val="22"/>
        </w:numPr>
        <w:spacing w:after="40" w:line="320" w:lineRule="exact"/>
        <w:ind w:right="0"/>
        <w:rPr>
          <w:szCs w:val="24"/>
        </w:rPr>
      </w:pPr>
      <w:r w:rsidRPr="00CC5B4A">
        <w:rPr>
          <w:szCs w:val="24"/>
        </w:rPr>
        <w:t>občianske združenia, neziskové organizácie.</w:t>
      </w:r>
    </w:p>
    <w:p w:rsidR="00A00547" w:rsidRPr="00CC5B4A" w:rsidRDefault="00A00547" w:rsidP="00021B18">
      <w:pPr>
        <w:spacing w:after="40" w:line="320" w:lineRule="exact"/>
        <w:rPr>
          <w:szCs w:val="24"/>
        </w:rPr>
      </w:pPr>
      <w:r w:rsidRPr="00CC5B4A">
        <w:rPr>
          <w:b/>
          <w:szCs w:val="24"/>
        </w:rPr>
        <w:t>Cieľové územie:</w:t>
      </w:r>
      <w:r w:rsidRPr="00CC5B4A">
        <w:rPr>
          <w:szCs w:val="24"/>
        </w:rPr>
        <w:t xml:space="preserve"> územia MAS na celom území SR</w:t>
      </w:r>
    </w:p>
    <w:p w:rsidR="00A00547" w:rsidRPr="00CC5B4A" w:rsidRDefault="00A00547" w:rsidP="00021B18">
      <w:pPr>
        <w:spacing w:after="40" w:line="320" w:lineRule="exact"/>
        <w:rPr>
          <w:szCs w:val="24"/>
        </w:rPr>
      </w:pPr>
    </w:p>
    <w:p w:rsidR="00A00547" w:rsidRPr="00CC5B4A" w:rsidRDefault="00A00547" w:rsidP="00021B18">
      <w:pPr>
        <w:spacing w:after="40" w:line="320" w:lineRule="exact"/>
        <w:rPr>
          <w:szCs w:val="24"/>
        </w:rPr>
      </w:pPr>
      <w:r w:rsidRPr="00CC5B4A">
        <w:rPr>
          <w:b/>
          <w:szCs w:val="24"/>
        </w:rPr>
        <w:t xml:space="preserve">Alokácie na prioritnú os: 100 mil. </w:t>
      </w:r>
      <w:r w:rsidR="00565EDA">
        <w:rPr>
          <w:b/>
          <w:szCs w:val="24"/>
        </w:rPr>
        <w:t>€</w:t>
      </w:r>
      <w:r w:rsidRPr="00CC5B4A">
        <w:rPr>
          <w:b/>
          <w:szCs w:val="24"/>
        </w:rPr>
        <w:t xml:space="preserve"> (EFRR), 105 877 196 </w:t>
      </w:r>
      <w:r w:rsidR="00565EDA">
        <w:rPr>
          <w:b/>
          <w:szCs w:val="24"/>
        </w:rPr>
        <w:t>€</w:t>
      </w:r>
      <w:r w:rsidRPr="00CC5B4A">
        <w:rPr>
          <w:b/>
          <w:szCs w:val="24"/>
        </w:rPr>
        <w:t xml:space="preserve"> (spolu)</w:t>
      </w:r>
    </w:p>
    <w:p w:rsidR="00A00547" w:rsidRPr="00CC5B4A" w:rsidRDefault="00A00547" w:rsidP="00021B18">
      <w:pPr>
        <w:spacing w:after="40" w:line="320" w:lineRule="exact"/>
        <w:rPr>
          <w:szCs w:val="24"/>
        </w:rPr>
      </w:pPr>
      <w:r w:rsidRPr="00CC5B4A">
        <w:rPr>
          <w:szCs w:val="24"/>
        </w:rPr>
        <w:t xml:space="preserve">menej rozvinutý región: 99 mil. </w:t>
      </w:r>
      <w:r w:rsidR="00565EDA">
        <w:rPr>
          <w:szCs w:val="24"/>
        </w:rPr>
        <w:t>€</w:t>
      </w:r>
      <w:r w:rsidRPr="00CC5B4A">
        <w:rPr>
          <w:szCs w:val="24"/>
        </w:rPr>
        <w:t xml:space="preserve"> (EFRR), 104 210 529 </w:t>
      </w:r>
      <w:r w:rsidR="00565EDA">
        <w:rPr>
          <w:szCs w:val="24"/>
        </w:rPr>
        <w:t>€</w:t>
      </w:r>
      <w:r w:rsidRPr="00CC5B4A">
        <w:rPr>
          <w:szCs w:val="24"/>
        </w:rPr>
        <w:t xml:space="preserve"> (spolu)</w:t>
      </w:r>
    </w:p>
    <w:p w:rsidR="00A00547" w:rsidRDefault="00A00547" w:rsidP="00021B18">
      <w:pPr>
        <w:spacing w:after="40" w:line="320" w:lineRule="exact"/>
        <w:rPr>
          <w:szCs w:val="24"/>
        </w:rPr>
      </w:pPr>
      <w:r w:rsidRPr="00CC5B4A">
        <w:rPr>
          <w:szCs w:val="24"/>
        </w:rPr>
        <w:t xml:space="preserve">viac rozvinutý región: 1 mil. </w:t>
      </w:r>
      <w:r w:rsidR="00565EDA">
        <w:rPr>
          <w:szCs w:val="24"/>
        </w:rPr>
        <w:t>€</w:t>
      </w:r>
      <w:r w:rsidRPr="00CC5B4A">
        <w:rPr>
          <w:szCs w:val="24"/>
        </w:rPr>
        <w:t xml:space="preserve"> (EFRR), 1 666 667 </w:t>
      </w:r>
      <w:r w:rsidR="00565EDA">
        <w:rPr>
          <w:szCs w:val="24"/>
        </w:rPr>
        <w:t>€</w:t>
      </w:r>
      <w:r w:rsidRPr="00CC5B4A">
        <w:rPr>
          <w:szCs w:val="24"/>
        </w:rPr>
        <w:t xml:space="preserve"> (spolu)</w:t>
      </w:r>
    </w:p>
    <w:p w:rsidR="00A64E53" w:rsidRPr="00CC5B4A" w:rsidRDefault="00A64E53" w:rsidP="00021B18">
      <w:pPr>
        <w:spacing w:after="40" w:line="320" w:lineRule="exact"/>
        <w:rPr>
          <w:szCs w:val="24"/>
        </w:rPr>
      </w:pPr>
    </w:p>
    <w:p w:rsidR="00A00547" w:rsidRPr="00CC5B4A" w:rsidRDefault="00A00547" w:rsidP="00021B18">
      <w:pPr>
        <w:spacing w:after="40" w:line="320" w:lineRule="exact"/>
        <w:rPr>
          <w:b/>
          <w:szCs w:val="24"/>
          <w:u w:val="single"/>
        </w:rPr>
      </w:pPr>
      <w:r w:rsidRPr="00CC5B4A">
        <w:rPr>
          <w:b/>
          <w:szCs w:val="24"/>
          <w:u w:val="single"/>
        </w:rPr>
        <w:t xml:space="preserve">Prioritná os 6: Technická pomoc </w:t>
      </w:r>
    </w:p>
    <w:p w:rsidR="00A00547" w:rsidRPr="00CC5B4A" w:rsidRDefault="00A00547" w:rsidP="00021B18">
      <w:pPr>
        <w:spacing w:after="40" w:line="320" w:lineRule="exact"/>
        <w:rPr>
          <w:b/>
          <w:i/>
          <w:szCs w:val="24"/>
        </w:rPr>
      </w:pPr>
      <w:r w:rsidRPr="00CC5B4A">
        <w:rPr>
          <w:b/>
          <w:i/>
          <w:szCs w:val="24"/>
        </w:rPr>
        <w:t>Podpora efektívnej implementácie operačného programu (špecifický cieľ 6.1)</w:t>
      </w:r>
    </w:p>
    <w:p w:rsidR="00A00547" w:rsidRPr="00CC5B4A" w:rsidRDefault="00A00547" w:rsidP="00021B18">
      <w:pPr>
        <w:pStyle w:val="Odsekzoznamu"/>
        <w:numPr>
          <w:ilvl w:val="3"/>
          <w:numId w:val="23"/>
        </w:numPr>
        <w:spacing w:after="40" w:line="320" w:lineRule="exact"/>
        <w:ind w:left="567" w:hanging="283"/>
        <w:jc w:val="both"/>
        <w:rPr>
          <w:rFonts w:ascii="Times New Roman" w:hAnsi="Times New Roman" w:cs="Times New Roman"/>
          <w:sz w:val="24"/>
          <w:szCs w:val="24"/>
        </w:rPr>
      </w:pPr>
      <w:r w:rsidRPr="00CC5B4A">
        <w:rPr>
          <w:rFonts w:ascii="Times New Roman" w:hAnsi="Times New Roman" w:cs="Times New Roman"/>
          <w:sz w:val="24"/>
          <w:szCs w:val="24"/>
        </w:rPr>
        <w:t>podpora administratívnych kapacít, vzdelávanie a zvyšovanie odbornosti zamestnancov</w:t>
      </w:r>
    </w:p>
    <w:p w:rsidR="00A00547" w:rsidRPr="00CC5B4A" w:rsidRDefault="00A00547" w:rsidP="00021B18">
      <w:pPr>
        <w:pStyle w:val="Odsekzoznamu"/>
        <w:numPr>
          <w:ilvl w:val="3"/>
          <w:numId w:val="23"/>
        </w:numPr>
        <w:spacing w:after="40" w:line="320" w:lineRule="exact"/>
        <w:ind w:left="567" w:hanging="283"/>
        <w:jc w:val="both"/>
        <w:rPr>
          <w:rFonts w:ascii="Times New Roman" w:hAnsi="Times New Roman" w:cs="Times New Roman"/>
          <w:sz w:val="24"/>
          <w:szCs w:val="24"/>
        </w:rPr>
      </w:pPr>
      <w:r w:rsidRPr="00CC5B4A">
        <w:rPr>
          <w:rFonts w:ascii="Times New Roman" w:hAnsi="Times New Roman" w:cs="Times New Roman"/>
          <w:sz w:val="24"/>
          <w:szCs w:val="24"/>
        </w:rPr>
        <w:t>materiálno–technické, priestorové a prevádzkové zabezpečenie a jeho modernizácia</w:t>
      </w:r>
    </w:p>
    <w:p w:rsidR="00A00547" w:rsidRPr="00CC5B4A" w:rsidRDefault="00A00547" w:rsidP="00021B18">
      <w:pPr>
        <w:pStyle w:val="Odsekzoznamu"/>
        <w:numPr>
          <w:ilvl w:val="3"/>
          <w:numId w:val="23"/>
        </w:numPr>
        <w:spacing w:after="40" w:line="320" w:lineRule="exact"/>
        <w:ind w:left="567" w:hanging="283"/>
        <w:jc w:val="both"/>
        <w:rPr>
          <w:rFonts w:ascii="Times New Roman" w:hAnsi="Times New Roman" w:cs="Times New Roman"/>
          <w:sz w:val="24"/>
          <w:szCs w:val="24"/>
        </w:rPr>
      </w:pPr>
      <w:r w:rsidRPr="00CC5B4A">
        <w:rPr>
          <w:rFonts w:ascii="Times New Roman" w:hAnsi="Times New Roman" w:cs="Times New Roman"/>
          <w:sz w:val="24"/>
          <w:szCs w:val="24"/>
        </w:rPr>
        <w:t xml:space="preserve">zabezpečenie procesov programovania, riadenia, implementácie, hodnotenia a finančného riadenia </w:t>
      </w:r>
    </w:p>
    <w:p w:rsidR="00A00547" w:rsidRDefault="00A00547" w:rsidP="00021B18">
      <w:pPr>
        <w:pStyle w:val="Odsekzoznamu"/>
        <w:numPr>
          <w:ilvl w:val="3"/>
          <w:numId w:val="23"/>
        </w:numPr>
        <w:spacing w:after="40" w:line="320" w:lineRule="exact"/>
        <w:ind w:left="567" w:hanging="283"/>
        <w:jc w:val="both"/>
        <w:rPr>
          <w:rFonts w:ascii="Times New Roman" w:hAnsi="Times New Roman" w:cs="Times New Roman"/>
          <w:sz w:val="24"/>
          <w:szCs w:val="24"/>
        </w:rPr>
      </w:pPr>
      <w:r w:rsidRPr="00CC5B4A">
        <w:rPr>
          <w:rFonts w:ascii="Times New Roman" w:hAnsi="Times New Roman" w:cs="Times New Roman"/>
          <w:sz w:val="24"/>
          <w:szCs w:val="24"/>
        </w:rPr>
        <w:t xml:space="preserve">zabezpečenie monitorovania a kontroly  </w:t>
      </w:r>
    </w:p>
    <w:p w:rsidR="00A64E53" w:rsidRPr="00A64E53" w:rsidRDefault="00A64E53" w:rsidP="00021B18">
      <w:pPr>
        <w:spacing w:after="40" w:line="320" w:lineRule="exact"/>
        <w:ind w:left="284" w:firstLine="0"/>
        <w:rPr>
          <w:szCs w:val="24"/>
        </w:rPr>
      </w:pPr>
    </w:p>
    <w:p w:rsidR="00A00547" w:rsidRPr="00CC5B4A" w:rsidRDefault="00A00547" w:rsidP="00021B18">
      <w:pPr>
        <w:spacing w:after="40" w:line="320" w:lineRule="exact"/>
        <w:rPr>
          <w:b/>
          <w:i/>
          <w:szCs w:val="24"/>
        </w:rPr>
      </w:pPr>
      <w:r w:rsidRPr="00CC5B4A">
        <w:rPr>
          <w:b/>
          <w:i/>
          <w:szCs w:val="24"/>
        </w:rPr>
        <w:t xml:space="preserve">Zabezpečenie </w:t>
      </w:r>
      <w:r w:rsidRPr="00CC5B4A">
        <w:rPr>
          <w:b/>
          <w:i/>
          <w:iCs/>
          <w:szCs w:val="24"/>
        </w:rPr>
        <w:t xml:space="preserve">publicity, informovania a podpory prijímateľov v procese </w:t>
      </w:r>
      <w:r w:rsidRPr="00CC5B4A">
        <w:rPr>
          <w:b/>
          <w:i/>
          <w:iCs/>
          <w:szCs w:val="24"/>
        </w:rPr>
        <w:tab/>
        <w:t xml:space="preserve">implementácie </w:t>
      </w:r>
      <w:r w:rsidRPr="00CC5B4A">
        <w:rPr>
          <w:b/>
          <w:i/>
          <w:szCs w:val="24"/>
        </w:rPr>
        <w:t>(špecifický cieľ 6.2)</w:t>
      </w:r>
    </w:p>
    <w:p w:rsidR="00A00547" w:rsidRPr="00CC5B4A" w:rsidRDefault="00A00547" w:rsidP="00021B18">
      <w:pPr>
        <w:spacing w:after="40" w:line="320" w:lineRule="exact"/>
        <w:rPr>
          <w:szCs w:val="24"/>
        </w:rPr>
      </w:pPr>
      <w:r w:rsidRPr="00CC5B4A">
        <w:rPr>
          <w:b/>
          <w:szCs w:val="24"/>
        </w:rPr>
        <w:t xml:space="preserve">Prijímatelia: </w:t>
      </w:r>
      <w:r w:rsidRPr="00CC5B4A">
        <w:rPr>
          <w:szCs w:val="24"/>
        </w:rPr>
        <w:t xml:space="preserve">Riadiaci orgán pre IROP, sprostredkovateľské orgány, platobná </w:t>
      </w:r>
      <w:r w:rsidRPr="00CC5B4A">
        <w:rPr>
          <w:szCs w:val="24"/>
        </w:rPr>
        <w:tab/>
        <w:t>jednotka, orgány kontroly, odborný garant v oblasti udržateľného mestského rozvoja</w:t>
      </w:r>
    </w:p>
    <w:p w:rsidR="00A00547" w:rsidRPr="00CC5B4A" w:rsidRDefault="00A00547" w:rsidP="00021B18">
      <w:pPr>
        <w:spacing w:after="40" w:line="320" w:lineRule="exact"/>
        <w:rPr>
          <w:b/>
          <w:szCs w:val="24"/>
        </w:rPr>
      </w:pPr>
      <w:r w:rsidRPr="00CC5B4A">
        <w:rPr>
          <w:b/>
          <w:szCs w:val="24"/>
        </w:rPr>
        <w:t xml:space="preserve">Alokácia na prioritnú os: </w:t>
      </w:r>
      <w:r w:rsidRPr="00CC5B4A">
        <w:rPr>
          <w:b/>
          <w:szCs w:val="24"/>
        </w:rPr>
        <w:tab/>
        <w:t xml:space="preserve">62 mil. </w:t>
      </w:r>
      <w:r w:rsidR="00565EDA">
        <w:rPr>
          <w:b/>
          <w:szCs w:val="24"/>
        </w:rPr>
        <w:t>€</w:t>
      </w:r>
      <w:r w:rsidRPr="00CC5B4A">
        <w:rPr>
          <w:b/>
          <w:szCs w:val="24"/>
        </w:rPr>
        <w:t xml:space="preserve"> (EFRR), 74 702 707 </w:t>
      </w:r>
      <w:r w:rsidR="00565EDA">
        <w:rPr>
          <w:b/>
          <w:szCs w:val="24"/>
        </w:rPr>
        <w:t>€</w:t>
      </w:r>
      <w:r w:rsidRPr="00CC5B4A">
        <w:rPr>
          <w:b/>
          <w:szCs w:val="24"/>
        </w:rPr>
        <w:t xml:space="preserve"> (spolu)</w:t>
      </w:r>
    </w:p>
    <w:p w:rsidR="00A00547" w:rsidRPr="00CC5B4A" w:rsidRDefault="00A00547" w:rsidP="00021B18">
      <w:pPr>
        <w:spacing w:after="40" w:line="320" w:lineRule="exact"/>
        <w:rPr>
          <w:szCs w:val="24"/>
        </w:rPr>
      </w:pPr>
      <w:r w:rsidRPr="00CC5B4A">
        <w:rPr>
          <w:szCs w:val="24"/>
        </w:rPr>
        <w:lastRenderedPageBreak/>
        <w:t xml:space="preserve">menej rozvinutý región: </w:t>
      </w:r>
      <w:r w:rsidRPr="00CC5B4A">
        <w:rPr>
          <w:szCs w:val="24"/>
        </w:rPr>
        <w:tab/>
        <w:t xml:space="preserve">59 861 000 </w:t>
      </w:r>
      <w:r w:rsidR="00565EDA">
        <w:rPr>
          <w:szCs w:val="24"/>
        </w:rPr>
        <w:t>€</w:t>
      </w:r>
      <w:r w:rsidRPr="00CC5B4A">
        <w:rPr>
          <w:szCs w:val="24"/>
        </w:rPr>
        <w:t xml:space="preserve"> (EFRR), 70 424 707 </w:t>
      </w:r>
      <w:r w:rsidR="00565EDA">
        <w:rPr>
          <w:szCs w:val="24"/>
        </w:rPr>
        <w:t>€</w:t>
      </w:r>
      <w:r w:rsidRPr="00CC5B4A">
        <w:rPr>
          <w:szCs w:val="24"/>
        </w:rPr>
        <w:t xml:space="preserve"> (spolu)</w:t>
      </w:r>
    </w:p>
    <w:p w:rsidR="00A00547" w:rsidRDefault="00A00547" w:rsidP="00021B18">
      <w:pPr>
        <w:spacing w:after="40" w:line="320" w:lineRule="exact"/>
        <w:rPr>
          <w:szCs w:val="24"/>
        </w:rPr>
      </w:pPr>
      <w:r w:rsidRPr="00CC5B4A">
        <w:rPr>
          <w:szCs w:val="24"/>
        </w:rPr>
        <w:t xml:space="preserve">viac rozvinutý región: </w:t>
      </w:r>
      <w:r w:rsidRPr="00CC5B4A">
        <w:rPr>
          <w:szCs w:val="24"/>
        </w:rPr>
        <w:tab/>
        <w:t xml:space="preserve">2 139 000 </w:t>
      </w:r>
      <w:r w:rsidR="00565EDA">
        <w:rPr>
          <w:szCs w:val="24"/>
        </w:rPr>
        <w:t>€</w:t>
      </w:r>
      <w:r w:rsidRPr="00CC5B4A">
        <w:rPr>
          <w:szCs w:val="24"/>
        </w:rPr>
        <w:t xml:space="preserve"> (EFRR), 4 278 000 </w:t>
      </w:r>
      <w:r w:rsidR="00565EDA">
        <w:rPr>
          <w:szCs w:val="24"/>
        </w:rPr>
        <w:t>€</w:t>
      </w:r>
      <w:r w:rsidRPr="00CC5B4A">
        <w:rPr>
          <w:szCs w:val="24"/>
        </w:rPr>
        <w:t xml:space="preserve"> (spolu)</w:t>
      </w:r>
    </w:p>
    <w:p w:rsidR="00021B18" w:rsidRPr="00CC5B4A" w:rsidRDefault="00021B18" w:rsidP="00021B18">
      <w:pPr>
        <w:spacing w:after="40" w:line="320" w:lineRule="exact"/>
        <w:rPr>
          <w:szCs w:val="24"/>
        </w:rPr>
      </w:pPr>
    </w:p>
    <w:p w:rsidR="00A00547" w:rsidRPr="00CC5B4A" w:rsidRDefault="00A00547" w:rsidP="00021B18">
      <w:pPr>
        <w:spacing w:after="40" w:line="320" w:lineRule="exact"/>
        <w:ind w:firstLine="426"/>
        <w:jc w:val="left"/>
        <w:rPr>
          <w:b/>
          <w:szCs w:val="24"/>
        </w:rPr>
      </w:pPr>
      <w:r w:rsidRPr="00CC5B4A">
        <w:rPr>
          <w:b/>
          <w:szCs w:val="24"/>
        </w:rPr>
        <w:t>Sumárny prehľad alokácií IROP podľa špecifických cieľov:</w:t>
      </w:r>
      <w:r w:rsidR="00021B18">
        <w:rPr>
          <w:b/>
          <w:szCs w:val="24"/>
        </w:rPr>
        <w:t xml:space="preserve">         Tabuľka 3</w:t>
      </w:r>
    </w:p>
    <w:tbl>
      <w:tblPr>
        <w:tblStyle w:val="Mriekatabuky"/>
        <w:tblW w:w="0" w:type="auto"/>
        <w:jc w:val="center"/>
        <w:tblLook w:val="04A0" w:firstRow="1" w:lastRow="0" w:firstColumn="1" w:lastColumn="0" w:noHBand="0" w:noVBand="1"/>
      </w:tblPr>
      <w:tblGrid>
        <w:gridCol w:w="2124"/>
        <w:gridCol w:w="1560"/>
        <w:gridCol w:w="2267"/>
        <w:gridCol w:w="2268"/>
      </w:tblGrid>
      <w:tr w:rsidR="00A00547" w:rsidRPr="00CC5B4A" w:rsidTr="00747ED8">
        <w:trPr>
          <w:jc w:val="center"/>
        </w:trPr>
        <w:tc>
          <w:tcPr>
            <w:tcW w:w="212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00547" w:rsidRPr="00CC5B4A" w:rsidRDefault="00A00547" w:rsidP="00021B18">
            <w:pPr>
              <w:spacing w:after="40" w:line="320" w:lineRule="exact"/>
              <w:ind w:firstLine="173"/>
              <w:rPr>
                <w:b/>
                <w:szCs w:val="24"/>
              </w:rPr>
            </w:pPr>
            <w:r w:rsidRPr="00CC5B4A">
              <w:rPr>
                <w:b/>
                <w:szCs w:val="24"/>
              </w:rPr>
              <w:t>Prioritná os</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00547" w:rsidRPr="00CC5B4A" w:rsidRDefault="00A00547" w:rsidP="00021B18">
            <w:pPr>
              <w:spacing w:after="40" w:line="320" w:lineRule="exact"/>
              <w:ind w:firstLine="0"/>
              <w:jc w:val="center"/>
              <w:rPr>
                <w:b/>
                <w:szCs w:val="24"/>
              </w:rPr>
            </w:pPr>
            <w:r w:rsidRPr="00CC5B4A">
              <w:rPr>
                <w:b/>
                <w:szCs w:val="24"/>
              </w:rPr>
              <w:t>Špecifický cieľ</w:t>
            </w:r>
          </w:p>
        </w:tc>
        <w:tc>
          <w:tcPr>
            <w:tcW w:w="22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00547" w:rsidRPr="00CC5B4A" w:rsidRDefault="00A00547" w:rsidP="00021B18">
            <w:pPr>
              <w:spacing w:after="40" w:line="320" w:lineRule="exact"/>
              <w:jc w:val="center"/>
              <w:rPr>
                <w:b/>
                <w:szCs w:val="24"/>
              </w:rPr>
            </w:pPr>
            <w:r w:rsidRPr="00CC5B4A">
              <w:rPr>
                <w:b/>
                <w:szCs w:val="24"/>
              </w:rPr>
              <w:t>EFRR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00547" w:rsidRPr="00CC5B4A" w:rsidRDefault="00A00547" w:rsidP="00021B18">
            <w:pPr>
              <w:spacing w:after="40" w:line="320" w:lineRule="exact"/>
              <w:jc w:val="center"/>
              <w:rPr>
                <w:b/>
                <w:szCs w:val="24"/>
              </w:rPr>
            </w:pPr>
            <w:r w:rsidRPr="00CC5B4A">
              <w:rPr>
                <w:b/>
                <w:szCs w:val="24"/>
              </w:rPr>
              <w:t>COV</w:t>
            </w:r>
          </w:p>
        </w:tc>
      </w:tr>
      <w:tr w:rsidR="00A00547" w:rsidRPr="00CC5B4A" w:rsidTr="00A00547">
        <w:trPr>
          <w:jc w:val="center"/>
        </w:trPr>
        <w:tc>
          <w:tcPr>
            <w:tcW w:w="21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00547" w:rsidRPr="00747ED8" w:rsidRDefault="00A00547" w:rsidP="00021B18">
            <w:pPr>
              <w:spacing w:after="40" w:line="320" w:lineRule="exact"/>
              <w:ind w:firstLine="173"/>
              <w:jc w:val="center"/>
              <w:rPr>
                <w:b/>
                <w:szCs w:val="24"/>
              </w:rPr>
            </w:pPr>
            <w:r w:rsidRPr="00747ED8">
              <w:rPr>
                <w:b/>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1.1.1</w:t>
            </w:r>
          </w:p>
        </w:tc>
        <w:tc>
          <w:tcPr>
            <w:tcW w:w="22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298 000 000</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365 411 765</w:t>
            </w:r>
          </w:p>
        </w:tc>
      </w:tr>
      <w:tr w:rsidR="00A00547" w:rsidRPr="00CC5B4A" w:rsidTr="00A00547">
        <w:trPr>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A00547" w:rsidRPr="00747ED8" w:rsidRDefault="00A00547" w:rsidP="00021B18">
            <w:pPr>
              <w:spacing w:after="40" w:line="320" w:lineRule="exact"/>
              <w:ind w:firstLine="173"/>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1.2.1</w:t>
            </w:r>
          </w:p>
        </w:tc>
        <w:tc>
          <w:tcPr>
            <w:tcW w:w="22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99 000 000</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118 117 649</w:t>
            </w:r>
          </w:p>
        </w:tc>
      </w:tr>
      <w:tr w:rsidR="00A00547" w:rsidRPr="00CC5B4A" w:rsidTr="00A00547">
        <w:trPr>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A00547" w:rsidRPr="00747ED8" w:rsidRDefault="00A00547" w:rsidP="00021B18">
            <w:pPr>
              <w:spacing w:after="40" w:line="320" w:lineRule="exact"/>
              <w:ind w:firstLine="173"/>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1.2.2</w:t>
            </w:r>
          </w:p>
        </w:tc>
        <w:tc>
          <w:tcPr>
            <w:tcW w:w="22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24 000 000</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29 058 825</w:t>
            </w:r>
          </w:p>
        </w:tc>
      </w:tr>
      <w:tr w:rsidR="00A00547" w:rsidRPr="00CC5B4A" w:rsidTr="00A00547">
        <w:trPr>
          <w:jc w:val="center"/>
        </w:trPr>
        <w:tc>
          <w:tcPr>
            <w:tcW w:w="212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00547" w:rsidRPr="00747ED8" w:rsidRDefault="00A00547" w:rsidP="00021B18">
            <w:pPr>
              <w:spacing w:after="40" w:line="320" w:lineRule="exact"/>
              <w:ind w:firstLine="173"/>
              <w:jc w:val="center"/>
              <w:rPr>
                <w:b/>
                <w:szCs w:val="24"/>
              </w:rPr>
            </w:pPr>
            <w:r w:rsidRPr="00747ED8">
              <w:rPr>
                <w:b/>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2.1.1</w:t>
            </w:r>
          </w:p>
        </w:tc>
        <w:tc>
          <w:tcPr>
            <w:tcW w:w="22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214 913 197</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262 364 597</w:t>
            </w:r>
          </w:p>
        </w:tc>
      </w:tr>
      <w:tr w:rsidR="00A00547" w:rsidRPr="00CC5B4A" w:rsidTr="00A00547">
        <w:trPr>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A00547" w:rsidRPr="00747ED8" w:rsidRDefault="00A00547" w:rsidP="00021B18">
            <w:pPr>
              <w:spacing w:after="40" w:line="320" w:lineRule="exact"/>
              <w:ind w:firstLine="173"/>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2.1.2</w:t>
            </w:r>
          </w:p>
        </w:tc>
        <w:tc>
          <w:tcPr>
            <w:tcW w:w="22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127 617 300</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150 138 000</w:t>
            </w:r>
          </w:p>
        </w:tc>
      </w:tr>
      <w:tr w:rsidR="00A00547" w:rsidRPr="00CC5B4A" w:rsidTr="00A00547">
        <w:trPr>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A00547" w:rsidRPr="00747ED8" w:rsidRDefault="00A00547" w:rsidP="00021B18">
            <w:pPr>
              <w:spacing w:after="40" w:line="320" w:lineRule="exact"/>
              <w:ind w:firstLine="173"/>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2.1.3</w:t>
            </w:r>
          </w:p>
        </w:tc>
        <w:tc>
          <w:tcPr>
            <w:tcW w:w="22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150 382 700</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176 920 825</w:t>
            </w:r>
          </w:p>
        </w:tc>
      </w:tr>
      <w:tr w:rsidR="00A00547" w:rsidRPr="00CC5B4A" w:rsidTr="00A00547">
        <w:trPr>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A00547" w:rsidRPr="00747ED8" w:rsidRDefault="00A00547" w:rsidP="00021B18">
            <w:pPr>
              <w:spacing w:after="40" w:line="320" w:lineRule="exact"/>
              <w:ind w:firstLine="173"/>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00547" w:rsidRPr="00CC5B4A" w:rsidRDefault="00A00547" w:rsidP="00021B18">
            <w:pPr>
              <w:spacing w:after="40" w:line="320" w:lineRule="exact"/>
              <w:jc w:val="right"/>
              <w:rPr>
                <w:szCs w:val="24"/>
              </w:rPr>
            </w:pPr>
            <w:r w:rsidRPr="00CC5B4A">
              <w:rPr>
                <w:szCs w:val="24"/>
              </w:rPr>
              <w:t>2.2.1</w:t>
            </w:r>
          </w:p>
        </w:tc>
        <w:tc>
          <w:tcPr>
            <w:tcW w:w="22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105 000 000</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130 117 649</w:t>
            </w:r>
          </w:p>
        </w:tc>
      </w:tr>
      <w:tr w:rsidR="00A00547" w:rsidRPr="00CC5B4A" w:rsidTr="00A00547">
        <w:trPr>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A00547" w:rsidRPr="00747ED8" w:rsidRDefault="00A00547" w:rsidP="00021B18">
            <w:pPr>
              <w:spacing w:after="40" w:line="320" w:lineRule="exact"/>
              <w:ind w:firstLine="173"/>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00547" w:rsidRPr="00CC5B4A" w:rsidRDefault="00A00547" w:rsidP="00021B18">
            <w:pPr>
              <w:spacing w:after="40" w:line="320" w:lineRule="exact"/>
              <w:jc w:val="right"/>
              <w:rPr>
                <w:szCs w:val="24"/>
              </w:rPr>
            </w:pPr>
            <w:r w:rsidRPr="00CC5B4A">
              <w:rPr>
                <w:szCs w:val="24"/>
              </w:rPr>
              <w:t>2.2.2</w:t>
            </w:r>
          </w:p>
        </w:tc>
        <w:tc>
          <w:tcPr>
            <w:tcW w:w="22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52 000 000</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64 470 590</w:t>
            </w:r>
          </w:p>
        </w:tc>
      </w:tr>
      <w:tr w:rsidR="00A00547" w:rsidRPr="00CC5B4A" w:rsidTr="00A00547">
        <w:trPr>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A00547" w:rsidRPr="00747ED8" w:rsidRDefault="00A00547" w:rsidP="00021B18">
            <w:pPr>
              <w:spacing w:after="40" w:line="320" w:lineRule="exact"/>
              <w:ind w:firstLine="173"/>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00547" w:rsidRPr="00CC5B4A" w:rsidRDefault="00A00547" w:rsidP="00021B18">
            <w:pPr>
              <w:spacing w:after="40" w:line="320" w:lineRule="exact"/>
              <w:jc w:val="right"/>
              <w:rPr>
                <w:szCs w:val="24"/>
              </w:rPr>
            </w:pPr>
            <w:r w:rsidRPr="00CC5B4A">
              <w:rPr>
                <w:szCs w:val="24"/>
              </w:rPr>
              <w:t>2.2.3</w:t>
            </w:r>
          </w:p>
        </w:tc>
        <w:tc>
          <w:tcPr>
            <w:tcW w:w="22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106 000 000</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132 117 649</w:t>
            </w:r>
          </w:p>
        </w:tc>
      </w:tr>
      <w:tr w:rsidR="00A00547" w:rsidRPr="00CC5B4A" w:rsidTr="00A00547">
        <w:trPr>
          <w:jc w:val="center"/>
        </w:trPr>
        <w:tc>
          <w:tcPr>
            <w:tcW w:w="21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00547" w:rsidRPr="00747ED8" w:rsidRDefault="00A00547" w:rsidP="00021B18">
            <w:pPr>
              <w:spacing w:after="40" w:line="320" w:lineRule="exact"/>
              <w:ind w:firstLine="173"/>
              <w:jc w:val="center"/>
              <w:rPr>
                <w:b/>
                <w:szCs w:val="24"/>
              </w:rPr>
            </w:pPr>
            <w:r w:rsidRPr="00747ED8">
              <w:rPr>
                <w:b/>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3.1</w:t>
            </w:r>
          </w:p>
        </w:tc>
        <w:tc>
          <w:tcPr>
            <w:tcW w:w="22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215 860 548</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270 424 175</w:t>
            </w:r>
          </w:p>
        </w:tc>
      </w:tr>
      <w:tr w:rsidR="00A00547" w:rsidRPr="00CC5B4A" w:rsidTr="00A00547">
        <w:trPr>
          <w:jc w:val="center"/>
        </w:trPr>
        <w:tc>
          <w:tcPr>
            <w:tcW w:w="212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00547" w:rsidRPr="00747ED8" w:rsidRDefault="00A00547" w:rsidP="00021B18">
            <w:pPr>
              <w:spacing w:after="40" w:line="320" w:lineRule="exact"/>
              <w:ind w:firstLine="173"/>
              <w:jc w:val="center"/>
              <w:rPr>
                <w:b/>
                <w:szCs w:val="24"/>
              </w:rPr>
            </w:pPr>
            <w:r w:rsidRPr="00747ED8">
              <w:rPr>
                <w:b/>
                <w:szCs w:val="24"/>
              </w:rPr>
              <w:t>4</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4.1</w:t>
            </w:r>
          </w:p>
        </w:tc>
        <w:tc>
          <w:tcPr>
            <w:tcW w:w="22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111 388 554</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139 249 179</w:t>
            </w:r>
          </w:p>
        </w:tc>
      </w:tr>
      <w:tr w:rsidR="00A00547" w:rsidRPr="00CC5B4A" w:rsidTr="00A00547">
        <w:trPr>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A00547" w:rsidRPr="00747ED8" w:rsidRDefault="00A00547" w:rsidP="00021B18">
            <w:pPr>
              <w:spacing w:after="40" w:line="320" w:lineRule="exact"/>
              <w:ind w:firstLine="173"/>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4.2.1</w:t>
            </w:r>
          </w:p>
        </w:tc>
        <w:tc>
          <w:tcPr>
            <w:tcW w:w="22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55 000 000</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64 705 885</w:t>
            </w:r>
          </w:p>
        </w:tc>
      </w:tr>
      <w:tr w:rsidR="00A00547" w:rsidRPr="00CC5B4A" w:rsidTr="00A00547">
        <w:trPr>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A00547" w:rsidRPr="00747ED8" w:rsidRDefault="00A00547" w:rsidP="00021B18">
            <w:pPr>
              <w:spacing w:after="40" w:line="320" w:lineRule="exact"/>
              <w:ind w:firstLine="173"/>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4.3.1</w:t>
            </w:r>
          </w:p>
        </w:tc>
        <w:tc>
          <w:tcPr>
            <w:tcW w:w="22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33 328 116</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39 209 551</w:t>
            </w:r>
          </w:p>
        </w:tc>
      </w:tr>
      <w:tr w:rsidR="00A00547" w:rsidRPr="00CC5B4A" w:rsidTr="00A00547">
        <w:trPr>
          <w:jc w:val="center"/>
        </w:trPr>
        <w:tc>
          <w:tcPr>
            <w:tcW w:w="21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00547" w:rsidRPr="00747ED8" w:rsidRDefault="00A00547" w:rsidP="00021B18">
            <w:pPr>
              <w:spacing w:after="40" w:line="320" w:lineRule="exact"/>
              <w:ind w:firstLine="173"/>
              <w:jc w:val="center"/>
              <w:rPr>
                <w:b/>
                <w:szCs w:val="24"/>
              </w:rPr>
            </w:pPr>
            <w:r w:rsidRPr="00747ED8">
              <w:rPr>
                <w:b/>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5.1.1</w:t>
            </w:r>
          </w:p>
        </w:tc>
        <w:tc>
          <w:tcPr>
            <w:tcW w:w="22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66 583 400</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70 446 019</w:t>
            </w:r>
          </w:p>
        </w:tc>
      </w:tr>
      <w:tr w:rsidR="00A00547" w:rsidRPr="00CC5B4A" w:rsidTr="00A00547">
        <w:trPr>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A00547" w:rsidRPr="00747ED8" w:rsidRDefault="00A00547" w:rsidP="00021B18">
            <w:pPr>
              <w:spacing w:after="40" w:line="320" w:lineRule="exact"/>
              <w:ind w:firstLine="173"/>
              <w:jc w:val="center"/>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5.1.2</w:t>
            </w:r>
          </w:p>
        </w:tc>
        <w:tc>
          <w:tcPr>
            <w:tcW w:w="22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33 416 600</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szCs w:val="24"/>
              </w:rPr>
            </w:pPr>
            <w:r w:rsidRPr="00CC5B4A">
              <w:rPr>
                <w:szCs w:val="24"/>
              </w:rPr>
              <w:t>35 431 177</w:t>
            </w:r>
          </w:p>
        </w:tc>
      </w:tr>
      <w:tr w:rsidR="00A00547" w:rsidRPr="00CC5B4A" w:rsidTr="00A00547">
        <w:trPr>
          <w:jc w:val="center"/>
        </w:trPr>
        <w:tc>
          <w:tcPr>
            <w:tcW w:w="212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00547" w:rsidRPr="00747ED8" w:rsidRDefault="00A00547" w:rsidP="00021B18">
            <w:pPr>
              <w:spacing w:after="40" w:line="320" w:lineRule="exact"/>
              <w:ind w:firstLine="173"/>
              <w:jc w:val="center"/>
              <w:rPr>
                <w:b/>
                <w:szCs w:val="24"/>
              </w:rPr>
            </w:pPr>
            <w:r w:rsidRPr="00747ED8">
              <w:rPr>
                <w:b/>
                <w:szCs w:val="24"/>
              </w:rPr>
              <w:t>6</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6.1</w:t>
            </w:r>
          </w:p>
        </w:tc>
        <w:tc>
          <w:tcPr>
            <w:tcW w:w="22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52 700 000</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63 497 301</w:t>
            </w:r>
          </w:p>
        </w:tc>
      </w:tr>
      <w:tr w:rsidR="00A00547" w:rsidRPr="00CC5B4A" w:rsidTr="00A00547">
        <w:trPr>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A00547" w:rsidRPr="00747ED8" w:rsidRDefault="00A00547" w:rsidP="00021B18">
            <w:pPr>
              <w:spacing w:after="40" w:line="320" w:lineRule="exact"/>
              <w:ind w:firstLine="173"/>
              <w:rPr>
                <w:b/>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6.2</w:t>
            </w:r>
          </w:p>
        </w:tc>
        <w:tc>
          <w:tcPr>
            <w:tcW w:w="22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9 300 000</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A00547" w:rsidRPr="00CC5B4A" w:rsidRDefault="00A00547" w:rsidP="00021B18">
            <w:pPr>
              <w:spacing w:after="40" w:line="320" w:lineRule="exact"/>
              <w:jc w:val="right"/>
              <w:rPr>
                <w:szCs w:val="24"/>
              </w:rPr>
            </w:pPr>
            <w:r w:rsidRPr="00CC5B4A">
              <w:rPr>
                <w:szCs w:val="24"/>
              </w:rPr>
              <w:t>11 205 406</w:t>
            </w:r>
          </w:p>
        </w:tc>
      </w:tr>
      <w:tr w:rsidR="00A00547" w:rsidRPr="00CC5B4A" w:rsidTr="00A00547">
        <w:trPr>
          <w:jc w:val="center"/>
        </w:trPr>
        <w:tc>
          <w:tcPr>
            <w:tcW w:w="212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ind w:firstLine="173"/>
              <w:rPr>
                <w:b/>
                <w:szCs w:val="24"/>
              </w:rPr>
            </w:pPr>
            <w:r w:rsidRPr="00CC5B4A">
              <w:rPr>
                <w:b/>
                <w:szCs w:val="24"/>
              </w:rPr>
              <w:t>SPOLU</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jc w:val="right"/>
              <w:rPr>
                <w:b/>
                <w:szCs w:val="24"/>
              </w:rPr>
            </w:pPr>
            <w:r w:rsidRPr="00CC5B4A">
              <w:rPr>
                <w:b/>
                <w:szCs w:val="24"/>
              </w:rPr>
              <w:t>N/A</w:t>
            </w:r>
          </w:p>
        </w:tc>
        <w:tc>
          <w:tcPr>
            <w:tcW w:w="22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ind w:firstLine="0"/>
              <w:jc w:val="right"/>
              <w:rPr>
                <w:b/>
                <w:szCs w:val="24"/>
              </w:rPr>
            </w:pPr>
            <w:r w:rsidRPr="00CC5B4A">
              <w:rPr>
                <w:b/>
                <w:szCs w:val="24"/>
              </w:rPr>
              <w:t xml:space="preserve">        1 754 490 415</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00547" w:rsidRPr="00CC5B4A" w:rsidRDefault="00A00547" w:rsidP="00021B18">
            <w:pPr>
              <w:spacing w:after="40" w:line="320" w:lineRule="exact"/>
              <w:ind w:firstLine="0"/>
              <w:jc w:val="right"/>
              <w:rPr>
                <w:b/>
                <w:szCs w:val="24"/>
              </w:rPr>
            </w:pPr>
            <w:r w:rsidRPr="00CC5B4A">
              <w:rPr>
                <w:b/>
                <w:szCs w:val="24"/>
              </w:rPr>
              <w:t xml:space="preserve">          2 122 886 242</w:t>
            </w:r>
          </w:p>
        </w:tc>
      </w:tr>
    </w:tbl>
    <w:p w:rsidR="00A00547" w:rsidRPr="00CC5B4A" w:rsidRDefault="00A00547" w:rsidP="00021B18">
      <w:pPr>
        <w:spacing w:after="40" w:line="320" w:lineRule="exact"/>
        <w:rPr>
          <w:szCs w:val="24"/>
        </w:rPr>
      </w:pPr>
    </w:p>
    <w:p w:rsidR="00A00547" w:rsidRPr="00CC5B4A" w:rsidRDefault="00A00547" w:rsidP="00021B18">
      <w:pPr>
        <w:spacing w:after="40" w:line="320" w:lineRule="exact"/>
        <w:rPr>
          <w:szCs w:val="24"/>
        </w:rPr>
      </w:pPr>
      <w:r w:rsidRPr="00CC5B4A">
        <w:rPr>
          <w:szCs w:val="24"/>
        </w:rPr>
        <w:t xml:space="preserve">IROP je postavený </w:t>
      </w:r>
      <w:r w:rsidRPr="00CC5B4A">
        <w:rPr>
          <w:b/>
          <w:szCs w:val="24"/>
        </w:rPr>
        <w:t>na integrovanom prístupe</w:t>
      </w:r>
      <w:r w:rsidRPr="00CC5B4A">
        <w:rPr>
          <w:szCs w:val="24"/>
        </w:rPr>
        <w:t xml:space="preserve"> k európskym št</w:t>
      </w:r>
      <w:r w:rsidR="009B0ABC" w:rsidRPr="00CC5B4A">
        <w:rPr>
          <w:szCs w:val="24"/>
        </w:rPr>
        <w:t>rukturálnym a investičným fondom</w:t>
      </w:r>
      <w:r w:rsidRPr="00CC5B4A">
        <w:rPr>
          <w:szCs w:val="24"/>
        </w:rPr>
        <w:t xml:space="preserve"> (EŠIF). V zmysle legislatívy EÚ pre oblasť EŠIF ide o nasledovné spôsoby:</w:t>
      </w:r>
    </w:p>
    <w:p w:rsidR="00A00547" w:rsidRPr="00CC5B4A" w:rsidRDefault="00A00547" w:rsidP="00021B18">
      <w:pPr>
        <w:numPr>
          <w:ilvl w:val="0"/>
          <w:numId w:val="24"/>
        </w:numPr>
        <w:spacing w:after="40" w:line="320" w:lineRule="exact"/>
        <w:ind w:left="284" w:right="0" w:hanging="284"/>
        <w:jc w:val="left"/>
        <w:rPr>
          <w:szCs w:val="24"/>
        </w:rPr>
      </w:pPr>
      <w:r w:rsidRPr="00CC5B4A">
        <w:rPr>
          <w:szCs w:val="24"/>
        </w:rPr>
        <w:t>integrovaná územná investícia (čl. 36 všeobecného nariadenia),</w:t>
      </w:r>
    </w:p>
    <w:p w:rsidR="00A00547" w:rsidRPr="00CC5B4A" w:rsidRDefault="00A00547" w:rsidP="00021B18">
      <w:pPr>
        <w:numPr>
          <w:ilvl w:val="0"/>
          <w:numId w:val="24"/>
        </w:numPr>
        <w:spacing w:after="40" w:line="320" w:lineRule="exact"/>
        <w:ind w:left="284" w:right="0" w:hanging="284"/>
        <w:jc w:val="left"/>
        <w:rPr>
          <w:szCs w:val="24"/>
        </w:rPr>
      </w:pPr>
      <w:r w:rsidRPr="00CC5B4A">
        <w:rPr>
          <w:szCs w:val="24"/>
        </w:rPr>
        <w:t>trvaloudržateľný rozvoj miest (čl. 7 nariadenia o ERDF),</w:t>
      </w:r>
    </w:p>
    <w:p w:rsidR="00A00547" w:rsidRPr="00CC5B4A" w:rsidRDefault="00A00547" w:rsidP="00021B18">
      <w:pPr>
        <w:numPr>
          <w:ilvl w:val="0"/>
          <w:numId w:val="24"/>
        </w:numPr>
        <w:spacing w:after="40" w:line="320" w:lineRule="exact"/>
        <w:ind w:left="284" w:right="0" w:hanging="284"/>
        <w:jc w:val="left"/>
        <w:rPr>
          <w:szCs w:val="24"/>
        </w:rPr>
      </w:pPr>
      <w:r w:rsidRPr="00CC5B4A">
        <w:rPr>
          <w:szCs w:val="24"/>
        </w:rPr>
        <w:t>miestny rozvoj vedený komunitou (čl. 32 – 35 všeobecného nariadenia).</w:t>
      </w:r>
    </w:p>
    <w:p w:rsidR="00A00547" w:rsidRPr="00CC5B4A" w:rsidRDefault="00A00547" w:rsidP="00021B18">
      <w:pPr>
        <w:spacing w:after="40" w:line="320" w:lineRule="exact"/>
        <w:rPr>
          <w:szCs w:val="24"/>
        </w:rPr>
      </w:pPr>
      <w:r w:rsidRPr="00CC5B4A">
        <w:rPr>
          <w:szCs w:val="24"/>
        </w:rPr>
        <w:t xml:space="preserve">Implementačným modelom prevažnej časti IROP sú tzv. </w:t>
      </w:r>
      <w:r w:rsidRPr="00CC5B4A">
        <w:rPr>
          <w:b/>
          <w:szCs w:val="24"/>
        </w:rPr>
        <w:t>regionálne integrované územné stratégie</w:t>
      </w:r>
      <w:r w:rsidRPr="00CC5B4A">
        <w:rPr>
          <w:szCs w:val="24"/>
        </w:rPr>
        <w:t xml:space="preserve"> (RIÚS). Ide o strategický dokument, ktorý v rozsahu špecifických cieľov IROP definuje a prioritizuje, aké opatrenia sa budú na zodpovedajúcom území realizovať, </w:t>
      </w:r>
      <w:r w:rsidR="00302357">
        <w:rPr>
          <w:szCs w:val="24"/>
        </w:rPr>
        <w:t>ich</w:t>
      </w:r>
      <w:r w:rsidRPr="00CC5B4A">
        <w:rPr>
          <w:szCs w:val="24"/>
        </w:rPr>
        <w:t xml:space="preserve"> vzájomnú prepojenosť a doplnkovosť a časovú súslednosť. Do RIÚS je možné komplementárne včleniť aj oblasti spadajúce do iných operačných programov, pokiaľ to tieto umožňujú (napr. aj uvedením plánovaných aktivít z Operačného programu Ľudské zdroje a Operačného programu Kvalita životného prostredia v zozname projektových zámerov/návrhov). RIÚS je vypracovaný na úrovni samosprávneho kraja (8) a súčasťou </w:t>
      </w:r>
      <w:r w:rsidRPr="00CC5B4A">
        <w:rPr>
          <w:szCs w:val="24"/>
        </w:rPr>
        <w:lastRenderedPageBreak/>
        <w:t xml:space="preserve">každého RIÚS je aj </w:t>
      </w:r>
      <w:r w:rsidRPr="00CC5B4A">
        <w:rPr>
          <w:b/>
          <w:szCs w:val="24"/>
        </w:rPr>
        <w:t>stratégia udržateľného mestského rozvoja</w:t>
      </w:r>
      <w:r w:rsidRPr="00CC5B4A">
        <w:rPr>
          <w:szCs w:val="24"/>
        </w:rPr>
        <w:t xml:space="preserve"> vypracovaná na úrovni funkčného územia krajského mesta. </w:t>
      </w:r>
    </w:p>
    <w:p w:rsidR="00A00547" w:rsidRPr="00CC5B4A" w:rsidRDefault="00A00547" w:rsidP="00021B18">
      <w:pPr>
        <w:spacing w:after="40" w:line="320" w:lineRule="exact"/>
        <w:rPr>
          <w:iCs/>
          <w:szCs w:val="24"/>
        </w:rPr>
      </w:pPr>
      <w:r w:rsidRPr="00CC5B4A">
        <w:rPr>
          <w:iCs/>
          <w:szCs w:val="24"/>
        </w:rPr>
        <w:t xml:space="preserve">Do RIÚS/UMR </w:t>
      </w:r>
      <w:r w:rsidRPr="00CC5B4A">
        <w:rPr>
          <w:b/>
          <w:iCs/>
          <w:szCs w:val="24"/>
        </w:rPr>
        <w:t>nie sú zahrnuté</w:t>
      </w:r>
      <w:r w:rsidRPr="00CC5B4A">
        <w:rPr>
          <w:iCs/>
          <w:szCs w:val="24"/>
        </w:rPr>
        <w:t xml:space="preserve"> tieto oblasti podpory IROP:</w:t>
      </w:r>
    </w:p>
    <w:p w:rsidR="00A00547" w:rsidRPr="00CC5B4A" w:rsidRDefault="00A00547" w:rsidP="00021B18">
      <w:pPr>
        <w:pStyle w:val="Odsekzoznamu"/>
        <w:numPr>
          <w:ilvl w:val="0"/>
          <w:numId w:val="25"/>
        </w:numPr>
        <w:spacing w:after="40" w:line="320" w:lineRule="exact"/>
        <w:ind w:left="284" w:hanging="284"/>
        <w:jc w:val="both"/>
        <w:rPr>
          <w:rFonts w:ascii="Times New Roman" w:hAnsi="Times New Roman" w:cs="Times New Roman"/>
          <w:sz w:val="24"/>
          <w:szCs w:val="24"/>
        </w:rPr>
      </w:pPr>
      <w:r w:rsidRPr="00CC5B4A">
        <w:rPr>
          <w:rFonts w:ascii="Times New Roman" w:hAnsi="Times New Roman" w:cs="Times New Roman"/>
          <w:iCs/>
          <w:sz w:val="24"/>
          <w:szCs w:val="24"/>
        </w:rPr>
        <w:t>špecifický cieľ 2.1.3 (integrovaná zdravotnícka infraštruktúra) - vzhľadom na</w:t>
      </w:r>
      <w:r w:rsidR="00747ED8">
        <w:rPr>
          <w:rFonts w:ascii="Times New Roman" w:hAnsi="Times New Roman" w:cs="Times New Roman"/>
          <w:iCs/>
          <w:sz w:val="24"/>
          <w:szCs w:val="24"/>
        </w:rPr>
        <w:t> </w:t>
      </w:r>
      <w:r w:rsidRPr="00CC5B4A">
        <w:rPr>
          <w:rFonts w:ascii="Times New Roman" w:hAnsi="Times New Roman" w:cs="Times New Roman"/>
          <w:iCs/>
          <w:sz w:val="24"/>
          <w:szCs w:val="24"/>
        </w:rPr>
        <w:t xml:space="preserve">nevyhnutnosť koordinácie aktivít integrovaného poskytovania zdravotnej starostlivosti z vecného hľadiska na národnej úrovni), </w:t>
      </w:r>
    </w:p>
    <w:p w:rsidR="00A00547" w:rsidRPr="00CC5B4A" w:rsidRDefault="00A00547" w:rsidP="00021B18">
      <w:pPr>
        <w:pStyle w:val="Odsekzoznamu"/>
        <w:numPr>
          <w:ilvl w:val="0"/>
          <w:numId w:val="25"/>
        </w:numPr>
        <w:spacing w:after="40" w:line="320" w:lineRule="exact"/>
        <w:ind w:left="284" w:hanging="284"/>
        <w:jc w:val="both"/>
        <w:rPr>
          <w:rFonts w:ascii="Times New Roman" w:hAnsi="Times New Roman" w:cs="Times New Roman"/>
          <w:sz w:val="24"/>
          <w:szCs w:val="24"/>
        </w:rPr>
      </w:pPr>
      <w:r w:rsidRPr="00CC5B4A">
        <w:rPr>
          <w:rFonts w:ascii="Times New Roman" w:hAnsi="Times New Roman" w:cs="Times New Roman"/>
          <w:iCs/>
          <w:sz w:val="24"/>
          <w:szCs w:val="24"/>
        </w:rPr>
        <w:t>časť ŠC 3.1 v rozsahu podpory existujúcich MSP v kultúrnom a kreatívnom priemysle - kvôli špecifickému charakteru činnosti podporovaných subjektov,</w:t>
      </w:r>
    </w:p>
    <w:p w:rsidR="00A00547" w:rsidRPr="00CC5B4A" w:rsidRDefault="00A00547" w:rsidP="00021B18">
      <w:pPr>
        <w:pStyle w:val="Odsekzoznamu"/>
        <w:numPr>
          <w:ilvl w:val="0"/>
          <w:numId w:val="25"/>
        </w:numPr>
        <w:spacing w:after="40" w:line="320" w:lineRule="exact"/>
        <w:ind w:left="284" w:hanging="284"/>
        <w:jc w:val="both"/>
        <w:rPr>
          <w:rFonts w:ascii="Times New Roman" w:hAnsi="Times New Roman" w:cs="Times New Roman"/>
          <w:sz w:val="24"/>
          <w:szCs w:val="24"/>
        </w:rPr>
      </w:pPr>
      <w:r w:rsidRPr="00CC5B4A">
        <w:rPr>
          <w:rFonts w:ascii="Times New Roman" w:hAnsi="Times New Roman" w:cs="Times New Roman"/>
          <w:iCs/>
          <w:sz w:val="24"/>
          <w:szCs w:val="24"/>
        </w:rPr>
        <w:t>ŠC 4.1 - investície do bytových domov budú realizované formou návratnej finančnej pomoci prostredníctvom nástrojov finančného inžinierstva, </w:t>
      </w:r>
    </w:p>
    <w:p w:rsidR="00A00547" w:rsidRPr="00CC5B4A" w:rsidRDefault="00A00547" w:rsidP="00021B18">
      <w:pPr>
        <w:pStyle w:val="Odsekzoznamu"/>
        <w:numPr>
          <w:ilvl w:val="0"/>
          <w:numId w:val="25"/>
        </w:numPr>
        <w:spacing w:after="40" w:line="320" w:lineRule="exact"/>
        <w:ind w:left="284" w:hanging="284"/>
        <w:jc w:val="both"/>
        <w:rPr>
          <w:rFonts w:ascii="Times New Roman" w:hAnsi="Times New Roman" w:cs="Times New Roman"/>
          <w:sz w:val="24"/>
          <w:szCs w:val="24"/>
        </w:rPr>
      </w:pPr>
      <w:r w:rsidRPr="00CC5B4A">
        <w:rPr>
          <w:rFonts w:ascii="Times New Roman" w:hAnsi="Times New Roman" w:cs="Times New Roman"/>
          <w:iCs/>
          <w:sz w:val="24"/>
          <w:szCs w:val="24"/>
        </w:rPr>
        <w:t xml:space="preserve">ŠC 5.1.1 a 5.1.2 - nakoľko miestny rozvoj vedený komunitou má vytvorený samostatný mechanizmus podpory, </w:t>
      </w:r>
    </w:p>
    <w:p w:rsidR="00A00547" w:rsidRPr="00CC5B4A" w:rsidRDefault="00A00547" w:rsidP="00021B18">
      <w:pPr>
        <w:pStyle w:val="Odsekzoznamu"/>
        <w:numPr>
          <w:ilvl w:val="0"/>
          <w:numId w:val="25"/>
        </w:numPr>
        <w:spacing w:after="40" w:line="320" w:lineRule="exact"/>
        <w:ind w:left="284" w:hanging="284"/>
        <w:jc w:val="both"/>
        <w:rPr>
          <w:rFonts w:ascii="Times New Roman" w:hAnsi="Times New Roman" w:cs="Times New Roman"/>
          <w:sz w:val="24"/>
          <w:szCs w:val="24"/>
        </w:rPr>
      </w:pPr>
      <w:r w:rsidRPr="00CC5B4A">
        <w:rPr>
          <w:rFonts w:ascii="Times New Roman" w:hAnsi="Times New Roman" w:cs="Times New Roman"/>
          <w:iCs/>
          <w:sz w:val="24"/>
          <w:szCs w:val="24"/>
        </w:rPr>
        <w:t xml:space="preserve">ŠC 6.1 a ŠC 6.2 - </w:t>
      </w:r>
      <w:r w:rsidRPr="00CC5B4A">
        <w:rPr>
          <w:rFonts w:ascii="Times New Roman" w:hAnsi="Times New Roman" w:cs="Times New Roman"/>
          <w:sz w:val="24"/>
          <w:szCs w:val="24"/>
        </w:rPr>
        <w:t>technická pomoc.</w:t>
      </w:r>
    </w:p>
    <w:p w:rsidR="00A00547" w:rsidRPr="00CC5B4A" w:rsidRDefault="00A00547" w:rsidP="00021B18">
      <w:pPr>
        <w:spacing w:after="40" w:line="320" w:lineRule="exact"/>
        <w:rPr>
          <w:szCs w:val="24"/>
        </w:rPr>
      </w:pPr>
      <w:r w:rsidRPr="00CC5B4A">
        <w:rPr>
          <w:szCs w:val="24"/>
        </w:rPr>
        <w:t>K </w:t>
      </w:r>
      <w:r w:rsidRPr="00CC5B4A">
        <w:rPr>
          <w:b/>
          <w:szCs w:val="24"/>
        </w:rPr>
        <w:t>miestnemu rozvoju vedenému komunitou</w:t>
      </w:r>
      <w:r w:rsidRPr="00CC5B4A">
        <w:rPr>
          <w:szCs w:val="24"/>
        </w:rPr>
        <w:t xml:space="preserve"> (CLLD) IROP prispieva prostredníctvom Prioritnej osi 5 komplementárne k Programu rozvoja vidieka.  </w:t>
      </w:r>
    </w:p>
    <w:p w:rsidR="00A00547" w:rsidRPr="00CC5B4A" w:rsidRDefault="00A00547" w:rsidP="00021B18">
      <w:pPr>
        <w:autoSpaceDE w:val="0"/>
        <w:autoSpaceDN w:val="0"/>
        <w:adjustRightInd w:val="0"/>
        <w:spacing w:after="40" w:line="320" w:lineRule="exact"/>
        <w:rPr>
          <w:szCs w:val="24"/>
        </w:rPr>
      </w:pPr>
      <w:r w:rsidRPr="00CC5B4A">
        <w:rPr>
          <w:color w:val="231F20"/>
          <w:szCs w:val="24"/>
        </w:rPr>
        <w:t xml:space="preserve">Základné </w:t>
      </w:r>
      <w:r w:rsidRPr="00CC5B4A">
        <w:rPr>
          <w:b/>
          <w:color w:val="231F20"/>
          <w:szCs w:val="24"/>
        </w:rPr>
        <w:t>orgány relevantné pre integrované územné investície</w:t>
      </w:r>
      <w:r w:rsidRPr="00CC5B4A">
        <w:rPr>
          <w:color w:val="231F20"/>
          <w:szCs w:val="24"/>
        </w:rPr>
        <w:t xml:space="preserve"> v Slovenskej republike definuje </w:t>
      </w:r>
      <w:r w:rsidRPr="00CC5B4A">
        <w:rPr>
          <w:szCs w:val="24"/>
        </w:rPr>
        <w:t>§15 Zákona č. 292/2014</w:t>
      </w:r>
      <w:r w:rsidR="00302357">
        <w:rPr>
          <w:szCs w:val="24"/>
        </w:rPr>
        <w:t xml:space="preserve"> Z.z.</w:t>
      </w:r>
      <w:r w:rsidRPr="00CC5B4A">
        <w:rPr>
          <w:szCs w:val="24"/>
        </w:rPr>
        <w:t xml:space="preserve"> </w:t>
      </w:r>
      <w:r w:rsidRPr="00CC5B4A">
        <w:rPr>
          <w:color w:val="231F20"/>
          <w:szCs w:val="24"/>
        </w:rPr>
        <w:t>o príspevku poskytovanom z európskych štrukturálnych a investičných fondov a o zmene a doplnení niektorých zákonov,</w:t>
      </w:r>
      <w:r w:rsidRPr="00CC5B4A">
        <w:rPr>
          <w:szCs w:val="24"/>
        </w:rPr>
        <w:t xml:space="preserve"> a to rámcovo nasledovne:</w:t>
      </w:r>
    </w:p>
    <w:p w:rsidR="00A00547" w:rsidRPr="00CC5B4A" w:rsidRDefault="00A00547" w:rsidP="00021B18">
      <w:pPr>
        <w:pStyle w:val="Odsekzoznamu"/>
        <w:numPr>
          <w:ilvl w:val="0"/>
          <w:numId w:val="26"/>
        </w:numPr>
        <w:autoSpaceDE w:val="0"/>
        <w:autoSpaceDN w:val="0"/>
        <w:adjustRightInd w:val="0"/>
        <w:spacing w:after="40" w:line="320" w:lineRule="exact"/>
        <w:ind w:left="284" w:hanging="284"/>
        <w:jc w:val="both"/>
        <w:rPr>
          <w:rFonts w:ascii="Times New Roman" w:hAnsi="Times New Roman" w:cs="Times New Roman"/>
          <w:color w:val="231F20"/>
          <w:sz w:val="24"/>
          <w:szCs w:val="24"/>
        </w:rPr>
      </w:pPr>
      <w:r w:rsidRPr="00CC5B4A">
        <w:rPr>
          <w:rFonts w:ascii="Times New Roman" w:hAnsi="Times New Roman" w:cs="Times New Roman"/>
          <w:b/>
          <w:color w:val="231F20"/>
          <w:sz w:val="24"/>
          <w:szCs w:val="24"/>
        </w:rPr>
        <w:t>Riadiaci orgán pre IROP (MPRV SR)</w:t>
      </w:r>
      <w:r w:rsidRPr="00CC5B4A">
        <w:rPr>
          <w:rFonts w:ascii="Times New Roman" w:hAnsi="Times New Roman" w:cs="Times New Roman"/>
          <w:color w:val="231F20"/>
          <w:sz w:val="24"/>
          <w:szCs w:val="24"/>
        </w:rPr>
        <w:t xml:space="preserve"> – ktorý koordinuje a metodicky usmerňuje prípravu stratégií RIÚS a UMR, zriaďuje v súlade s princípo</w:t>
      </w:r>
      <w:r w:rsidR="00302357">
        <w:rPr>
          <w:rFonts w:ascii="Times New Roman" w:hAnsi="Times New Roman" w:cs="Times New Roman"/>
          <w:color w:val="231F20"/>
          <w:sz w:val="24"/>
          <w:szCs w:val="24"/>
        </w:rPr>
        <w:t>m</w:t>
      </w:r>
      <w:r w:rsidRPr="00CC5B4A">
        <w:rPr>
          <w:rFonts w:ascii="Times New Roman" w:hAnsi="Times New Roman" w:cs="Times New Roman"/>
          <w:color w:val="231F20"/>
          <w:sz w:val="24"/>
          <w:szCs w:val="24"/>
        </w:rPr>
        <w:t xml:space="preserve"> partnerstva radu partnerstva pre RIÚS a UMR, príp. spoločnú radu partnerstva a schvaľuje stratégie na základe stanoviska rady partnerstva z hľadiska ich súladu s operačným programom, </w:t>
      </w:r>
    </w:p>
    <w:p w:rsidR="00A00547" w:rsidRPr="00CC5B4A" w:rsidRDefault="00A00547" w:rsidP="00021B18">
      <w:pPr>
        <w:pStyle w:val="Odsekzoznamu"/>
        <w:numPr>
          <w:ilvl w:val="0"/>
          <w:numId w:val="26"/>
        </w:numPr>
        <w:autoSpaceDE w:val="0"/>
        <w:autoSpaceDN w:val="0"/>
        <w:adjustRightInd w:val="0"/>
        <w:spacing w:after="40" w:line="320" w:lineRule="exact"/>
        <w:ind w:left="284" w:hanging="284"/>
        <w:jc w:val="both"/>
        <w:rPr>
          <w:rFonts w:ascii="Times New Roman" w:hAnsi="Times New Roman" w:cs="Times New Roman"/>
          <w:color w:val="231F20"/>
          <w:sz w:val="24"/>
          <w:szCs w:val="24"/>
        </w:rPr>
      </w:pPr>
      <w:r w:rsidRPr="00CC5B4A">
        <w:rPr>
          <w:rFonts w:ascii="Times New Roman" w:hAnsi="Times New Roman" w:cs="Times New Roman"/>
          <w:b/>
          <w:color w:val="231F20"/>
          <w:sz w:val="24"/>
          <w:szCs w:val="24"/>
        </w:rPr>
        <w:t>samosprávny kraj</w:t>
      </w:r>
      <w:r w:rsidRPr="00CC5B4A">
        <w:rPr>
          <w:rFonts w:ascii="Times New Roman" w:hAnsi="Times New Roman" w:cs="Times New Roman"/>
          <w:color w:val="231F20"/>
          <w:sz w:val="24"/>
          <w:szCs w:val="24"/>
        </w:rPr>
        <w:t xml:space="preserve"> – ktorý zabezpečuje prípravu a implementáciu RIÚS v súlade s princípom partnerstva,</w:t>
      </w:r>
    </w:p>
    <w:p w:rsidR="00A00547" w:rsidRDefault="00A00547" w:rsidP="00021B18">
      <w:pPr>
        <w:pStyle w:val="Odsekzoznamu"/>
        <w:numPr>
          <w:ilvl w:val="0"/>
          <w:numId w:val="26"/>
        </w:numPr>
        <w:autoSpaceDE w:val="0"/>
        <w:autoSpaceDN w:val="0"/>
        <w:adjustRightInd w:val="0"/>
        <w:spacing w:after="40" w:line="320" w:lineRule="exact"/>
        <w:ind w:left="284" w:hanging="284"/>
        <w:jc w:val="both"/>
        <w:rPr>
          <w:rFonts w:ascii="Times New Roman" w:hAnsi="Times New Roman" w:cs="Times New Roman"/>
          <w:color w:val="231F20"/>
          <w:sz w:val="24"/>
          <w:szCs w:val="24"/>
        </w:rPr>
      </w:pPr>
      <w:r w:rsidRPr="00CC5B4A">
        <w:rPr>
          <w:rFonts w:ascii="Times New Roman" w:hAnsi="Times New Roman" w:cs="Times New Roman"/>
          <w:b/>
          <w:color w:val="231F20"/>
          <w:sz w:val="24"/>
          <w:szCs w:val="24"/>
        </w:rPr>
        <w:t xml:space="preserve">krajské mesto </w:t>
      </w:r>
      <w:r w:rsidRPr="00CC5B4A">
        <w:rPr>
          <w:rFonts w:ascii="Times New Roman" w:hAnsi="Times New Roman" w:cs="Times New Roman"/>
          <w:color w:val="231F20"/>
          <w:sz w:val="24"/>
          <w:szCs w:val="24"/>
        </w:rPr>
        <w:t xml:space="preserve">– ktoré zabezpečuje prípravu a implementáciu stratégie UMR v  súlade s princípom partnerstva. </w:t>
      </w:r>
    </w:p>
    <w:sectPr w:rsidR="00A00547" w:rsidSect="009256AC">
      <w:footerReference w:type="even" r:id="rId9"/>
      <w:footerReference w:type="default" r:id="rId10"/>
      <w:footerReference w:type="first" r:id="rId11"/>
      <w:footnotePr>
        <w:numRestart w:val="eachPage"/>
      </w:footnotePr>
      <w:pgSz w:w="11906" w:h="16838"/>
      <w:pgMar w:top="1418" w:right="1411" w:bottom="1421" w:left="1419"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60" w:rsidRDefault="001A6260">
      <w:pPr>
        <w:spacing w:after="0" w:line="240" w:lineRule="auto"/>
      </w:pPr>
      <w:r>
        <w:separator/>
      </w:r>
    </w:p>
  </w:endnote>
  <w:endnote w:type="continuationSeparator" w:id="0">
    <w:p w:rsidR="001A6260" w:rsidRDefault="001A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71" w:rsidRDefault="001C7EB7">
    <w:pPr>
      <w:spacing w:after="0" w:line="259" w:lineRule="auto"/>
      <w:ind w:firstLine="0"/>
      <w:jc w:val="center"/>
    </w:pPr>
    <w:r>
      <w:fldChar w:fldCharType="begin"/>
    </w:r>
    <w:r w:rsidR="00A60E71">
      <w:instrText xml:space="preserve"> PAGE   \* MERGEFORMAT </w:instrText>
    </w:r>
    <w:r>
      <w:fldChar w:fldCharType="separate"/>
    </w:r>
    <w:r w:rsidR="00A60E71">
      <w:rPr>
        <w:sz w:val="20"/>
      </w:rPr>
      <w:t>1</w:t>
    </w:r>
    <w:r>
      <w:rPr>
        <w:sz w:val="20"/>
      </w:rPr>
      <w:fldChar w:fldCharType="end"/>
    </w:r>
    <w:r w:rsidR="00A60E71">
      <w:rPr>
        <w:sz w:val="20"/>
      </w:rPr>
      <w:t xml:space="preserve"> </w:t>
    </w:r>
  </w:p>
  <w:p w:rsidR="00A60E71" w:rsidRDefault="00A60E71">
    <w:pPr>
      <w:spacing w:after="0" w:line="259" w:lineRule="auto"/>
      <w:ind w:righ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71" w:rsidRDefault="001C7EB7">
    <w:pPr>
      <w:spacing w:after="0" w:line="259" w:lineRule="auto"/>
      <w:ind w:firstLine="0"/>
      <w:jc w:val="center"/>
    </w:pPr>
    <w:r>
      <w:fldChar w:fldCharType="begin"/>
    </w:r>
    <w:r w:rsidR="00A60E71">
      <w:instrText xml:space="preserve"> PAGE   \* MERGEFORMAT </w:instrText>
    </w:r>
    <w:r>
      <w:fldChar w:fldCharType="separate"/>
    </w:r>
    <w:r w:rsidR="004C6C29" w:rsidRPr="004C6C29">
      <w:rPr>
        <w:noProof/>
        <w:sz w:val="20"/>
      </w:rPr>
      <w:t>6</w:t>
    </w:r>
    <w:r>
      <w:rPr>
        <w:sz w:val="20"/>
      </w:rPr>
      <w:fldChar w:fldCharType="end"/>
    </w:r>
    <w:r w:rsidR="00A60E71">
      <w:rPr>
        <w:sz w:val="20"/>
      </w:rPr>
      <w:t xml:space="preserve"> </w:t>
    </w:r>
  </w:p>
  <w:p w:rsidR="00A60E71" w:rsidRDefault="00A60E71">
    <w:pPr>
      <w:spacing w:after="0" w:line="259" w:lineRule="auto"/>
      <w:ind w:righ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71" w:rsidRDefault="001C7EB7">
    <w:pPr>
      <w:spacing w:after="0" w:line="259" w:lineRule="auto"/>
      <w:ind w:firstLine="0"/>
      <w:jc w:val="center"/>
    </w:pPr>
    <w:r>
      <w:fldChar w:fldCharType="begin"/>
    </w:r>
    <w:r w:rsidR="00A60E71">
      <w:instrText xml:space="preserve"> PAGE   \* MERGEFORMAT </w:instrText>
    </w:r>
    <w:r>
      <w:fldChar w:fldCharType="separate"/>
    </w:r>
    <w:r w:rsidR="00A60E71">
      <w:rPr>
        <w:sz w:val="20"/>
      </w:rPr>
      <w:t>1</w:t>
    </w:r>
    <w:r>
      <w:rPr>
        <w:sz w:val="20"/>
      </w:rPr>
      <w:fldChar w:fldCharType="end"/>
    </w:r>
    <w:r w:rsidR="00A60E71">
      <w:rPr>
        <w:sz w:val="20"/>
      </w:rPr>
      <w:t xml:space="preserve"> </w:t>
    </w:r>
  </w:p>
  <w:p w:rsidR="00A60E71" w:rsidRDefault="00A60E71">
    <w:pPr>
      <w:spacing w:after="0" w:line="259" w:lineRule="auto"/>
      <w:ind w:righ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60" w:rsidRDefault="001A6260">
      <w:pPr>
        <w:spacing w:after="0" w:line="240" w:lineRule="auto"/>
      </w:pPr>
      <w:r>
        <w:separator/>
      </w:r>
    </w:p>
  </w:footnote>
  <w:footnote w:type="continuationSeparator" w:id="0">
    <w:p w:rsidR="001A6260" w:rsidRDefault="001A6260">
      <w:pPr>
        <w:spacing w:after="0" w:line="240" w:lineRule="auto"/>
      </w:pPr>
      <w:r>
        <w:continuationSeparator/>
      </w:r>
    </w:p>
  </w:footnote>
  <w:footnote w:id="1">
    <w:p w:rsidR="00A60E71" w:rsidRPr="00961013" w:rsidRDefault="00A60E71" w:rsidP="00B404C7">
      <w:pPr>
        <w:pStyle w:val="Textpoznmkypodiarou"/>
        <w:jc w:val="both"/>
        <w:rPr>
          <w:sz w:val="16"/>
          <w:szCs w:val="16"/>
        </w:rPr>
      </w:pPr>
      <w:r w:rsidRPr="00961013">
        <w:rPr>
          <w:rStyle w:val="Odkaznapoznmkupodiarou"/>
          <w:sz w:val="16"/>
          <w:szCs w:val="16"/>
        </w:rPr>
        <w:footnoteRef/>
      </w:r>
      <w:r w:rsidRPr="00961013">
        <w:rPr>
          <w:sz w:val="16"/>
          <w:szCs w:val="16"/>
        </w:rPr>
        <w:t xml:space="preserve"> V súlade s článkom 44 Nariadenia č. 1083/2006 sa na priame zadanie v zmysle tohto písomného vyzvania (a na zmluvu o financovaní, ktorá je podpísaná medzi Riadiacim orgánom a ŠFRB) neuplatňuje Zákon č. 25/2006 Z.z. o verejnom obstarávaní. Uvedený postup bol schválený Úradom pre verejné obstarávanie listom č. 272/5000/2011 zo dňa 13. 04. 2011.</w:t>
      </w:r>
    </w:p>
  </w:footnote>
  <w:footnote w:id="2">
    <w:p w:rsidR="00A60E71" w:rsidRPr="00E9775B" w:rsidRDefault="00A60E71" w:rsidP="002D59D6">
      <w:pPr>
        <w:pStyle w:val="Textpoznmkypodiarou"/>
        <w:jc w:val="both"/>
        <w:rPr>
          <w:rFonts w:ascii="Arial" w:hAnsi="Arial" w:cs="Arial"/>
          <w:sz w:val="16"/>
          <w:szCs w:val="16"/>
        </w:rPr>
      </w:pPr>
      <w:r w:rsidRPr="00E9775B">
        <w:rPr>
          <w:rStyle w:val="Odkaznapoznmkupodiarou"/>
          <w:rFonts w:ascii="Arial" w:hAnsi="Arial" w:cs="Arial"/>
          <w:sz w:val="16"/>
          <w:szCs w:val="16"/>
        </w:rPr>
        <w:footnoteRef/>
      </w:r>
      <w:r w:rsidRPr="00E9775B">
        <w:rPr>
          <w:rFonts w:ascii="Arial" w:hAnsi="Arial" w:cs="Arial"/>
          <w:sz w:val="16"/>
          <w:szCs w:val="16"/>
        </w:rPr>
        <w:t xml:space="preserve"> V súlade s článkom 44 Nariadenia č. 1083/2006 sa na priame zadanie v zmysle tohto písomného vyzvania (a na zmluvu o financovaní, ktorá je podpísaná medzi Riadiacim orgánom a ŠFRB) neuplatňuje Zákon č. 25/2006 Z.z. o verejnom obstarávaní. Uvedený postup bol schválený Úradom pre verejné obstarávanie listom č. 272/5000/2011 zo dňa 13. 04.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9D8"/>
    <w:multiLevelType w:val="hybridMultilevel"/>
    <w:tmpl w:val="8990EA2A"/>
    <w:lvl w:ilvl="0" w:tplc="04050005">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08B65B16"/>
    <w:multiLevelType w:val="hybridMultilevel"/>
    <w:tmpl w:val="6B5660A8"/>
    <w:lvl w:ilvl="0" w:tplc="73AC2C5A">
      <w:start w:val="1"/>
      <w:numFmt w:val="upperLetter"/>
      <w:lvlText w:val="%1."/>
      <w:lvlJc w:val="left"/>
      <w:pPr>
        <w:ind w:left="720" w:hanging="360"/>
      </w:pPr>
      <w:rPr>
        <w:rFonts w:ascii="Trebuchet MS" w:hAnsi="Trebuchet MS" w:cs="Trebuchet MS" w:hint="default"/>
        <w:b w:val="0"/>
        <w:color w:val="auto"/>
      </w:rPr>
    </w:lvl>
    <w:lvl w:ilvl="1" w:tplc="041B0001">
      <w:start w:val="1"/>
      <w:numFmt w:val="bullet"/>
      <w:lvlText w:val=""/>
      <w:lvlJc w:val="left"/>
      <w:pPr>
        <w:ind w:left="1440" w:hanging="360"/>
      </w:pPr>
      <w:rPr>
        <w:rFonts w:ascii="Symbol" w:hAnsi="Symbol" w:hint="default"/>
      </w:rPr>
    </w:lvl>
    <w:lvl w:ilvl="2" w:tplc="D0667880">
      <w:start w:val="12"/>
      <w:numFmt w:val="decimal"/>
      <w:lvlText w:val="%3."/>
      <w:lvlJc w:val="left"/>
      <w:pPr>
        <w:ind w:left="2415" w:hanging="435"/>
      </w:pPr>
      <w:rPr>
        <w:rFonts w:ascii="Arial" w:eastAsia="Times New Roman" w:hAnsi="Arial" w:cs="Arial" w:hint="default"/>
        <w:b/>
        <w:color w:val="31479E"/>
        <w:sz w:val="28"/>
      </w:rPr>
    </w:lvl>
    <w:lvl w:ilvl="3" w:tplc="04050005">
      <w:start w:val="1"/>
      <w:numFmt w:val="bullet"/>
      <w:lvlText w:val=""/>
      <w:lvlJc w:val="left"/>
      <w:pPr>
        <w:ind w:left="2880" w:hanging="360"/>
      </w:pPr>
      <w:rPr>
        <w:rFonts w:ascii="Wingdings" w:hAnsi="Wingdings" w:cs="Wingding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AA86FF6"/>
    <w:multiLevelType w:val="hybridMultilevel"/>
    <w:tmpl w:val="AC828FDA"/>
    <w:lvl w:ilvl="0" w:tplc="04CA3BD2">
      <w:numFmt w:val="bullet"/>
      <w:lvlText w:val="-"/>
      <w:lvlJc w:val="left"/>
      <w:pPr>
        <w:ind w:left="720" w:hanging="360"/>
      </w:pPr>
      <w:rPr>
        <w:rFonts w:ascii="Calibri" w:eastAsia="Calibri" w:hAnsi="Calibri" w:cs="Aria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0DFF2461"/>
    <w:multiLevelType w:val="hybridMultilevel"/>
    <w:tmpl w:val="A21CBF1C"/>
    <w:lvl w:ilvl="0" w:tplc="04050005">
      <w:start w:val="1"/>
      <w:numFmt w:val="bullet"/>
      <w:lvlText w:val=""/>
      <w:lvlJc w:val="left"/>
      <w:pPr>
        <w:tabs>
          <w:tab w:val="num" w:pos="720"/>
        </w:tabs>
        <w:ind w:left="720" w:hanging="360"/>
      </w:pPr>
      <w:rPr>
        <w:rFonts w:ascii="Wingdings" w:hAnsi="Wingdings" w:cs="Wingdings" w:hint="default"/>
      </w:rPr>
    </w:lvl>
    <w:lvl w:ilvl="1" w:tplc="86B2D972">
      <w:start w:val="1"/>
      <w:numFmt w:val="bullet"/>
      <w:lvlText w:val="•"/>
      <w:lvlJc w:val="left"/>
      <w:pPr>
        <w:tabs>
          <w:tab w:val="num" w:pos="1440"/>
        </w:tabs>
        <w:ind w:left="1440" w:hanging="360"/>
      </w:pPr>
      <w:rPr>
        <w:rFonts w:ascii="Arial" w:hAnsi="Arial" w:cs="Times New Roman" w:hint="default"/>
      </w:rPr>
    </w:lvl>
    <w:lvl w:ilvl="2" w:tplc="AC5CDDE8">
      <w:start w:val="1"/>
      <w:numFmt w:val="bullet"/>
      <w:lvlText w:val="•"/>
      <w:lvlJc w:val="left"/>
      <w:pPr>
        <w:tabs>
          <w:tab w:val="num" w:pos="2160"/>
        </w:tabs>
        <w:ind w:left="2160" w:hanging="360"/>
      </w:pPr>
      <w:rPr>
        <w:rFonts w:ascii="Arial" w:hAnsi="Arial" w:cs="Times New Roman" w:hint="default"/>
      </w:rPr>
    </w:lvl>
    <w:lvl w:ilvl="3" w:tplc="B344C506">
      <w:start w:val="1"/>
      <w:numFmt w:val="bullet"/>
      <w:lvlText w:val="•"/>
      <w:lvlJc w:val="left"/>
      <w:pPr>
        <w:tabs>
          <w:tab w:val="num" w:pos="2880"/>
        </w:tabs>
        <w:ind w:left="2880" w:hanging="360"/>
      </w:pPr>
      <w:rPr>
        <w:rFonts w:ascii="Arial" w:hAnsi="Arial" w:cs="Times New Roman" w:hint="default"/>
      </w:rPr>
    </w:lvl>
    <w:lvl w:ilvl="4" w:tplc="EA74F836">
      <w:start w:val="1"/>
      <w:numFmt w:val="bullet"/>
      <w:lvlText w:val="•"/>
      <w:lvlJc w:val="left"/>
      <w:pPr>
        <w:tabs>
          <w:tab w:val="num" w:pos="3600"/>
        </w:tabs>
        <w:ind w:left="3600" w:hanging="360"/>
      </w:pPr>
      <w:rPr>
        <w:rFonts w:ascii="Arial" w:hAnsi="Arial" w:cs="Times New Roman" w:hint="default"/>
      </w:rPr>
    </w:lvl>
    <w:lvl w:ilvl="5" w:tplc="DEF86ED2">
      <w:start w:val="1"/>
      <w:numFmt w:val="bullet"/>
      <w:lvlText w:val="•"/>
      <w:lvlJc w:val="left"/>
      <w:pPr>
        <w:tabs>
          <w:tab w:val="num" w:pos="4320"/>
        </w:tabs>
        <w:ind w:left="4320" w:hanging="360"/>
      </w:pPr>
      <w:rPr>
        <w:rFonts w:ascii="Arial" w:hAnsi="Arial" w:cs="Times New Roman" w:hint="default"/>
      </w:rPr>
    </w:lvl>
    <w:lvl w:ilvl="6" w:tplc="F5E01540">
      <w:start w:val="1"/>
      <w:numFmt w:val="bullet"/>
      <w:lvlText w:val="•"/>
      <w:lvlJc w:val="left"/>
      <w:pPr>
        <w:tabs>
          <w:tab w:val="num" w:pos="5040"/>
        </w:tabs>
        <w:ind w:left="5040" w:hanging="360"/>
      </w:pPr>
      <w:rPr>
        <w:rFonts w:ascii="Arial" w:hAnsi="Arial" w:cs="Times New Roman" w:hint="default"/>
      </w:rPr>
    </w:lvl>
    <w:lvl w:ilvl="7" w:tplc="BB6A72E0">
      <w:start w:val="1"/>
      <w:numFmt w:val="bullet"/>
      <w:lvlText w:val="•"/>
      <w:lvlJc w:val="left"/>
      <w:pPr>
        <w:tabs>
          <w:tab w:val="num" w:pos="5760"/>
        </w:tabs>
        <w:ind w:left="5760" w:hanging="360"/>
      </w:pPr>
      <w:rPr>
        <w:rFonts w:ascii="Arial" w:hAnsi="Arial" w:cs="Times New Roman" w:hint="default"/>
      </w:rPr>
    </w:lvl>
    <w:lvl w:ilvl="8" w:tplc="7CD09DCA">
      <w:start w:val="1"/>
      <w:numFmt w:val="bullet"/>
      <w:lvlText w:val="•"/>
      <w:lvlJc w:val="left"/>
      <w:pPr>
        <w:tabs>
          <w:tab w:val="num" w:pos="6480"/>
        </w:tabs>
        <w:ind w:left="6480" w:hanging="360"/>
      </w:pPr>
      <w:rPr>
        <w:rFonts w:ascii="Arial" w:hAnsi="Arial" w:cs="Times New Roman" w:hint="default"/>
      </w:rPr>
    </w:lvl>
  </w:abstractNum>
  <w:abstractNum w:abstractNumId="4">
    <w:nsid w:val="13BB2ECE"/>
    <w:multiLevelType w:val="hybridMultilevel"/>
    <w:tmpl w:val="BC4C3954"/>
    <w:lvl w:ilvl="0" w:tplc="04050005">
      <w:start w:val="1"/>
      <w:numFmt w:val="bullet"/>
      <w:lvlText w:val=""/>
      <w:lvlJc w:val="left"/>
      <w:pPr>
        <w:tabs>
          <w:tab w:val="num" w:pos="720"/>
        </w:tabs>
        <w:ind w:left="720" w:hanging="360"/>
      </w:pPr>
      <w:rPr>
        <w:rFonts w:ascii="Wingdings" w:hAnsi="Wingdings" w:cs="Wingdings" w:hint="default"/>
      </w:rPr>
    </w:lvl>
    <w:lvl w:ilvl="1" w:tplc="F5F67F96">
      <w:start w:val="1"/>
      <w:numFmt w:val="bullet"/>
      <w:lvlText w:val="•"/>
      <w:lvlJc w:val="left"/>
      <w:pPr>
        <w:tabs>
          <w:tab w:val="num" w:pos="1440"/>
        </w:tabs>
        <w:ind w:left="1440" w:hanging="360"/>
      </w:pPr>
      <w:rPr>
        <w:rFonts w:ascii="Arial" w:hAnsi="Arial" w:cs="Times New Roman" w:hint="default"/>
      </w:rPr>
    </w:lvl>
    <w:lvl w:ilvl="2" w:tplc="24C84F6A">
      <w:start w:val="1"/>
      <w:numFmt w:val="bullet"/>
      <w:lvlText w:val="•"/>
      <w:lvlJc w:val="left"/>
      <w:pPr>
        <w:tabs>
          <w:tab w:val="num" w:pos="2160"/>
        </w:tabs>
        <w:ind w:left="2160" w:hanging="360"/>
      </w:pPr>
      <w:rPr>
        <w:rFonts w:ascii="Arial" w:hAnsi="Arial" w:cs="Times New Roman" w:hint="default"/>
      </w:rPr>
    </w:lvl>
    <w:lvl w:ilvl="3" w:tplc="07D027D2">
      <w:start w:val="1"/>
      <w:numFmt w:val="bullet"/>
      <w:lvlText w:val="•"/>
      <w:lvlJc w:val="left"/>
      <w:pPr>
        <w:tabs>
          <w:tab w:val="num" w:pos="2880"/>
        </w:tabs>
        <w:ind w:left="2880" w:hanging="360"/>
      </w:pPr>
      <w:rPr>
        <w:rFonts w:ascii="Arial" w:hAnsi="Arial" w:cs="Times New Roman" w:hint="default"/>
      </w:rPr>
    </w:lvl>
    <w:lvl w:ilvl="4" w:tplc="00AE8BDC">
      <w:start w:val="1"/>
      <w:numFmt w:val="bullet"/>
      <w:lvlText w:val="•"/>
      <w:lvlJc w:val="left"/>
      <w:pPr>
        <w:tabs>
          <w:tab w:val="num" w:pos="3600"/>
        </w:tabs>
        <w:ind w:left="3600" w:hanging="360"/>
      </w:pPr>
      <w:rPr>
        <w:rFonts w:ascii="Arial" w:hAnsi="Arial" w:cs="Times New Roman" w:hint="default"/>
      </w:rPr>
    </w:lvl>
    <w:lvl w:ilvl="5" w:tplc="D9ECEB38">
      <w:start w:val="1"/>
      <w:numFmt w:val="bullet"/>
      <w:lvlText w:val="•"/>
      <w:lvlJc w:val="left"/>
      <w:pPr>
        <w:tabs>
          <w:tab w:val="num" w:pos="4320"/>
        </w:tabs>
        <w:ind w:left="4320" w:hanging="360"/>
      </w:pPr>
      <w:rPr>
        <w:rFonts w:ascii="Arial" w:hAnsi="Arial" w:cs="Times New Roman" w:hint="default"/>
      </w:rPr>
    </w:lvl>
    <w:lvl w:ilvl="6" w:tplc="7B2851A6">
      <w:start w:val="1"/>
      <w:numFmt w:val="bullet"/>
      <w:lvlText w:val="•"/>
      <w:lvlJc w:val="left"/>
      <w:pPr>
        <w:tabs>
          <w:tab w:val="num" w:pos="5040"/>
        </w:tabs>
        <w:ind w:left="5040" w:hanging="360"/>
      </w:pPr>
      <w:rPr>
        <w:rFonts w:ascii="Arial" w:hAnsi="Arial" w:cs="Times New Roman" w:hint="default"/>
      </w:rPr>
    </w:lvl>
    <w:lvl w:ilvl="7" w:tplc="A502B82A">
      <w:start w:val="1"/>
      <w:numFmt w:val="bullet"/>
      <w:lvlText w:val="•"/>
      <w:lvlJc w:val="left"/>
      <w:pPr>
        <w:tabs>
          <w:tab w:val="num" w:pos="5760"/>
        </w:tabs>
        <w:ind w:left="5760" w:hanging="360"/>
      </w:pPr>
      <w:rPr>
        <w:rFonts w:ascii="Arial" w:hAnsi="Arial" w:cs="Times New Roman" w:hint="default"/>
      </w:rPr>
    </w:lvl>
    <w:lvl w:ilvl="8" w:tplc="DB5C0DAC">
      <w:start w:val="1"/>
      <w:numFmt w:val="bullet"/>
      <w:lvlText w:val="•"/>
      <w:lvlJc w:val="left"/>
      <w:pPr>
        <w:tabs>
          <w:tab w:val="num" w:pos="6480"/>
        </w:tabs>
        <w:ind w:left="6480" w:hanging="360"/>
      </w:pPr>
      <w:rPr>
        <w:rFonts w:ascii="Arial" w:hAnsi="Arial" w:cs="Times New Roman" w:hint="default"/>
      </w:rPr>
    </w:lvl>
  </w:abstractNum>
  <w:abstractNum w:abstractNumId="5">
    <w:nsid w:val="15824882"/>
    <w:multiLevelType w:val="hybridMultilevel"/>
    <w:tmpl w:val="DE66A560"/>
    <w:lvl w:ilvl="0" w:tplc="04050005">
      <w:start w:val="1"/>
      <w:numFmt w:val="bullet"/>
      <w:lvlText w:val=""/>
      <w:lvlJc w:val="left"/>
      <w:pPr>
        <w:tabs>
          <w:tab w:val="num" w:pos="720"/>
        </w:tabs>
        <w:ind w:left="720" w:hanging="360"/>
      </w:pPr>
      <w:rPr>
        <w:rFonts w:ascii="Wingdings" w:hAnsi="Wingdings" w:cs="Wingdings" w:hint="default"/>
      </w:rPr>
    </w:lvl>
    <w:lvl w:ilvl="1" w:tplc="7974BE64">
      <w:start w:val="1"/>
      <w:numFmt w:val="bullet"/>
      <w:lvlText w:val="•"/>
      <w:lvlJc w:val="left"/>
      <w:pPr>
        <w:tabs>
          <w:tab w:val="num" w:pos="1440"/>
        </w:tabs>
        <w:ind w:left="1440" w:hanging="360"/>
      </w:pPr>
      <w:rPr>
        <w:rFonts w:ascii="Arial" w:hAnsi="Arial" w:cs="Times New Roman" w:hint="default"/>
      </w:rPr>
    </w:lvl>
    <w:lvl w:ilvl="2" w:tplc="901C2D90">
      <w:start w:val="1"/>
      <w:numFmt w:val="bullet"/>
      <w:lvlText w:val="•"/>
      <w:lvlJc w:val="left"/>
      <w:pPr>
        <w:tabs>
          <w:tab w:val="num" w:pos="2160"/>
        </w:tabs>
        <w:ind w:left="2160" w:hanging="360"/>
      </w:pPr>
      <w:rPr>
        <w:rFonts w:ascii="Arial" w:hAnsi="Arial" w:cs="Times New Roman" w:hint="default"/>
      </w:rPr>
    </w:lvl>
    <w:lvl w:ilvl="3" w:tplc="407C2EEA">
      <w:start w:val="1"/>
      <w:numFmt w:val="bullet"/>
      <w:lvlText w:val="•"/>
      <w:lvlJc w:val="left"/>
      <w:pPr>
        <w:tabs>
          <w:tab w:val="num" w:pos="2880"/>
        </w:tabs>
        <w:ind w:left="2880" w:hanging="360"/>
      </w:pPr>
      <w:rPr>
        <w:rFonts w:ascii="Arial" w:hAnsi="Arial" w:cs="Times New Roman" w:hint="default"/>
      </w:rPr>
    </w:lvl>
    <w:lvl w:ilvl="4" w:tplc="1A3CF0C6">
      <w:start w:val="1"/>
      <w:numFmt w:val="bullet"/>
      <w:lvlText w:val="•"/>
      <w:lvlJc w:val="left"/>
      <w:pPr>
        <w:tabs>
          <w:tab w:val="num" w:pos="3600"/>
        </w:tabs>
        <w:ind w:left="3600" w:hanging="360"/>
      </w:pPr>
      <w:rPr>
        <w:rFonts w:ascii="Arial" w:hAnsi="Arial" w:cs="Times New Roman" w:hint="default"/>
      </w:rPr>
    </w:lvl>
    <w:lvl w:ilvl="5" w:tplc="6BA05E7E">
      <w:start w:val="1"/>
      <w:numFmt w:val="bullet"/>
      <w:lvlText w:val="•"/>
      <w:lvlJc w:val="left"/>
      <w:pPr>
        <w:tabs>
          <w:tab w:val="num" w:pos="4320"/>
        </w:tabs>
        <w:ind w:left="4320" w:hanging="360"/>
      </w:pPr>
      <w:rPr>
        <w:rFonts w:ascii="Arial" w:hAnsi="Arial" w:cs="Times New Roman" w:hint="default"/>
      </w:rPr>
    </w:lvl>
    <w:lvl w:ilvl="6" w:tplc="6D1C2F70">
      <w:start w:val="1"/>
      <w:numFmt w:val="bullet"/>
      <w:lvlText w:val="•"/>
      <w:lvlJc w:val="left"/>
      <w:pPr>
        <w:tabs>
          <w:tab w:val="num" w:pos="5040"/>
        </w:tabs>
        <w:ind w:left="5040" w:hanging="360"/>
      </w:pPr>
      <w:rPr>
        <w:rFonts w:ascii="Arial" w:hAnsi="Arial" w:cs="Times New Roman" w:hint="default"/>
      </w:rPr>
    </w:lvl>
    <w:lvl w:ilvl="7" w:tplc="51966BF2">
      <w:start w:val="1"/>
      <w:numFmt w:val="bullet"/>
      <w:lvlText w:val="•"/>
      <w:lvlJc w:val="left"/>
      <w:pPr>
        <w:tabs>
          <w:tab w:val="num" w:pos="5760"/>
        </w:tabs>
        <w:ind w:left="5760" w:hanging="360"/>
      </w:pPr>
      <w:rPr>
        <w:rFonts w:ascii="Arial" w:hAnsi="Arial" w:cs="Times New Roman" w:hint="default"/>
      </w:rPr>
    </w:lvl>
    <w:lvl w:ilvl="8" w:tplc="925C481C">
      <w:start w:val="1"/>
      <w:numFmt w:val="bullet"/>
      <w:lvlText w:val="•"/>
      <w:lvlJc w:val="left"/>
      <w:pPr>
        <w:tabs>
          <w:tab w:val="num" w:pos="6480"/>
        </w:tabs>
        <w:ind w:left="6480" w:hanging="360"/>
      </w:pPr>
      <w:rPr>
        <w:rFonts w:ascii="Arial" w:hAnsi="Arial" w:cs="Times New Roman" w:hint="default"/>
      </w:rPr>
    </w:lvl>
  </w:abstractNum>
  <w:abstractNum w:abstractNumId="6">
    <w:nsid w:val="19004F2E"/>
    <w:multiLevelType w:val="hybridMultilevel"/>
    <w:tmpl w:val="D836350C"/>
    <w:lvl w:ilvl="0" w:tplc="04050005">
      <w:start w:val="1"/>
      <w:numFmt w:val="bullet"/>
      <w:lvlText w:val=""/>
      <w:lvlJc w:val="left"/>
      <w:pPr>
        <w:tabs>
          <w:tab w:val="num" w:pos="720"/>
        </w:tabs>
        <w:ind w:left="720" w:hanging="360"/>
      </w:pPr>
      <w:rPr>
        <w:rFonts w:ascii="Wingdings" w:hAnsi="Wingdings" w:cs="Wingdings" w:hint="default"/>
      </w:rPr>
    </w:lvl>
    <w:lvl w:ilvl="1" w:tplc="7474EFB6">
      <w:start w:val="1"/>
      <w:numFmt w:val="bullet"/>
      <w:lvlText w:val="•"/>
      <w:lvlJc w:val="left"/>
      <w:pPr>
        <w:tabs>
          <w:tab w:val="num" w:pos="1440"/>
        </w:tabs>
        <w:ind w:left="1440" w:hanging="360"/>
      </w:pPr>
      <w:rPr>
        <w:rFonts w:ascii="Arial" w:hAnsi="Arial" w:cs="Times New Roman" w:hint="default"/>
      </w:rPr>
    </w:lvl>
    <w:lvl w:ilvl="2" w:tplc="C610FDC8">
      <w:start w:val="1"/>
      <w:numFmt w:val="bullet"/>
      <w:lvlText w:val="•"/>
      <w:lvlJc w:val="left"/>
      <w:pPr>
        <w:tabs>
          <w:tab w:val="num" w:pos="2160"/>
        </w:tabs>
        <w:ind w:left="2160" w:hanging="360"/>
      </w:pPr>
      <w:rPr>
        <w:rFonts w:ascii="Arial" w:hAnsi="Arial" w:cs="Times New Roman" w:hint="default"/>
      </w:rPr>
    </w:lvl>
    <w:lvl w:ilvl="3" w:tplc="AABA3CF2">
      <w:start w:val="1"/>
      <w:numFmt w:val="bullet"/>
      <w:lvlText w:val="•"/>
      <w:lvlJc w:val="left"/>
      <w:pPr>
        <w:tabs>
          <w:tab w:val="num" w:pos="2880"/>
        </w:tabs>
        <w:ind w:left="2880" w:hanging="360"/>
      </w:pPr>
      <w:rPr>
        <w:rFonts w:ascii="Arial" w:hAnsi="Arial" w:cs="Times New Roman" w:hint="default"/>
      </w:rPr>
    </w:lvl>
    <w:lvl w:ilvl="4" w:tplc="824AE17A">
      <w:start w:val="1"/>
      <w:numFmt w:val="bullet"/>
      <w:lvlText w:val="•"/>
      <w:lvlJc w:val="left"/>
      <w:pPr>
        <w:tabs>
          <w:tab w:val="num" w:pos="3600"/>
        </w:tabs>
        <w:ind w:left="3600" w:hanging="360"/>
      </w:pPr>
      <w:rPr>
        <w:rFonts w:ascii="Arial" w:hAnsi="Arial" w:cs="Times New Roman" w:hint="default"/>
      </w:rPr>
    </w:lvl>
    <w:lvl w:ilvl="5" w:tplc="938272A8">
      <w:start w:val="1"/>
      <w:numFmt w:val="bullet"/>
      <w:lvlText w:val="•"/>
      <w:lvlJc w:val="left"/>
      <w:pPr>
        <w:tabs>
          <w:tab w:val="num" w:pos="4320"/>
        </w:tabs>
        <w:ind w:left="4320" w:hanging="360"/>
      </w:pPr>
      <w:rPr>
        <w:rFonts w:ascii="Arial" w:hAnsi="Arial" w:cs="Times New Roman" w:hint="default"/>
      </w:rPr>
    </w:lvl>
    <w:lvl w:ilvl="6" w:tplc="355C7EB0">
      <w:start w:val="1"/>
      <w:numFmt w:val="bullet"/>
      <w:lvlText w:val="•"/>
      <w:lvlJc w:val="left"/>
      <w:pPr>
        <w:tabs>
          <w:tab w:val="num" w:pos="5040"/>
        </w:tabs>
        <w:ind w:left="5040" w:hanging="360"/>
      </w:pPr>
      <w:rPr>
        <w:rFonts w:ascii="Arial" w:hAnsi="Arial" w:cs="Times New Roman" w:hint="default"/>
      </w:rPr>
    </w:lvl>
    <w:lvl w:ilvl="7" w:tplc="9C2A612E">
      <w:start w:val="1"/>
      <w:numFmt w:val="bullet"/>
      <w:lvlText w:val="•"/>
      <w:lvlJc w:val="left"/>
      <w:pPr>
        <w:tabs>
          <w:tab w:val="num" w:pos="5760"/>
        </w:tabs>
        <w:ind w:left="5760" w:hanging="360"/>
      </w:pPr>
      <w:rPr>
        <w:rFonts w:ascii="Arial" w:hAnsi="Arial" w:cs="Times New Roman" w:hint="default"/>
      </w:rPr>
    </w:lvl>
    <w:lvl w:ilvl="8" w:tplc="BF92B3D0">
      <w:start w:val="1"/>
      <w:numFmt w:val="bullet"/>
      <w:lvlText w:val="•"/>
      <w:lvlJc w:val="left"/>
      <w:pPr>
        <w:tabs>
          <w:tab w:val="num" w:pos="6480"/>
        </w:tabs>
        <w:ind w:left="6480" w:hanging="360"/>
      </w:pPr>
      <w:rPr>
        <w:rFonts w:ascii="Arial" w:hAnsi="Arial" w:cs="Times New Roman" w:hint="default"/>
      </w:rPr>
    </w:lvl>
  </w:abstractNum>
  <w:abstractNum w:abstractNumId="7">
    <w:nsid w:val="19627A12"/>
    <w:multiLevelType w:val="hybridMultilevel"/>
    <w:tmpl w:val="D1D42DBE"/>
    <w:lvl w:ilvl="0" w:tplc="04050005">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1B814799"/>
    <w:multiLevelType w:val="hybridMultilevel"/>
    <w:tmpl w:val="E0468BCE"/>
    <w:lvl w:ilvl="0" w:tplc="04050005">
      <w:start w:val="1"/>
      <w:numFmt w:val="bullet"/>
      <w:lvlText w:val=""/>
      <w:lvlJc w:val="left"/>
      <w:pPr>
        <w:ind w:left="1080" w:hanging="360"/>
      </w:pPr>
      <w:rPr>
        <w:rFonts w:ascii="Wingdings" w:hAnsi="Wingdings" w:cs="Wingding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nsid w:val="1BD43ACB"/>
    <w:multiLevelType w:val="hybridMultilevel"/>
    <w:tmpl w:val="99528564"/>
    <w:lvl w:ilvl="0" w:tplc="04050005">
      <w:start w:val="1"/>
      <w:numFmt w:val="bullet"/>
      <w:lvlText w:val=""/>
      <w:lvlJc w:val="left"/>
      <w:pPr>
        <w:tabs>
          <w:tab w:val="num" w:pos="1080"/>
        </w:tabs>
        <w:ind w:left="1080" w:hanging="360"/>
      </w:pPr>
      <w:rPr>
        <w:rFonts w:ascii="Wingdings" w:hAnsi="Wingdings" w:cs="Wingding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0">
    <w:nsid w:val="1BD5701D"/>
    <w:multiLevelType w:val="hybridMultilevel"/>
    <w:tmpl w:val="C24432DE"/>
    <w:lvl w:ilvl="0" w:tplc="3804794A">
      <w:numFmt w:val="bullet"/>
      <w:lvlText w:val="-"/>
      <w:lvlJc w:val="left"/>
      <w:pPr>
        <w:ind w:left="720" w:hanging="360"/>
      </w:pPr>
      <w:rPr>
        <w:rFonts w:ascii="Arial" w:eastAsia="Times New Roman" w:hAnsi="Arial" w:cs="Times New Roman" w:hint="default"/>
        <w:b w:val="0"/>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1C616C4A"/>
    <w:multiLevelType w:val="hybridMultilevel"/>
    <w:tmpl w:val="3FC845FC"/>
    <w:lvl w:ilvl="0" w:tplc="04050005">
      <w:start w:val="1"/>
      <w:numFmt w:val="bullet"/>
      <w:lvlText w:val=""/>
      <w:lvlJc w:val="left"/>
      <w:pPr>
        <w:ind w:left="1080" w:hanging="360"/>
      </w:pPr>
      <w:rPr>
        <w:rFonts w:ascii="Wingdings" w:hAnsi="Wingdings" w:cs="Wingding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2">
    <w:nsid w:val="26B81266"/>
    <w:multiLevelType w:val="hybridMultilevel"/>
    <w:tmpl w:val="06B24652"/>
    <w:lvl w:ilvl="0" w:tplc="04050005">
      <w:start w:val="1"/>
      <w:numFmt w:val="bullet"/>
      <w:lvlText w:val=""/>
      <w:lvlJc w:val="left"/>
      <w:pPr>
        <w:ind w:left="1080" w:hanging="360"/>
      </w:pPr>
      <w:rPr>
        <w:rFonts w:ascii="Wingdings" w:hAnsi="Wingdings" w:cs="Wingding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3">
    <w:nsid w:val="377D6A21"/>
    <w:multiLevelType w:val="hybridMultilevel"/>
    <w:tmpl w:val="B26087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06812AE"/>
    <w:multiLevelType w:val="hybridMultilevel"/>
    <w:tmpl w:val="B0AA0CD6"/>
    <w:lvl w:ilvl="0" w:tplc="04050005">
      <w:start w:val="1"/>
      <w:numFmt w:val="bullet"/>
      <w:lvlText w:val=""/>
      <w:lvlJc w:val="left"/>
      <w:pPr>
        <w:tabs>
          <w:tab w:val="num" w:pos="720"/>
        </w:tabs>
        <w:ind w:left="720" w:hanging="360"/>
      </w:pPr>
      <w:rPr>
        <w:rFonts w:ascii="Wingdings" w:hAnsi="Wingdings" w:cs="Wingdings" w:hint="default"/>
      </w:rPr>
    </w:lvl>
    <w:lvl w:ilvl="1" w:tplc="7298CF1C">
      <w:start w:val="1"/>
      <w:numFmt w:val="bullet"/>
      <w:lvlText w:val="•"/>
      <w:lvlJc w:val="left"/>
      <w:pPr>
        <w:tabs>
          <w:tab w:val="num" w:pos="1440"/>
        </w:tabs>
        <w:ind w:left="1440" w:hanging="360"/>
      </w:pPr>
      <w:rPr>
        <w:rFonts w:ascii="Arial" w:hAnsi="Arial" w:cs="Times New Roman" w:hint="default"/>
      </w:rPr>
    </w:lvl>
    <w:lvl w:ilvl="2" w:tplc="FED02FE6">
      <w:start w:val="1"/>
      <w:numFmt w:val="bullet"/>
      <w:lvlText w:val="•"/>
      <w:lvlJc w:val="left"/>
      <w:pPr>
        <w:tabs>
          <w:tab w:val="num" w:pos="2160"/>
        </w:tabs>
        <w:ind w:left="2160" w:hanging="360"/>
      </w:pPr>
      <w:rPr>
        <w:rFonts w:ascii="Arial" w:hAnsi="Arial" w:cs="Times New Roman" w:hint="default"/>
      </w:rPr>
    </w:lvl>
    <w:lvl w:ilvl="3" w:tplc="E84C6CF2">
      <w:start w:val="1"/>
      <w:numFmt w:val="bullet"/>
      <w:lvlText w:val="•"/>
      <w:lvlJc w:val="left"/>
      <w:pPr>
        <w:tabs>
          <w:tab w:val="num" w:pos="2880"/>
        </w:tabs>
        <w:ind w:left="2880" w:hanging="360"/>
      </w:pPr>
      <w:rPr>
        <w:rFonts w:ascii="Arial" w:hAnsi="Arial" w:cs="Times New Roman" w:hint="default"/>
      </w:rPr>
    </w:lvl>
    <w:lvl w:ilvl="4" w:tplc="183E7914">
      <w:start w:val="1"/>
      <w:numFmt w:val="bullet"/>
      <w:lvlText w:val="•"/>
      <w:lvlJc w:val="left"/>
      <w:pPr>
        <w:tabs>
          <w:tab w:val="num" w:pos="3600"/>
        </w:tabs>
        <w:ind w:left="3600" w:hanging="360"/>
      </w:pPr>
      <w:rPr>
        <w:rFonts w:ascii="Arial" w:hAnsi="Arial" w:cs="Times New Roman" w:hint="default"/>
      </w:rPr>
    </w:lvl>
    <w:lvl w:ilvl="5" w:tplc="88406854">
      <w:start w:val="1"/>
      <w:numFmt w:val="bullet"/>
      <w:lvlText w:val="•"/>
      <w:lvlJc w:val="left"/>
      <w:pPr>
        <w:tabs>
          <w:tab w:val="num" w:pos="4320"/>
        </w:tabs>
        <w:ind w:left="4320" w:hanging="360"/>
      </w:pPr>
      <w:rPr>
        <w:rFonts w:ascii="Arial" w:hAnsi="Arial" w:cs="Times New Roman" w:hint="default"/>
      </w:rPr>
    </w:lvl>
    <w:lvl w:ilvl="6" w:tplc="DBFCE988">
      <w:start w:val="1"/>
      <w:numFmt w:val="bullet"/>
      <w:lvlText w:val="•"/>
      <w:lvlJc w:val="left"/>
      <w:pPr>
        <w:tabs>
          <w:tab w:val="num" w:pos="5040"/>
        </w:tabs>
        <w:ind w:left="5040" w:hanging="360"/>
      </w:pPr>
      <w:rPr>
        <w:rFonts w:ascii="Arial" w:hAnsi="Arial" w:cs="Times New Roman" w:hint="default"/>
      </w:rPr>
    </w:lvl>
    <w:lvl w:ilvl="7" w:tplc="86A02B30">
      <w:start w:val="1"/>
      <w:numFmt w:val="bullet"/>
      <w:lvlText w:val="•"/>
      <w:lvlJc w:val="left"/>
      <w:pPr>
        <w:tabs>
          <w:tab w:val="num" w:pos="5760"/>
        </w:tabs>
        <w:ind w:left="5760" w:hanging="360"/>
      </w:pPr>
      <w:rPr>
        <w:rFonts w:ascii="Arial" w:hAnsi="Arial" w:cs="Times New Roman" w:hint="default"/>
      </w:rPr>
    </w:lvl>
    <w:lvl w:ilvl="8" w:tplc="227C5B2E">
      <w:start w:val="1"/>
      <w:numFmt w:val="bullet"/>
      <w:lvlText w:val="•"/>
      <w:lvlJc w:val="left"/>
      <w:pPr>
        <w:tabs>
          <w:tab w:val="num" w:pos="6480"/>
        </w:tabs>
        <w:ind w:left="6480" w:hanging="360"/>
      </w:pPr>
      <w:rPr>
        <w:rFonts w:ascii="Arial" w:hAnsi="Arial" w:cs="Times New Roman" w:hint="default"/>
      </w:rPr>
    </w:lvl>
  </w:abstractNum>
  <w:abstractNum w:abstractNumId="15">
    <w:nsid w:val="4F4C6CDE"/>
    <w:multiLevelType w:val="hybridMultilevel"/>
    <w:tmpl w:val="84A06E38"/>
    <w:lvl w:ilvl="0" w:tplc="04050005">
      <w:start w:val="1"/>
      <w:numFmt w:val="bullet"/>
      <w:lvlText w:val=""/>
      <w:lvlJc w:val="left"/>
      <w:pPr>
        <w:tabs>
          <w:tab w:val="num" w:pos="720"/>
        </w:tabs>
        <w:ind w:left="720" w:hanging="360"/>
      </w:pPr>
      <w:rPr>
        <w:rFonts w:ascii="Wingdings" w:hAnsi="Wingdings" w:cs="Wingdings" w:hint="default"/>
      </w:rPr>
    </w:lvl>
    <w:lvl w:ilvl="1" w:tplc="F5F67F96">
      <w:start w:val="1"/>
      <w:numFmt w:val="bullet"/>
      <w:lvlText w:val="•"/>
      <w:lvlJc w:val="left"/>
      <w:pPr>
        <w:tabs>
          <w:tab w:val="num" w:pos="1440"/>
        </w:tabs>
        <w:ind w:left="1440" w:hanging="360"/>
      </w:pPr>
      <w:rPr>
        <w:rFonts w:ascii="Arial" w:hAnsi="Arial" w:cs="Times New Roman" w:hint="default"/>
      </w:rPr>
    </w:lvl>
    <w:lvl w:ilvl="2" w:tplc="24C84F6A">
      <w:start w:val="1"/>
      <w:numFmt w:val="bullet"/>
      <w:lvlText w:val="•"/>
      <w:lvlJc w:val="left"/>
      <w:pPr>
        <w:tabs>
          <w:tab w:val="num" w:pos="2160"/>
        </w:tabs>
        <w:ind w:left="2160" w:hanging="360"/>
      </w:pPr>
      <w:rPr>
        <w:rFonts w:ascii="Arial" w:hAnsi="Arial" w:cs="Times New Roman" w:hint="default"/>
      </w:rPr>
    </w:lvl>
    <w:lvl w:ilvl="3" w:tplc="07D027D2">
      <w:start w:val="1"/>
      <w:numFmt w:val="bullet"/>
      <w:lvlText w:val="•"/>
      <w:lvlJc w:val="left"/>
      <w:pPr>
        <w:tabs>
          <w:tab w:val="num" w:pos="2880"/>
        </w:tabs>
        <w:ind w:left="2880" w:hanging="360"/>
      </w:pPr>
      <w:rPr>
        <w:rFonts w:ascii="Arial" w:hAnsi="Arial" w:cs="Times New Roman" w:hint="default"/>
      </w:rPr>
    </w:lvl>
    <w:lvl w:ilvl="4" w:tplc="00AE8BDC">
      <w:start w:val="1"/>
      <w:numFmt w:val="bullet"/>
      <w:lvlText w:val="•"/>
      <w:lvlJc w:val="left"/>
      <w:pPr>
        <w:tabs>
          <w:tab w:val="num" w:pos="3600"/>
        </w:tabs>
        <w:ind w:left="3600" w:hanging="360"/>
      </w:pPr>
      <w:rPr>
        <w:rFonts w:ascii="Arial" w:hAnsi="Arial" w:cs="Times New Roman" w:hint="default"/>
      </w:rPr>
    </w:lvl>
    <w:lvl w:ilvl="5" w:tplc="D9ECEB38">
      <w:start w:val="1"/>
      <w:numFmt w:val="bullet"/>
      <w:lvlText w:val="•"/>
      <w:lvlJc w:val="left"/>
      <w:pPr>
        <w:tabs>
          <w:tab w:val="num" w:pos="4320"/>
        </w:tabs>
        <w:ind w:left="4320" w:hanging="360"/>
      </w:pPr>
      <w:rPr>
        <w:rFonts w:ascii="Arial" w:hAnsi="Arial" w:cs="Times New Roman" w:hint="default"/>
      </w:rPr>
    </w:lvl>
    <w:lvl w:ilvl="6" w:tplc="7B2851A6">
      <w:start w:val="1"/>
      <w:numFmt w:val="bullet"/>
      <w:lvlText w:val="•"/>
      <w:lvlJc w:val="left"/>
      <w:pPr>
        <w:tabs>
          <w:tab w:val="num" w:pos="5040"/>
        </w:tabs>
        <w:ind w:left="5040" w:hanging="360"/>
      </w:pPr>
      <w:rPr>
        <w:rFonts w:ascii="Arial" w:hAnsi="Arial" w:cs="Times New Roman" w:hint="default"/>
      </w:rPr>
    </w:lvl>
    <w:lvl w:ilvl="7" w:tplc="A502B82A">
      <w:start w:val="1"/>
      <w:numFmt w:val="bullet"/>
      <w:lvlText w:val="•"/>
      <w:lvlJc w:val="left"/>
      <w:pPr>
        <w:tabs>
          <w:tab w:val="num" w:pos="5760"/>
        </w:tabs>
        <w:ind w:left="5760" w:hanging="360"/>
      </w:pPr>
      <w:rPr>
        <w:rFonts w:ascii="Arial" w:hAnsi="Arial" w:cs="Times New Roman" w:hint="default"/>
      </w:rPr>
    </w:lvl>
    <w:lvl w:ilvl="8" w:tplc="DB5C0DAC">
      <w:start w:val="1"/>
      <w:numFmt w:val="bullet"/>
      <w:lvlText w:val="•"/>
      <w:lvlJc w:val="left"/>
      <w:pPr>
        <w:tabs>
          <w:tab w:val="num" w:pos="6480"/>
        </w:tabs>
        <w:ind w:left="6480" w:hanging="360"/>
      </w:pPr>
      <w:rPr>
        <w:rFonts w:ascii="Arial" w:hAnsi="Arial" w:cs="Times New Roman" w:hint="default"/>
      </w:rPr>
    </w:lvl>
  </w:abstractNum>
  <w:abstractNum w:abstractNumId="16">
    <w:nsid w:val="54034B7A"/>
    <w:multiLevelType w:val="hybridMultilevel"/>
    <w:tmpl w:val="933C12CA"/>
    <w:lvl w:ilvl="0" w:tplc="04050005">
      <w:start w:val="1"/>
      <w:numFmt w:val="bullet"/>
      <w:lvlText w:val=""/>
      <w:lvlJc w:val="left"/>
      <w:pPr>
        <w:tabs>
          <w:tab w:val="num" w:pos="720"/>
        </w:tabs>
        <w:ind w:left="720" w:hanging="360"/>
      </w:pPr>
      <w:rPr>
        <w:rFonts w:ascii="Wingdings" w:hAnsi="Wingdings" w:cs="Wingdings" w:hint="default"/>
      </w:rPr>
    </w:lvl>
    <w:lvl w:ilvl="1" w:tplc="C3261600">
      <w:start w:val="1"/>
      <w:numFmt w:val="bullet"/>
      <w:lvlText w:val="•"/>
      <w:lvlJc w:val="left"/>
      <w:pPr>
        <w:tabs>
          <w:tab w:val="num" w:pos="1440"/>
        </w:tabs>
        <w:ind w:left="1440" w:hanging="360"/>
      </w:pPr>
      <w:rPr>
        <w:rFonts w:ascii="Arial" w:hAnsi="Arial" w:cs="Times New Roman" w:hint="default"/>
      </w:rPr>
    </w:lvl>
    <w:lvl w:ilvl="2" w:tplc="493AAEAA">
      <w:start w:val="1"/>
      <w:numFmt w:val="bullet"/>
      <w:lvlText w:val="•"/>
      <w:lvlJc w:val="left"/>
      <w:pPr>
        <w:tabs>
          <w:tab w:val="num" w:pos="2160"/>
        </w:tabs>
        <w:ind w:left="2160" w:hanging="360"/>
      </w:pPr>
      <w:rPr>
        <w:rFonts w:ascii="Arial" w:hAnsi="Arial" w:cs="Times New Roman" w:hint="default"/>
      </w:rPr>
    </w:lvl>
    <w:lvl w:ilvl="3" w:tplc="47BAFAC2">
      <w:start w:val="1"/>
      <w:numFmt w:val="bullet"/>
      <w:lvlText w:val="•"/>
      <w:lvlJc w:val="left"/>
      <w:pPr>
        <w:tabs>
          <w:tab w:val="num" w:pos="2880"/>
        </w:tabs>
        <w:ind w:left="2880" w:hanging="360"/>
      </w:pPr>
      <w:rPr>
        <w:rFonts w:ascii="Arial" w:hAnsi="Arial" w:cs="Times New Roman" w:hint="default"/>
      </w:rPr>
    </w:lvl>
    <w:lvl w:ilvl="4" w:tplc="8C528872">
      <w:start w:val="1"/>
      <w:numFmt w:val="bullet"/>
      <w:lvlText w:val="•"/>
      <w:lvlJc w:val="left"/>
      <w:pPr>
        <w:tabs>
          <w:tab w:val="num" w:pos="3600"/>
        </w:tabs>
        <w:ind w:left="3600" w:hanging="360"/>
      </w:pPr>
      <w:rPr>
        <w:rFonts w:ascii="Arial" w:hAnsi="Arial" w:cs="Times New Roman" w:hint="default"/>
      </w:rPr>
    </w:lvl>
    <w:lvl w:ilvl="5" w:tplc="E128638A">
      <w:start w:val="1"/>
      <w:numFmt w:val="bullet"/>
      <w:lvlText w:val="•"/>
      <w:lvlJc w:val="left"/>
      <w:pPr>
        <w:tabs>
          <w:tab w:val="num" w:pos="4320"/>
        </w:tabs>
        <w:ind w:left="4320" w:hanging="360"/>
      </w:pPr>
      <w:rPr>
        <w:rFonts w:ascii="Arial" w:hAnsi="Arial" w:cs="Times New Roman" w:hint="default"/>
      </w:rPr>
    </w:lvl>
    <w:lvl w:ilvl="6" w:tplc="0DEEBCEC">
      <w:start w:val="1"/>
      <w:numFmt w:val="bullet"/>
      <w:lvlText w:val="•"/>
      <w:lvlJc w:val="left"/>
      <w:pPr>
        <w:tabs>
          <w:tab w:val="num" w:pos="5040"/>
        </w:tabs>
        <w:ind w:left="5040" w:hanging="360"/>
      </w:pPr>
      <w:rPr>
        <w:rFonts w:ascii="Arial" w:hAnsi="Arial" w:cs="Times New Roman" w:hint="default"/>
      </w:rPr>
    </w:lvl>
    <w:lvl w:ilvl="7" w:tplc="4628CF38">
      <w:start w:val="1"/>
      <w:numFmt w:val="bullet"/>
      <w:lvlText w:val="•"/>
      <w:lvlJc w:val="left"/>
      <w:pPr>
        <w:tabs>
          <w:tab w:val="num" w:pos="5760"/>
        </w:tabs>
        <w:ind w:left="5760" w:hanging="360"/>
      </w:pPr>
      <w:rPr>
        <w:rFonts w:ascii="Arial" w:hAnsi="Arial" w:cs="Times New Roman" w:hint="default"/>
      </w:rPr>
    </w:lvl>
    <w:lvl w:ilvl="8" w:tplc="407409C2">
      <w:start w:val="1"/>
      <w:numFmt w:val="bullet"/>
      <w:lvlText w:val="•"/>
      <w:lvlJc w:val="left"/>
      <w:pPr>
        <w:tabs>
          <w:tab w:val="num" w:pos="6480"/>
        </w:tabs>
        <w:ind w:left="6480" w:hanging="360"/>
      </w:pPr>
      <w:rPr>
        <w:rFonts w:ascii="Arial" w:hAnsi="Arial" w:cs="Times New Roman" w:hint="default"/>
      </w:rPr>
    </w:lvl>
  </w:abstractNum>
  <w:abstractNum w:abstractNumId="17">
    <w:nsid w:val="5A1A7133"/>
    <w:multiLevelType w:val="hybridMultilevel"/>
    <w:tmpl w:val="1E74B2FA"/>
    <w:lvl w:ilvl="0" w:tplc="04050005">
      <w:start w:val="1"/>
      <w:numFmt w:val="bullet"/>
      <w:lvlText w:val=""/>
      <w:lvlJc w:val="left"/>
      <w:pPr>
        <w:tabs>
          <w:tab w:val="num" w:pos="720"/>
        </w:tabs>
        <w:ind w:left="720" w:hanging="360"/>
      </w:pPr>
      <w:rPr>
        <w:rFonts w:ascii="Wingdings" w:hAnsi="Wingdings" w:cs="Wingdings" w:hint="default"/>
      </w:rPr>
    </w:lvl>
    <w:lvl w:ilvl="1" w:tplc="34285EAC">
      <w:start w:val="1"/>
      <w:numFmt w:val="bullet"/>
      <w:lvlText w:val="•"/>
      <w:lvlJc w:val="left"/>
      <w:pPr>
        <w:tabs>
          <w:tab w:val="num" w:pos="1440"/>
        </w:tabs>
        <w:ind w:left="1440" w:hanging="360"/>
      </w:pPr>
      <w:rPr>
        <w:rFonts w:ascii="Arial" w:hAnsi="Arial" w:cs="Times New Roman" w:hint="default"/>
      </w:rPr>
    </w:lvl>
    <w:lvl w:ilvl="2" w:tplc="5072BDF2">
      <w:start w:val="1"/>
      <w:numFmt w:val="bullet"/>
      <w:lvlText w:val="•"/>
      <w:lvlJc w:val="left"/>
      <w:pPr>
        <w:tabs>
          <w:tab w:val="num" w:pos="2160"/>
        </w:tabs>
        <w:ind w:left="2160" w:hanging="360"/>
      </w:pPr>
      <w:rPr>
        <w:rFonts w:ascii="Arial" w:hAnsi="Arial" w:cs="Times New Roman" w:hint="default"/>
      </w:rPr>
    </w:lvl>
    <w:lvl w:ilvl="3" w:tplc="A3FA28B8">
      <w:start w:val="1"/>
      <w:numFmt w:val="bullet"/>
      <w:lvlText w:val="•"/>
      <w:lvlJc w:val="left"/>
      <w:pPr>
        <w:tabs>
          <w:tab w:val="num" w:pos="2880"/>
        </w:tabs>
        <w:ind w:left="2880" w:hanging="360"/>
      </w:pPr>
      <w:rPr>
        <w:rFonts w:ascii="Arial" w:hAnsi="Arial" w:cs="Times New Roman" w:hint="default"/>
      </w:rPr>
    </w:lvl>
    <w:lvl w:ilvl="4" w:tplc="85883A38">
      <w:start w:val="1"/>
      <w:numFmt w:val="bullet"/>
      <w:lvlText w:val="•"/>
      <w:lvlJc w:val="left"/>
      <w:pPr>
        <w:tabs>
          <w:tab w:val="num" w:pos="3600"/>
        </w:tabs>
        <w:ind w:left="3600" w:hanging="360"/>
      </w:pPr>
      <w:rPr>
        <w:rFonts w:ascii="Arial" w:hAnsi="Arial" w:cs="Times New Roman" w:hint="default"/>
      </w:rPr>
    </w:lvl>
    <w:lvl w:ilvl="5" w:tplc="D0E692A2">
      <w:start w:val="1"/>
      <w:numFmt w:val="bullet"/>
      <w:lvlText w:val="•"/>
      <w:lvlJc w:val="left"/>
      <w:pPr>
        <w:tabs>
          <w:tab w:val="num" w:pos="4320"/>
        </w:tabs>
        <w:ind w:left="4320" w:hanging="360"/>
      </w:pPr>
      <w:rPr>
        <w:rFonts w:ascii="Arial" w:hAnsi="Arial" w:cs="Times New Roman" w:hint="default"/>
      </w:rPr>
    </w:lvl>
    <w:lvl w:ilvl="6" w:tplc="ED22FA36">
      <w:start w:val="1"/>
      <w:numFmt w:val="bullet"/>
      <w:lvlText w:val="•"/>
      <w:lvlJc w:val="left"/>
      <w:pPr>
        <w:tabs>
          <w:tab w:val="num" w:pos="5040"/>
        </w:tabs>
        <w:ind w:left="5040" w:hanging="360"/>
      </w:pPr>
      <w:rPr>
        <w:rFonts w:ascii="Arial" w:hAnsi="Arial" w:cs="Times New Roman" w:hint="default"/>
      </w:rPr>
    </w:lvl>
    <w:lvl w:ilvl="7" w:tplc="B0FC5E80">
      <w:start w:val="1"/>
      <w:numFmt w:val="bullet"/>
      <w:lvlText w:val="•"/>
      <w:lvlJc w:val="left"/>
      <w:pPr>
        <w:tabs>
          <w:tab w:val="num" w:pos="5760"/>
        </w:tabs>
        <w:ind w:left="5760" w:hanging="360"/>
      </w:pPr>
      <w:rPr>
        <w:rFonts w:ascii="Arial" w:hAnsi="Arial" w:cs="Times New Roman" w:hint="default"/>
      </w:rPr>
    </w:lvl>
    <w:lvl w:ilvl="8" w:tplc="F070AA4C">
      <w:start w:val="1"/>
      <w:numFmt w:val="bullet"/>
      <w:lvlText w:val="•"/>
      <w:lvlJc w:val="left"/>
      <w:pPr>
        <w:tabs>
          <w:tab w:val="num" w:pos="6480"/>
        </w:tabs>
        <w:ind w:left="6480" w:hanging="360"/>
      </w:pPr>
      <w:rPr>
        <w:rFonts w:ascii="Arial" w:hAnsi="Arial" w:cs="Times New Roman" w:hint="default"/>
      </w:rPr>
    </w:lvl>
  </w:abstractNum>
  <w:abstractNum w:abstractNumId="18">
    <w:nsid w:val="5A71628F"/>
    <w:multiLevelType w:val="hybridMultilevel"/>
    <w:tmpl w:val="AED470D8"/>
    <w:lvl w:ilvl="0" w:tplc="04050005">
      <w:start w:val="1"/>
      <w:numFmt w:val="bullet"/>
      <w:lvlText w:val=""/>
      <w:lvlJc w:val="left"/>
      <w:pPr>
        <w:tabs>
          <w:tab w:val="num" w:pos="720"/>
        </w:tabs>
        <w:ind w:left="720" w:hanging="360"/>
      </w:pPr>
      <w:rPr>
        <w:rFonts w:ascii="Wingdings" w:hAnsi="Wingdings" w:cs="Wingdings" w:hint="default"/>
      </w:rPr>
    </w:lvl>
    <w:lvl w:ilvl="1" w:tplc="67FED756">
      <w:start w:val="1"/>
      <w:numFmt w:val="bullet"/>
      <w:lvlText w:val="•"/>
      <w:lvlJc w:val="left"/>
      <w:pPr>
        <w:tabs>
          <w:tab w:val="num" w:pos="1440"/>
        </w:tabs>
        <w:ind w:left="1440" w:hanging="360"/>
      </w:pPr>
      <w:rPr>
        <w:rFonts w:ascii="Arial" w:hAnsi="Arial" w:cs="Times New Roman" w:hint="default"/>
      </w:rPr>
    </w:lvl>
    <w:lvl w:ilvl="2" w:tplc="A348B460">
      <w:start w:val="1"/>
      <w:numFmt w:val="bullet"/>
      <w:lvlText w:val="•"/>
      <w:lvlJc w:val="left"/>
      <w:pPr>
        <w:tabs>
          <w:tab w:val="num" w:pos="2160"/>
        </w:tabs>
        <w:ind w:left="2160" w:hanging="360"/>
      </w:pPr>
      <w:rPr>
        <w:rFonts w:ascii="Arial" w:hAnsi="Arial" w:cs="Times New Roman" w:hint="default"/>
      </w:rPr>
    </w:lvl>
    <w:lvl w:ilvl="3" w:tplc="432C6F66">
      <w:start w:val="1"/>
      <w:numFmt w:val="bullet"/>
      <w:lvlText w:val="•"/>
      <w:lvlJc w:val="left"/>
      <w:pPr>
        <w:tabs>
          <w:tab w:val="num" w:pos="2880"/>
        </w:tabs>
        <w:ind w:left="2880" w:hanging="360"/>
      </w:pPr>
      <w:rPr>
        <w:rFonts w:ascii="Arial" w:hAnsi="Arial" w:cs="Times New Roman" w:hint="default"/>
      </w:rPr>
    </w:lvl>
    <w:lvl w:ilvl="4" w:tplc="31EA2A74">
      <w:start w:val="1"/>
      <w:numFmt w:val="bullet"/>
      <w:lvlText w:val="•"/>
      <w:lvlJc w:val="left"/>
      <w:pPr>
        <w:tabs>
          <w:tab w:val="num" w:pos="3600"/>
        </w:tabs>
        <w:ind w:left="3600" w:hanging="360"/>
      </w:pPr>
      <w:rPr>
        <w:rFonts w:ascii="Arial" w:hAnsi="Arial" w:cs="Times New Roman" w:hint="default"/>
      </w:rPr>
    </w:lvl>
    <w:lvl w:ilvl="5" w:tplc="10C22ED0">
      <w:start w:val="1"/>
      <w:numFmt w:val="bullet"/>
      <w:lvlText w:val="•"/>
      <w:lvlJc w:val="left"/>
      <w:pPr>
        <w:tabs>
          <w:tab w:val="num" w:pos="4320"/>
        </w:tabs>
        <w:ind w:left="4320" w:hanging="360"/>
      </w:pPr>
      <w:rPr>
        <w:rFonts w:ascii="Arial" w:hAnsi="Arial" w:cs="Times New Roman" w:hint="default"/>
      </w:rPr>
    </w:lvl>
    <w:lvl w:ilvl="6" w:tplc="63CAA98A">
      <w:start w:val="1"/>
      <w:numFmt w:val="bullet"/>
      <w:lvlText w:val="•"/>
      <w:lvlJc w:val="left"/>
      <w:pPr>
        <w:tabs>
          <w:tab w:val="num" w:pos="5040"/>
        </w:tabs>
        <w:ind w:left="5040" w:hanging="360"/>
      </w:pPr>
      <w:rPr>
        <w:rFonts w:ascii="Arial" w:hAnsi="Arial" w:cs="Times New Roman" w:hint="default"/>
      </w:rPr>
    </w:lvl>
    <w:lvl w:ilvl="7" w:tplc="8E5A7FF4">
      <w:start w:val="1"/>
      <w:numFmt w:val="bullet"/>
      <w:lvlText w:val="•"/>
      <w:lvlJc w:val="left"/>
      <w:pPr>
        <w:tabs>
          <w:tab w:val="num" w:pos="5760"/>
        </w:tabs>
        <w:ind w:left="5760" w:hanging="360"/>
      </w:pPr>
      <w:rPr>
        <w:rFonts w:ascii="Arial" w:hAnsi="Arial" w:cs="Times New Roman" w:hint="default"/>
      </w:rPr>
    </w:lvl>
    <w:lvl w:ilvl="8" w:tplc="2C369D62">
      <w:start w:val="1"/>
      <w:numFmt w:val="bullet"/>
      <w:lvlText w:val="•"/>
      <w:lvlJc w:val="left"/>
      <w:pPr>
        <w:tabs>
          <w:tab w:val="num" w:pos="6480"/>
        </w:tabs>
        <w:ind w:left="6480" w:hanging="360"/>
      </w:pPr>
      <w:rPr>
        <w:rFonts w:ascii="Arial" w:hAnsi="Arial" w:cs="Times New Roman" w:hint="default"/>
      </w:rPr>
    </w:lvl>
  </w:abstractNum>
  <w:abstractNum w:abstractNumId="19">
    <w:nsid w:val="5B7B4FCD"/>
    <w:multiLevelType w:val="hybridMultilevel"/>
    <w:tmpl w:val="6388F31A"/>
    <w:lvl w:ilvl="0" w:tplc="3804794A">
      <w:numFmt w:val="bullet"/>
      <w:lvlText w:val="-"/>
      <w:lvlJc w:val="left"/>
      <w:pPr>
        <w:ind w:left="720" w:hanging="360"/>
      </w:pPr>
      <w:rPr>
        <w:rFonts w:ascii="Arial" w:eastAsia="Times New Roman" w:hAnsi="Arial" w:cs="Times New Roman" w:hint="default"/>
        <w:b w:val="0"/>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nsid w:val="63713A09"/>
    <w:multiLevelType w:val="hybridMultilevel"/>
    <w:tmpl w:val="5186F5A6"/>
    <w:lvl w:ilvl="0" w:tplc="04050005">
      <w:start w:val="1"/>
      <w:numFmt w:val="bullet"/>
      <w:lvlText w:val=""/>
      <w:lvlJc w:val="left"/>
      <w:pPr>
        <w:tabs>
          <w:tab w:val="num" w:pos="720"/>
        </w:tabs>
        <w:ind w:left="720" w:hanging="360"/>
      </w:pPr>
      <w:rPr>
        <w:rFonts w:ascii="Wingdings" w:hAnsi="Wingdings" w:cs="Wingdings" w:hint="default"/>
      </w:rPr>
    </w:lvl>
    <w:lvl w:ilvl="1" w:tplc="EAFED44E">
      <w:start w:val="1"/>
      <w:numFmt w:val="bullet"/>
      <w:lvlText w:val="•"/>
      <w:lvlJc w:val="left"/>
      <w:pPr>
        <w:tabs>
          <w:tab w:val="num" w:pos="1440"/>
        </w:tabs>
        <w:ind w:left="1440" w:hanging="360"/>
      </w:pPr>
      <w:rPr>
        <w:rFonts w:ascii="Arial" w:hAnsi="Arial" w:cs="Times New Roman" w:hint="default"/>
      </w:rPr>
    </w:lvl>
    <w:lvl w:ilvl="2" w:tplc="4CF83CFA">
      <w:start w:val="1"/>
      <w:numFmt w:val="bullet"/>
      <w:lvlText w:val="•"/>
      <w:lvlJc w:val="left"/>
      <w:pPr>
        <w:tabs>
          <w:tab w:val="num" w:pos="2160"/>
        </w:tabs>
        <w:ind w:left="2160" w:hanging="360"/>
      </w:pPr>
      <w:rPr>
        <w:rFonts w:ascii="Arial" w:hAnsi="Arial" w:cs="Times New Roman" w:hint="default"/>
      </w:rPr>
    </w:lvl>
    <w:lvl w:ilvl="3" w:tplc="D1567CEC">
      <w:start w:val="1"/>
      <w:numFmt w:val="bullet"/>
      <w:lvlText w:val="•"/>
      <w:lvlJc w:val="left"/>
      <w:pPr>
        <w:tabs>
          <w:tab w:val="num" w:pos="2880"/>
        </w:tabs>
        <w:ind w:left="2880" w:hanging="360"/>
      </w:pPr>
      <w:rPr>
        <w:rFonts w:ascii="Arial" w:hAnsi="Arial" w:cs="Times New Roman" w:hint="default"/>
      </w:rPr>
    </w:lvl>
    <w:lvl w:ilvl="4" w:tplc="E18682C4">
      <w:start w:val="1"/>
      <w:numFmt w:val="bullet"/>
      <w:lvlText w:val="•"/>
      <w:lvlJc w:val="left"/>
      <w:pPr>
        <w:tabs>
          <w:tab w:val="num" w:pos="3600"/>
        </w:tabs>
        <w:ind w:left="3600" w:hanging="360"/>
      </w:pPr>
      <w:rPr>
        <w:rFonts w:ascii="Arial" w:hAnsi="Arial" w:cs="Times New Roman" w:hint="default"/>
      </w:rPr>
    </w:lvl>
    <w:lvl w:ilvl="5" w:tplc="3CD2BFE2">
      <w:start w:val="1"/>
      <w:numFmt w:val="bullet"/>
      <w:lvlText w:val="•"/>
      <w:lvlJc w:val="left"/>
      <w:pPr>
        <w:tabs>
          <w:tab w:val="num" w:pos="4320"/>
        </w:tabs>
        <w:ind w:left="4320" w:hanging="360"/>
      </w:pPr>
      <w:rPr>
        <w:rFonts w:ascii="Arial" w:hAnsi="Arial" w:cs="Times New Roman" w:hint="default"/>
      </w:rPr>
    </w:lvl>
    <w:lvl w:ilvl="6" w:tplc="EDE4E0B0">
      <w:start w:val="1"/>
      <w:numFmt w:val="bullet"/>
      <w:lvlText w:val="•"/>
      <w:lvlJc w:val="left"/>
      <w:pPr>
        <w:tabs>
          <w:tab w:val="num" w:pos="5040"/>
        </w:tabs>
        <w:ind w:left="5040" w:hanging="360"/>
      </w:pPr>
      <w:rPr>
        <w:rFonts w:ascii="Arial" w:hAnsi="Arial" w:cs="Times New Roman" w:hint="default"/>
      </w:rPr>
    </w:lvl>
    <w:lvl w:ilvl="7" w:tplc="546E50C4">
      <w:start w:val="1"/>
      <w:numFmt w:val="bullet"/>
      <w:lvlText w:val="•"/>
      <w:lvlJc w:val="left"/>
      <w:pPr>
        <w:tabs>
          <w:tab w:val="num" w:pos="5760"/>
        </w:tabs>
        <w:ind w:left="5760" w:hanging="360"/>
      </w:pPr>
      <w:rPr>
        <w:rFonts w:ascii="Arial" w:hAnsi="Arial" w:cs="Times New Roman" w:hint="default"/>
      </w:rPr>
    </w:lvl>
    <w:lvl w:ilvl="8" w:tplc="CE7E72EA">
      <w:start w:val="1"/>
      <w:numFmt w:val="bullet"/>
      <w:lvlText w:val="•"/>
      <w:lvlJc w:val="left"/>
      <w:pPr>
        <w:tabs>
          <w:tab w:val="num" w:pos="6480"/>
        </w:tabs>
        <w:ind w:left="6480" w:hanging="360"/>
      </w:pPr>
      <w:rPr>
        <w:rFonts w:ascii="Arial" w:hAnsi="Arial" w:cs="Times New Roman" w:hint="default"/>
      </w:rPr>
    </w:lvl>
  </w:abstractNum>
  <w:abstractNum w:abstractNumId="21">
    <w:nsid w:val="63C41532"/>
    <w:multiLevelType w:val="hybridMultilevel"/>
    <w:tmpl w:val="C7FA72B2"/>
    <w:lvl w:ilvl="0" w:tplc="04050005">
      <w:start w:val="1"/>
      <w:numFmt w:val="bullet"/>
      <w:lvlText w:val=""/>
      <w:lvlJc w:val="left"/>
      <w:pPr>
        <w:tabs>
          <w:tab w:val="num" w:pos="720"/>
        </w:tabs>
        <w:ind w:left="720" w:hanging="360"/>
      </w:pPr>
      <w:rPr>
        <w:rFonts w:ascii="Wingdings" w:hAnsi="Wingdings" w:cs="Wingdings" w:hint="default"/>
      </w:rPr>
    </w:lvl>
    <w:lvl w:ilvl="1" w:tplc="B43263CC">
      <w:start w:val="1"/>
      <w:numFmt w:val="bullet"/>
      <w:lvlText w:val="•"/>
      <w:lvlJc w:val="left"/>
      <w:pPr>
        <w:tabs>
          <w:tab w:val="num" w:pos="1440"/>
        </w:tabs>
        <w:ind w:left="1440" w:hanging="360"/>
      </w:pPr>
      <w:rPr>
        <w:rFonts w:ascii="Arial" w:hAnsi="Arial" w:cs="Times New Roman" w:hint="default"/>
      </w:rPr>
    </w:lvl>
    <w:lvl w:ilvl="2" w:tplc="DF5419D8">
      <w:start w:val="1"/>
      <w:numFmt w:val="bullet"/>
      <w:lvlText w:val="•"/>
      <w:lvlJc w:val="left"/>
      <w:pPr>
        <w:tabs>
          <w:tab w:val="num" w:pos="2160"/>
        </w:tabs>
        <w:ind w:left="2160" w:hanging="360"/>
      </w:pPr>
      <w:rPr>
        <w:rFonts w:ascii="Arial" w:hAnsi="Arial" w:cs="Times New Roman" w:hint="default"/>
      </w:rPr>
    </w:lvl>
    <w:lvl w:ilvl="3" w:tplc="F6608CDC">
      <w:start w:val="1"/>
      <w:numFmt w:val="bullet"/>
      <w:lvlText w:val="•"/>
      <w:lvlJc w:val="left"/>
      <w:pPr>
        <w:tabs>
          <w:tab w:val="num" w:pos="2880"/>
        </w:tabs>
        <w:ind w:left="2880" w:hanging="360"/>
      </w:pPr>
      <w:rPr>
        <w:rFonts w:ascii="Arial" w:hAnsi="Arial" w:cs="Times New Roman" w:hint="default"/>
      </w:rPr>
    </w:lvl>
    <w:lvl w:ilvl="4" w:tplc="68785162">
      <w:start w:val="1"/>
      <w:numFmt w:val="bullet"/>
      <w:lvlText w:val="•"/>
      <w:lvlJc w:val="left"/>
      <w:pPr>
        <w:tabs>
          <w:tab w:val="num" w:pos="3600"/>
        </w:tabs>
        <w:ind w:left="3600" w:hanging="360"/>
      </w:pPr>
      <w:rPr>
        <w:rFonts w:ascii="Arial" w:hAnsi="Arial" w:cs="Times New Roman" w:hint="default"/>
      </w:rPr>
    </w:lvl>
    <w:lvl w:ilvl="5" w:tplc="A5C6103A">
      <w:start w:val="1"/>
      <w:numFmt w:val="bullet"/>
      <w:lvlText w:val="•"/>
      <w:lvlJc w:val="left"/>
      <w:pPr>
        <w:tabs>
          <w:tab w:val="num" w:pos="4320"/>
        </w:tabs>
        <w:ind w:left="4320" w:hanging="360"/>
      </w:pPr>
      <w:rPr>
        <w:rFonts w:ascii="Arial" w:hAnsi="Arial" w:cs="Times New Roman" w:hint="default"/>
      </w:rPr>
    </w:lvl>
    <w:lvl w:ilvl="6" w:tplc="DBD64572">
      <w:start w:val="1"/>
      <w:numFmt w:val="bullet"/>
      <w:lvlText w:val="•"/>
      <w:lvlJc w:val="left"/>
      <w:pPr>
        <w:tabs>
          <w:tab w:val="num" w:pos="5040"/>
        </w:tabs>
        <w:ind w:left="5040" w:hanging="360"/>
      </w:pPr>
      <w:rPr>
        <w:rFonts w:ascii="Arial" w:hAnsi="Arial" w:cs="Times New Roman" w:hint="default"/>
      </w:rPr>
    </w:lvl>
    <w:lvl w:ilvl="7" w:tplc="8514CC30">
      <w:start w:val="1"/>
      <w:numFmt w:val="bullet"/>
      <w:lvlText w:val="•"/>
      <w:lvlJc w:val="left"/>
      <w:pPr>
        <w:tabs>
          <w:tab w:val="num" w:pos="5760"/>
        </w:tabs>
        <w:ind w:left="5760" w:hanging="360"/>
      </w:pPr>
      <w:rPr>
        <w:rFonts w:ascii="Arial" w:hAnsi="Arial" w:cs="Times New Roman" w:hint="default"/>
      </w:rPr>
    </w:lvl>
    <w:lvl w:ilvl="8" w:tplc="0400B3E8">
      <w:start w:val="1"/>
      <w:numFmt w:val="bullet"/>
      <w:lvlText w:val="•"/>
      <w:lvlJc w:val="left"/>
      <w:pPr>
        <w:tabs>
          <w:tab w:val="num" w:pos="6480"/>
        </w:tabs>
        <w:ind w:left="6480" w:hanging="360"/>
      </w:pPr>
      <w:rPr>
        <w:rFonts w:ascii="Arial" w:hAnsi="Arial" w:cs="Times New Roman" w:hint="default"/>
      </w:rPr>
    </w:lvl>
  </w:abstractNum>
  <w:abstractNum w:abstractNumId="22">
    <w:nsid w:val="649449D3"/>
    <w:multiLevelType w:val="hybridMultilevel"/>
    <w:tmpl w:val="AC362B8A"/>
    <w:lvl w:ilvl="0" w:tplc="FBDCD8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6AE4090"/>
    <w:multiLevelType w:val="hybridMultilevel"/>
    <w:tmpl w:val="3202CA9E"/>
    <w:lvl w:ilvl="0" w:tplc="04050005">
      <w:start w:val="1"/>
      <w:numFmt w:val="bullet"/>
      <w:lvlText w:val=""/>
      <w:lvlJc w:val="left"/>
      <w:pPr>
        <w:tabs>
          <w:tab w:val="num" w:pos="720"/>
        </w:tabs>
        <w:ind w:left="720" w:hanging="360"/>
      </w:pPr>
      <w:rPr>
        <w:rFonts w:ascii="Wingdings" w:hAnsi="Wingdings" w:cs="Wingdings" w:hint="default"/>
      </w:rPr>
    </w:lvl>
    <w:lvl w:ilvl="1" w:tplc="3D0EAA8E">
      <w:start w:val="1"/>
      <w:numFmt w:val="bullet"/>
      <w:lvlText w:val="•"/>
      <w:lvlJc w:val="left"/>
      <w:pPr>
        <w:tabs>
          <w:tab w:val="num" w:pos="1440"/>
        </w:tabs>
        <w:ind w:left="1440" w:hanging="360"/>
      </w:pPr>
      <w:rPr>
        <w:rFonts w:ascii="Arial" w:hAnsi="Arial" w:cs="Times New Roman" w:hint="default"/>
      </w:rPr>
    </w:lvl>
    <w:lvl w:ilvl="2" w:tplc="B4CC817C">
      <w:start w:val="1"/>
      <w:numFmt w:val="bullet"/>
      <w:lvlText w:val="•"/>
      <w:lvlJc w:val="left"/>
      <w:pPr>
        <w:tabs>
          <w:tab w:val="num" w:pos="2160"/>
        </w:tabs>
        <w:ind w:left="2160" w:hanging="360"/>
      </w:pPr>
      <w:rPr>
        <w:rFonts w:ascii="Arial" w:hAnsi="Arial" w:cs="Times New Roman" w:hint="default"/>
      </w:rPr>
    </w:lvl>
    <w:lvl w:ilvl="3" w:tplc="E3944730">
      <w:start w:val="1"/>
      <w:numFmt w:val="bullet"/>
      <w:lvlText w:val="•"/>
      <w:lvlJc w:val="left"/>
      <w:pPr>
        <w:tabs>
          <w:tab w:val="num" w:pos="2880"/>
        </w:tabs>
        <w:ind w:left="2880" w:hanging="360"/>
      </w:pPr>
      <w:rPr>
        <w:rFonts w:ascii="Arial" w:hAnsi="Arial" w:cs="Times New Roman" w:hint="default"/>
      </w:rPr>
    </w:lvl>
    <w:lvl w:ilvl="4" w:tplc="8188C402">
      <w:start w:val="1"/>
      <w:numFmt w:val="bullet"/>
      <w:lvlText w:val="•"/>
      <w:lvlJc w:val="left"/>
      <w:pPr>
        <w:tabs>
          <w:tab w:val="num" w:pos="3600"/>
        </w:tabs>
        <w:ind w:left="3600" w:hanging="360"/>
      </w:pPr>
      <w:rPr>
        <w:rFonts w:ascii="Arial" w:hAnsi="Arial" w:cs="Times New Roman" w:hint="default"/>
      </w:rPr>
    </w:lvl>
    <w:lvl w:ilvl="5" w:tplc="19785CFC">
      <w:start w:val="1"/>
      <w:numFmt w:val="bullet"/>
      <w:lvlText w:val="•"/>
      <w:lvlJc w:val="left"/>
      <w:pPr>
        <w:tabs>
          <w:tab w:val="num" w:pos="4320"/>
        </w:tabs>
        <w:ind w:left="4320" w:hanging="360"/>
      </w:pPr>
      <w:rPr>
        <w:rFonts w:ascii="Arial" w:hAnsi="Arial" w:cs="Times New Roman" w:hint="default"/>
      </w:rPr>
    </w:lvl>
    <w:lvl w:ilvl="6" w:tplc="87C05032">
      <w:start w:val="1"/>
      <w:numFmt w:val="bullet"/>
      <w:lvlText w:val="•"/>
      <w:lvlJc w:val="left"/>
      <w:pPr>
        <w:tabs>
          <w:tab w:val="num" w:pos="5040"/>
        </w:tabs>
        <w:ind w:left="5040" w:hanging="360"/>
      </w:pPr>
      <w:rPr>
        <w:rFonts w:ascii="Arial" w:hAnsi="Arial" w:cs="Times New Roman" w:hint="default"/>
      </w:rPr>
    </w:lvl>
    <w:lvl w:ilvl="7" w:tplc="EA1CC996">
      <w:start w:val="1"/>
      <w:numFmt w:val="bullet"/>
      <w:lvlText w:val="•"/>
      <w:lvlJc w:val="left"/>
      <w:pPr>
        <w:tabs>
          <w:tab w:val="num" w:pos="5760"/>
        </w:tabs>
        <w:ind w:left="5760" w:hanging="360"/>
      </w:pPr>
      <w:rPr>
        <w:rFonts w:ascii="Arial" w:hAnsi="Arial" w:cs="Times New Roman" w:hint="default"/>
      </w:rPr>
    </w:lvl>
    <w:lvl w:ilvl="8" w:tplc="021C521E">
      <w:start w:val="1"/>
      <w:numFmt w:val="bullet"/>
      <w:lvlText w:val="•"/>
      <w:lvlJc w:val="left"/>
      <w:pPr>
        <w:tabs>
          <w:tab w:val="num" w:pos="6480"/>
        </w:tabs>
        <w:ind w:left="6480" w:hanging="360"/>
      </w:pPr>
      <w:rPr>
        <w:rFonts w:ascii="Arial" w:hAnsi="Arial" w:cs="Times New Roman" w:hint="default"/>
      </w:rPr>
    </w:lvl>
  </w:abstractNum>
  <w:abstractNum w:abstractNumId="24">
    <w:nsid w:val="790740F1"/>
    <w:multiLevelType w:val="hybridMultilevel"/>
    <w:tmpl w:val="32287300"/>
    <w:lvl w:ilvl="0" w:tplc="04050005">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nsid w:val="7AF67EE3"/>
    <w:multiLevelType w:val="hybridMultilevel"/>
    <w:tmpl w:val="1E227B62"/>
    <w:lvl w:ilvl="0" w:tplc="04050005">
      <w:start w:val="1"/>
      <w:numFmt w:val="bullet"/>
      <w:lvlText w:val=""/>
      <w:lvlJc w:val="left"/>
      <w:pPr>
        <w:ind w:left="1080" w:hanging="360"/>
      </w:pPr>
      <w:rPr>
        <w:rFonts w:ascii="Wingdings" w:hAnsi="Wingdings" w:cs="Wingding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6">
    <w:nsid w:val="7E7B0C53"/>
    <w:multiLevelType w:val="hybridMultilevel"/>
    <w:tmpl w:val="D8E0AFCE"/>
    <w:lvl w:ilvl="0" w:tplc="2C760790">
      <w:start w:val="1"/>
      <w:numFmt w:val="bullet"/>
      <w:lvlText w:val="•"/>
      <w:lvlJc w:val="left"/>
      <w:pPr>
        <w:tabs>
          <w:tab w:val="num" w:pos="720"/>
        </w:tabs>
        <w:ind w:left="720" w:hanging="360"/>
      </w:pPr>
      <w:rPr>
        <w:rFonts w:ascii="Arial" w:hAnsi="Arial" w:cs="Times New Roman"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64BE2C70">
      <w:start w:val="1"/>
      <w:numFmt w:val="bullet"/>
      <w:lvlText w:val="•"/>
      <w:lvlJc w:val="left"/>
      <w:pPr>
        <w:tabs>
          <w:tab w:val="num" w:pos="2160"/>
        </w:tabs>
        <w:ind w:left="2160" w:hanging="360"/>
      </w:pPr>
      <w:rPr>
        <w:rFonts w:ascii="Arial" w:hAnsi="Arial" w:cs="Times New Roman" w:hint="default"/>
      </w:rPr>
    </w:lvl>
    <w:lvl w:ilvl="3" w:tplc="117874E4">
      <w:start w:val="1"/>
      <w:numFmt w:val="bullet"/>
      <w:lvlText w:val="•"/>
      <w:lvlJc w:val="left"/>
      <w:pPr>
        <w:tabs>
          <w:tab w:val="num" w:pos="2880"/>
        </w:tabs>
        <w:ind w:left="2880" w:hanging="360"/>
      </w:pPr>
      <w:rPr>
        <w:rFonts w:ascii="Arial" w:hAnsi="Arial" w:cs="Times New Roman" w:hint="default"/>
      </w:rPr>
    </w:lvl>
    <w:lvl w:ilvl="4" w:tplc="F22C3308">
      <w:start w:val="1"/>
      <w:numFmt w:val="bullet"/>
      <w:lvlText w:val="•"/>
      <w:lvlJc w:val="left"/>
      <w:pPr>
        <w:tabs>
          <w:tab w:val="num" w:pos="3600"/>
        </w:tabs>
        <w:ind w:left="3600" w:hanging="360"/>
      </w:pPr>
      <w:rPr>
        <w:rFonts w:ascii="Arial" w:hAnsi="Arial" w:cs="Times New Roman" w:hint="default"/>
      </w:rPr>
    </w:lvl>
    <w:lvl w:ilvl="5" w:tplc="337C93E2">
      <w:start w:val="1"/>
      <w:numFmt w:val="bullet"/>
      <w:lvlText w:val="•"/>
      <w:lvlJc w:val="left"/>
      <w:pPr>
        <w:tabs>
          <w:tab w:val="num" w:pos="4320"/>
        </w:tabs>
        <w:ind w:left="4320" w:hanging="360"/>
      </w:pPr>
      <w:rPr>
        <w:rFonts w:ascii="Arial" w:hAnsi="Arial" w:cs="Times New Roman" w:hint="default"/>
      </w:rPr>
    </w:lvl>
    <w:lvl w:ilvl="6" w:tplc="C50AAAA2">
      <w:start w:val="1"/>
      <w:numFmt w:val="bullet"/>
      <w:lvlText w:val="•"/>
      <w:lvlJc w:val="left"/>
      <w:pPr>
        <w:tabs>
          <w:tab w:val="num" w:pos="5040"/>
        </w:tabs>
        <w:ind w:left="5040" w:hanging="360"/>
      </w:pPr>
      <w:rPr>
        <w:rFonts w:ascii="Arial" w:hAnsi="Arial" w:cs="Times New Roman" w:hint="default"/>
      </w:rPr>
    </w:lvl>
    <w:lvl w:ilvl="7" w:tplc="8A6CE64E">
      <w:start w:val="1"/>
      <w:numFmt w:val="bullet"/>
      <w:lvlText w:val="•"/>
      <w:lvlJc w:val="left"/>
      <w:pPr>
        <w:tabs>
          <w:tab w:val="num" w:pos="5760"/>
        </w:tabs>
        <w:ind w:left="5760" w:hanging="360"/>
      </w:pPr>
      <w:rPr>
        <w:rFonts w:ascii="Arial" w:hAnsi="Arial" w:cs="Times New Roman" w:hint="default"/>
      </w:rPr>
    </w:lvl>
    <w:lvl w:ilvl="8" w:tplc="C9B810B6">
      <w:start w:val="1"/>
      <w:numFmt w:val="bullet"/>
      <w:lvlText w:val="•"/>
      <w:lvlJc w:val="left"/>
      <w:pPr>
        <w:tabs>
          <w:tab w:val="num" w:pos="6480"/>
        </w:tabs>
        <w:ind w:left="6480" w:hanging="360"/>
      </w:pPr>
      <w:rPr>
        <w:rFonts w:ascii="Arial" w:hAnsi="Arial" w:cs="Times New Roman" w:hint="default"/>
      </w:rPr>
    </w:lvl>
  </w:abstractNum>
  <w:num w:numId="1">
    <w:abstractNumId w:val="13"/>
  </w:num>
  <w:num w:numId="2">
    <w:abstractNumId w:val="26"/>
  </w:num>
  <w:num w:numId="3">
    <w:abstractNumId w:val="20"/>
  </w:num>
  <w:num w:numId="4">
    <w:abstractNumId w:val="16"/>
  </w:num>
  <w:num w:numId="5">
    <w:abstractNumId w:val="14"/>
  </w:num>
  <w:num w:numId="6">
    <w:abstractNumId w:val="23"/>
  </w:num>
  <w:num w:numId="7">
    <w:abstractNumId w:val="5"/>
  </w:num>
  <w:num w:numId="8">
    <w:abstractNumId w:val="24"/>
  </w:num>
  <w:num w:numId="9">
    <w:abstractNumId w:val="9"/>
  </w:num>
  <w:num w:numId="10">
    <w:abstractNumId w:val="6"/>
  </w:num>
  <w:num w:numId="11">
    <w:abstractNumId w:val="15"/>
  </w:num>
  <w:num w:numId="12">
    <w:abstractNumId w:val="4"/>
  </w:num>
  <w:num w:numId="13">
    <w:abstractNumId w:val="11"/>
  </w:num>
  <w:num w:numId="14">
    <w:abstractNumId w:val="7"/>
  </w:num>
  <w:num w:numId="15">
    <w:abstractNumId w:val="0"/>
  </w:num>
  <w:num w:numId="16">
    <w:abstractNumId w:val="12"/>
  </w:num>
  <w:num w:numId="17">
    <w:abstractNumId w:val="18"/>
  </w:num>
  <w:num w:numId="18">
    <w:abstractNumId w:val="3"/>
  </w:num>
  <w:num w:numId="19">
    <w:abstractNumId w:val="17"/>
  </w:num>
  <w:num w:numId="20">
    <w:abstractNumId w:val="25"/>
  </w:num>
  <w:num w:numId="21">
    <w:abstractNumId w:val="8"/>
  </w:num>
  <w:num w:numId="22">
    <w:abstractNumId w:val="21"/>
  </w:num>
  <w:num w:numId="23">
    <w:abstractNumId w:val="1"/>
    <w:lvlOverride w:ilvl="0">
      <w:startOverride w:val="1"/>
    </w:lvlOverride>
    <w:lvlOverride w:ilvl="1"/>
    <w:lvlOverride w:ilvl="2">
      <w:startOverride w:val="1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9"/>
  </w:num>
  <w:num w:numId="26">
    <w:abstractNumId w:val="2"/>
  </w:num>
  <w:num w:numId="27">
    <w:abstractNumId w:val="2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DA"/>
    <w:rsid w:val="00014FE6"/>
    <w:rsid w:val="00021B18"/>
    <w:rsid w:val="00043C19"/>
    <w:rsid w:val="00050623"/>
    <w:rsid w:val="000633F1"/>
    <w:rsid w:val="00087AE5"/>
    <w:rsid w:val="00090592"/>
    <w:rsid w:val="000B4252"/>
    <w:rsid w:val="000C2EEB"/>
    <w:rsid w:val="000C7A2C"/>
    <w:rsid w:val="000C7CE5"/>
    <w:rsid w:val="000E58B5"/>
    <w:rsid w:val="00105061"/>
    <w:rsid w:val="00112FEB"/>
    <w:rsid w:val="0014239B"/>
    <w:rsid w:val="00161AA0"/>
    <w:rsid w:val="00163029"/>
    <w:rsid w:val="001678D7"/>
    <w:rsid w:val="0019141F"/>
    <w:rsid w:val="001A0543"/>
    <w:rsid w:val="001A6260"/>
    <w:rsid w:val="001B2C4F"/>
    <w:rsid w:val="001B7159"/>
    <w:rsid w:val="001C7EB7"/>
    <w:rsid w:val="001D7C80"/>
    <w:rsid w:val="001F2E3B"/>
    <w:rsid w:val="001F3C73"/>
    <w:rsid w:val="001F7016"/>
    <w:rsid w:val="00200235"/>
    <w:rsid w:val="002008B8"/>
    <w:rsid w:val="00204C27"/>
    <w:rsid w:val="00236B1B"/>
    <w:rsid w:val="00260989"/>
    <w:rsid w:val="002853C1"/>
    <w:rsid w:val="002A656E"/>
    <w:rsid w:val="002D59D6"/>
    <w:rsid w:val="002F4EF8"/>
    <w:rsid w:val="002F57DD"/>
    <w:rsid w:val="002F7D5A"/>
    <w:rsid w:val="00302357"/>
    <w:rsid w:val="00311170"/>
    <w:rsid w:val="0032149C"/>
    <w:rsid w:val="00354C80"/>
    <w:rsid w:val="00364DFB"/>
    <w:rsid w:val="00370042"/>
    <w:rsid w:val="0037597B"/>
    <w:rsid w:val="00387C04"/>
    <w:rsid w:val="00397121"/>
    <w:rsid w:val="003A13D9"/>
    <w:rsid w:val="003C1008"/>
    <w:rsid w:val="003D33C5"/>
    <w:rsid w:val="003D7D28"/>
    <w:rsid w:val="00415CC7"/>
    <w:rsid w:val="00426057"/>
    <w:rsid w:val="004359B9"/>
    <w:rsid w:val="00446CBB"/>
    <w:rsid w:val="0048301D"/>
    <w:rsid w:val="004A3F94"/>
    <w:rsid w:val="004C1AB7"/>
    <w:rsid w:val="004C6C29"/>
    <w:rsid w:val="004E2F34"/>
    <w:rsid w:val="004F343D"/>
    <w:rsid w:val="00556CA1"/>
    <w:rsid w:val="00565EDA"/>
    <w:rsid w:val="00572ABD"/>
    <w:rsid w:val="00573862"/>
    <w:rsid w:val="005B15EE"/>
    <w:rsid w:val="005B57C4"/>
    <w:rsid w:val="005B7140"/>
    <w:rsid w:val="005C5526"/>
    <w:rsid w:val="005E42A8"/>
    <w:rsid w:val="005F220A"/>
    <w:rsid w:val="00605D4F"/>
    <w:rsid w:val="006312FC"/>
    <w:rsid w:val="00644586"/>
    <w:rsid w:val="00666411"/>
    <w:rsid w:val="006739B6"/>
    <w:rsid w:val="006753B7"/>
    <w:rsid w:val="00695975"/>
    <w:rsid w:val="007227DD"/>
    <w:rsid w:val="0072300B"/>
    <w:rsid w:val="007364CF"/>
    <w:rsid w:val="00747ED8"/>
    <w:rsid w:val="00753E3E"/>
    <w:rsid w:val="0077508F"/>
    <w:rsid w:val="00791A46"/>
    <w:rsid w:val="0079491A"/>
    <w:rsid w:val="0079526E"/>
    <w:rsid w:val="007A340C"/>
    <w:rsid w:val="007D313F"/>
    <w:rsid w:val="007E2F73"/>
    <w:rsid w:val="007E325A"/>
    <w:rsid w:val="007F717B"/>
    <w:rsid w:val="008149EC"/>
    <w:rsid w:val="00816911"/>
    <w:rsid w:val="008353F0"/>
    <w:rsid w:val="00851621"/>
    <w:rsid w:val="00857649"/>
    <w:rsid w:val="00886988"/>
    <w:rsid w:val="0089354C"/>
    <w:rsid w:val="008D3BF4"/>
    <w:rsid w:val="008F0C5F"/>
    <w:rsid w:val="008F3A26"/>
    <w:rsid w:val="009043B7"/>
    <w:rsid w:val="00911FA0"/>
    <w:rsid w:val="0091796D"/>
    <w:rsid w:val="009256AC"/>
    <w:rsid w:val="0095526E"/>
    <w:rsid w:val="00961013"/>
    <w:rsid w:val="0097208F"/>
    <w:rsid w:val="00983495"/>
    <w:rsid w:val="00991F03"/>
    <w:rsid w:val="00995A77"/>
    <w:rsid w:val="00997220"/>
    <w:rsid w:val="009B0ABC"/>
    <w:rsid w:val="009B5B0B"/>
    <w:rsid w:val="009C5D11"/>
    <w:rsid w:val="009C76B8"/>
    <w:rsid w:val="009E13D6"/>
    <w:rsid w:val="009E2617"/>
    <w:rsid w:val="009F743C"/>
    <w:rsid w:val="00A00547"/>
    <w:rsid w:val="00A0724A"/>
    <w:rsid w:val="00A1240E"/>
    <w:rsid w:val="00A20279"/>
    <w:rsid w:val="00A444DC"/>
    <w:rsid w:val="00A46161"/>
    <w:rsid w:val="00A60489"/>
    <w:rsid w:val="00A60E71"/>
    <w:rsid w:val="00A64E53"/>
    <w:rsid w:val="00A657EF"/>
    <w:rsid w:val="00A94BC4"/>
    <w:rsid w:val="00AF71B3"/>
    <w:rsid w:val="00B1085E"/>
    <w:rsid w:val="00B1299C"/>
    <w:rsid w:val="00B1368C"/>
    <w:rsid w:val="00B15992"/>
    <w:rsid w:val="00B404C7"/>
    <w:rsid w:val="00B53174"/>
    <w:rsid w:val="00B54F2E"/>
    <w:rsid w:val="00B62414"/>
    <w:rsid w:val="00B666E1"/>
    <w:rsid w:val="00B76037"/>
    <w:rsid w:val="00B86C15"/>
    <w:rsid w:val="00BB26B9"/>
    <w:rsid w:val="00BB33B9"/>
    <w:rsid w:val="00BD5CDA"/>
    <w:rsid w:val="00C026A5"/>
    <w:rsid w:val="00C35411"/>
    <w:rsid w:val="00C3573C"/>
    <w:rsid w:val="00C55566"/>
    <w:rsid w:val="00C61DBF"/>
    <w:rsid w:val="00C647FB"/>
    <w:rsid w:val="00C67475"/>
    <w:rsid w:val="00C816CE"/>
    <w:rsid w:val="00C923CF"/>
    <w:rsid w:val="00CA4D0B"/>
    <w:rsid w:val="00CC52BA"/>
    <w:rsid w:val="00CC5B4A"/>
    <w:rsid w:val="00CD0043"/>
    <w:rsid w:val="00CF0C84"/>
    <w:rsid w:val="00D14F42"/>
    <w:rsid w:val="00D32D6D"/>
    <w:rsid w:val="00D3446D"/>
    <w:rsid w:val="00D63F33"/>
    <w:rsid w:val="00D66975"/>
    <w:rsid w:val="00D90A67"/>
    <w:rsid w:val="00DB6E0B"/>
    <w:rsid w:val="00DC26F8"/>
    <w:rsid w:val="00E37F6E"/>
    <w:rsid w:val="00E54DD2"/>
    <w:rsid w:val="00E82C83"/>
    <w:rsid w:val="00E83F0E"/>
    <w:rsid w:val="00E9775B"/>
    <w:rsid w:val="00EA5557"/>
    <w:rsid w:val="00EB3D24"/>
    <w:rsid w:val="00EC75F1"/>
    <w:rsid w:val="00ED121D"/>
    <w:rsid w:val="00ED5253"/>
    <w:rsid w:val="00F25257"/>
    <w:rsid w:val="00F8225A"/>
    <w:rsid w:val="00FD24BB"/>
    <w:rsid w:val="00FD2DC5"/>
    <w:rsid w:val="00FD2E08"/>
    <w:rsid w:val="00FE7F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D5CDA"/>
    <w:pPr>
      <w:spacing w:after="67" w:line="307" w:lineRule="auto"/>
      <w:ind w:right="4" w:firstLine="698"/>
      <w:jc w:val="both"/>
    </w:pPr>
    <w:rPr>
      <w:rFonts w:ascii="Times New Roman" w:eastAsia="Times New Roman" w:hAnsi="Times New Roman" w:cs="Times New Roman"/>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rsid w:val="00BD5CDA"/>
    <w:pPr>
      <w:spacing w:after="0" w:line="240" w:lineRule="auto"/>
    </w:pPr>
    <w:rPr>
      <w:rFonts w:eastAsiaTheme="minorEastAsia"/>
      <w:lang w:val="en-US"/>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BD5CDA"/>
    <w:rPr>
      <w:sz w:val="16"/>
      <w:szCs w:val="16"/>
    </w:rPr>
  </w:style>
  <w:style w:type="paragraph" w:styleId="Textkomentra">
    <w:name w:val="annotation text"/>
    <w:basedOn w:val="Normlny"/>
    <w:link w:val="TextkomentraChar"/>
    <w:uiPriority w:val="99"/>
    <w:semiHidden/>
    <w:unhideWhenUsed/>
    <w:rsid w:val="00BD5CDA"/>
    <w:pPr>
      <w:spacing w:line="240" w:lineRule="auto"/>
    </w:pPr>
    <w:rPr>
      <w:sz w:val="20"/>
      <w:szCs w:val="20"/>
    </w:rPr>
  </w:style>
  <w:style w:type="character" w:customStyle="1" w:styleId="TextkomentraChar">
    <w:name w:val="Text komentára Char"/>
    <w:basedOn w:val="Predvolenpsmoodseku"/>
    <w:link w:val="Textkomentra"/>
    <w:uiPriority w:val="99"/>
    <w:semiHidden/>
    <w:rsid w:val="00BD5CDA"/>
    <w:rPr>
      <w:rFonts w:ascii="Times New Roman" w:eastAsia="Times New Roman" w:hAnsi="Times New Roman" w:cs="Times New Roman"/>
      <w:color w:val="000000"/>
      <w:sz w:val="20"/>
      <w:szCs w:val="20"/>
      <w:lang w:val="en-US"/>
    </w:rPr>
  </w:style>
  <w:style w:type="paragraph" w:styleId="Textbubliny">
    <w:name w:val="Balloon Text"/>
    <w:basedOn w:val="Normlny"/>
    <w:link w:val="TextbublinyChar"/>
    <w:uiPriority w:val="99"/>
    <w:semiHidden/>
    <w:unhideWhenUsed/>
    <w:rsid w:val="00BD5C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D5CDA"/>
    <w:rPr>
      <w:rFonts w:ascii="Tahoma" w:eastAsia="Times New Roman" w:hAnsi="Tahoma" w:cs="Tahoma"/>
      <w:color w:val="000000"/>
      <w:sz w:val="16"/>
      <w:szCs w:val="16"/>
      <w:lang w:val="en-US"/>
    </w:rPr>
  </w:style>
  <w:style w:type="paragraph" w:customStyle="1" w:styleId="Default">
    <w:name w:val="Default"/>
    <w:rsid w:val="00087A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
    <w:basedOn w:val="Predvolenpsmoodseku"/>
    <w:link w:val="Odsekzoznamu"/>
    <w:uiPriority w:val="34"/>
    <w:locked/>
    <w:rsid w:val="00A00547"/>
  </w:style>
  <w:style w:type="paragraph" w:styleId="Odsekzoznamu">
    <w:name w:val="List Paragraph"/>
    <w:aliases w:val="body,Odsek zoznamu2"/>
    <w:basedOn w:val="Normlny"/>
    <w:link w:val="OdsekzoznamuChar"/>
    <w:uiPriority w:val="34"/>
    <w:qFormat/>
    <w:rsid w:val="00A00547"/>
    <w:pPr>
      <w:spacing w:after="200" w:line="276" w:lineRule="auto"/>
      <w:ind w:left="720" w:right="0" w:firstLine="0"/>
      <w:contextualSpacing/>
      <w:jc w:val="left"/>
    </w:pPr>
    <w:rPr>
      <w:rFonts w:asciiTheme="minorHAnsi" w:eastAsiaTheme="minorHAnsi" w:hAnsiTheme="minorHAnsi" w:cstheme="minorBidi"/>
      <w:color w:val="auto"/>
      <w:sz w:val="22"/>
    </w:rPr>
  </w:style>
  <w:style w:type="table" w:styleId="Mriekatabuky">
    <w:name w:val="Table Grid"/>
    <w:basedOn w:val="Normlnatabuka"/>
    <w:uiPriority w:val="59"/>
    <w:rsid w:val="00A00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169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6911"/>
    <w:rPr>
      <w:rFonts w:ascii="Times New Roman" w:eastAsia="Times New Roman" w:hAnsi="Times New Roman" w:cs="Times New Roman"/>
      <w:color w:val="000000"/>
      <w:sz w:val="24"/>
      <w:lang w:val="en-US"/>
    </w:rPr>
  </w:style>
  <w:style w:type="paragraph" w:styleId="Textpoznmkypodiarou">
    <w:name w:val="footnote text"/>
    <w:aliases w:val="Text poznámky pod čiarou 007,_Poznámka pod čiarou,Text poznámky pod èiarou 007"/>
    <w:basedOn w:val="Normlny"/>
    <w:link w:val="TextpoznmkypodiarouChar"/>
    <w:semiHidden/>
    <w:rsid w:val="00B404C7"/>
    <w:pPr>
      <w:spacing w:after="0" w:line="240" w:lineRule="auto"/>
      <w:ind w:right="0" w:firstLine="0"/>
      <w:jc w:val="left"/>
    </w:pPr>
    <w:rPr>
      <w:color w:val="auto"/>
      <w:sz w:val="20"/>
      <w:szCs w:val="20"/>
      <w:lang w:eastAsia="sk-SK"/>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semiHidden/>
    <w:rsid w:val="00B404C7"/>
    <w:rPr>
      <w:rFonts w:ascii="Times New Roman" w:eastAsia="Times New Roman" w:hAnsi="Times New Roman" w:cs="Times New Roman"/>
      <w:sz w:val="20"/>
      <w:szCs w:val="20"/>
      <w:lang w:eastAsia="sk-SK"/>
    </w:rPr>
  </w:style>
  <w:style w:type="character" w:styleId="Odkaznapoznmkupodiarou">
    <w:name w:val="footnote reference"/>
    <w:basedOn w:val="Predvolenpsmoodseku"/>
    <w:semiHidden/>
    <w:rsid w:val="00B404C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D5CDA"/>
    <w:pPr>
      <w:spacing w:after="67" w:line="307" w:lineRule="auto"/>
      <w:ind w:right="4" w:firstLine="698"/>
      <w:jc w:val="both"/>
    </w:pPr>
    <w:rPr>
      <w:rFonts w:ascii="Times New Roman" w:eastAsia="Times New Roman" w:hAnsi="Times New Roman" w:cs="Times New Roman"/>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rsid w:val="00BD5CDA"/>
    <w:pPr>
      <w:spacing w:after="0" w:line="240" w:lineRule="auto"/>
    </w:pPr>
    <w:rPr>
      <w:rFonts w:eastAsiaTheme="minorEastAsia"/>
      <w:lang w:val="en-US"/>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BD5CDA"/>
    <w:rPr>
      <w:sz w:val="16"/>
      <w:szCs w:val="16"/>
    </w:rPr>
  </w:style>
  <w:style w:type="paragraph" w:styleId="Textkomentra">
    <w:name w:val="annotation text"/>
    <w:basedOn w:val="Normlny"/>
    <w:link w:val="TextkomentraChar"/>
    <w:uiPriority w:val="99"/>
    <w:semiHidden/>
    <w:unhideWhenUsed/>
    <w:rsid w:val="00BD5CDA"/>
    <w:pPr>
      <w:spacing w:line="240" w:lineRule="auto"/>
    </w:pPr>
    <w:rPr>
      <w:sz w:val="20"/>
      <w:szCs w:val="20"/>
    </w:rPr>
  </w:style>
  <w:style w:type="character" w:customStyle="1" w:styleId="TextkomentraChar">
    <w:name w:val="Text komentára Char"/>
    <w:basedOn w:val="Predvolenpsmoodseku"/>
    <w:link w:val="Textkomentra"/>
    <w:uiPriority w:val="99"/>
    <w:semiHidden/>
    <w:rsid w:val="00BD5CDA"/>
    <w:rPr>
      <w:rFonts w:ascii="Times New Roman" w:eastAsia="Times New Roman" w:hAnsi="Times New Roman" w:cs="Times New Roman"/>
      <w:color w:val="000000"/>
      <w:sz w:val="20"/>
      <w:szCs w:val="20"/>
      <w:lang w:val="en-US"/>
    </w:rPr>
  </w:style>
  <w:style w:type="paragraph" w:styleId="Textbubliny">
    <w:name w:val="Balloon Text"/>
    <w:basedOn w:val="Normlny"/>
    <w:link w:val="TextbublinyChar"/>
    <w:uiPriority w:val="99"/>
    <w:semiHidden/>
    <w:unhideWhenUsed/>
    <w:rsid w:val="00BD5C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D5CDA"/>
    <w:rPr>
      <w:rFonts w:ascii="Tahoma" w:eastAsia="Times New Roman" w:hAnsi="Tahoma" w:cs="Tahoma"/>
      <w:color w:val="000000"/>
      <w:sz w:val="16"/>
      <w:szCs w:val="16"/>
      <w:lang w:val="en-US"/>
    </w:rPr>
  </w:style>
  <w:style w:type="paragraph" w:customStyle="1" w:styleId="Default">
    <w:name w:val="Default"/>
    <w:rsid w:val="00087A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
    <w:basedOn w:val="Predvolenpsmoodseku"/>
    <w:link w:val="Odsekzoznamu"/>
    <w:uiPriority w:val="34"/>
    <w:locked/>
    <w:rsid w:val="00A00547"/>
  </w:style>
  <w:style w:type="paragraph" w:styleId="Odsekzoznamu">
    <w:name w:val="List Paragraph"/>
    <w:aliases w:val="body,Odsek zoznamu2"/>
    <w:basedOn w:val="Normlny"/>
    <w:link w:val="OdsekzoznamuChar"/>
    <w:uiPriority w:val="34"/>
    <w:qFormat/>
    <w:rsid w:val="00A00547"/>
    <w:pPr>
      <w:spacing w:after="200" w:line="276" w:lineRule="auto"/>
      <w:ind w:left="720" w:right="0" w:firstLine="0"/>
      <w:contextualSpacing/>
      <w:jc w:val="left"/>
    </w:pPr>
    <w:rPr>
      <w:rFonts w:asciiTheme="minorHAnsi" w:eastAsiaTheme="minorHAnsi" w:hAnsiTheme="minorHAnsi" w:cstheme="minorBidi"/>
      <w:color w:val="auto"/>
      <w:sz w:val="22"/>
    </w:rPr>
  </w:style>
  <w:style w:type="table" w:styleId="Mriekatabuky">
    <w:name w:val="Table Grid"/>
    <w:basedOn w:val="Normlnatabuka"/>
    <w:uiPriority w:val="59"/>
    <w:rsid w:val="00A00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169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6911"/>
    <w:rPr>
      <w:rFonts w:ascii="Times New Roman" w:eastAsia="Times New Roman" w:hAnsi="Times New Roman" w:cs="Times New Roman"/>
      <w:color w:val="000000"/>
      <w:sz w:val="24"/>
      <w:lang w:val="en-US"/>
    </w:rPr>
  </w:style>
  <w:style w:type="paragraph" w:styleId="Textpoznmkypodiarou">
    <w:name w:val="footnote text"/>
    <w:aliases w:val="Text poznámky pod čiarou 007,_Poznámka pod čiarou,Text poznámky pod èiarou 007"/>
    <w:basedOn w:val="Normlny"/>
    <w:link w:val="TextpoznmkypodiarouChar"/>
    <w:semiHidden/>
    <w:rsid w:val="00B404C7"/>
    <w:pPr>
      <w:spacing w:after="0" w:line="240" w:lineRule="auto"/>
      <w:ind w:right="0" w:firstLine="0"/>
      <w:jc w:val="left"/>
    </w:pPr>
    <w:rPr>
      <w:color w:val="auto"/>
      <w:sz w:val="20"/>
      <w:szCs w:val="20"/>
      <w:lang w:eastAsia="sk-SK"/>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semiHidden/>
    <w:rsid w:val="00B404C7"/>
    <w:rPr>
      <w:rFonts w:ascii="Times New Roman" w:eastAsia="Times New Roman" w:hAnsi="Times New Roman" w:cs="Times New Roman"/>
      <w:sz w:val="20"/>
      <w:szCs w:val="20"/>
      <w:lang w:eastAsia="sk-SK"/>
    </w:rPr>
  </w:style>
  <w:style w:type="character" w:styleId="Odkaznapoznmkupodiarou">
    <w:name w:val="footnote reference"/>
    <w:basedOn w:val="Predvolenpsmoodseku"/>
    <w:semiHidden/>
    <w:rsid w:val="00B404C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839554">
      <w:bodyDiv w:val="1"/>
      <w:marLeft w:val="0"/>
      <w:marRight w:val="0"/>
      <w:marTop w:val="0"/>
      <w:marBottom w:val="0"/>
      <w:divBdr>
        <w:top w:val="none" w:sz="0" w:space="0" w:color="auto"/>
        <w:left w:val="none" w:sz="0" w:space="0" w:color="auto"/>
        <w:bottom w:val="none" w:sz="0" w:space="0" w:color="auto"/>
        <w:right w:val="none" w:sz="0" w:space="0" w:color="auto"/>
      </w:divBdr>
    </w:div>
    <w:div w:id="1667896336">
      <w:bodyDiv w:val="1"/>
      <w:marLeft w:val="0"/>
      <w:marRight w:val="0"/>
      <w:marTop w:val="0"/>
      <w:marBottom w:val="0"/>
      <w:divBdr>
        <w:top w:val="none" w:sz="0" w:space="0" w:color="auto"/>
        <w:left w:val="none" w:sz="0" w:space="0" w:color="auto"/>
        <w:bottom w:val="none" w:sz="0" w:space="0" w:color="auto"/>
        <w:right w:val="none" w:sz="0" w:space="0" w:color="auto"/>
      </w:divBdr>
    </w:div>
    <w:div w:id="2138260374">
      <w:bodyDiv w:val="1"/>
      <w:marLeft w:val="0"/>
      <w:marRight w:val="0"/>
      <w:marTop w:val="0"/>
      <w:marBottom w:val="0"/>
      <w:divBdr>
        <w:top w:val="none" w:sz="0" w:space="0" w:color="auto"/>
        <w:left w:val="none" w:sz="0" w:space="0" w:color="auto"/>
        <w:bottom w:val="none" w:sz="0" w:space="0" w:color="auto"/>
        <w:right w:val="none" w:sz="0" w:space="0" w:color="auto"/>
      </w:divBdr>
      <w:divsChild>
        <w:div w:id="1329794696">
          <w:marLeft w:val="0"/>
          <w:marRight w:val="0"/>
          <w:marTop w:val="0"/>
          <w:marBottom w:val="0"/>
          <w:divBdr>
            <w:top w:val="none" w:sz="0" w:space="0" w:color="auto"/>
            <w:left w:val="none" w:sz="0" w:space="0" w:color="auto"/>
            <w:bottom w:val="none" w:sz="0" w:space="0" w:color="auto"/>
            <w:right w:val="none" w:sz="0" w:space="0" w:color="auto"/>
          </w:divBdr>
          <w:divsChild>
            <w:div w:id="1062799162">
              <w:marLeft w:val="0"/>
              <w:marRight w:val="0"/>
              <w:marTop w:val="0"/>
              <w:marBottom w:val="0"/>
              <w:divBdr>
                <w:top w:val="none" w:sz="0" w:space="0" w:color="auto"/>
                <w:left w:val="none" w:sz="0" w:space="0" w:color="auto"/>
                <w:bottom w:val="none" w:sz="0" w:space="0" w:color="auto"/>
                <w:right w:val="none" w:sz="0" w:space="0" w:color="auto"/>
              </w:divBdr>
              <w:divsChild>
                <w:div w:id="9576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9A3B-B567-46CB-B55F-1F0E1FB4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6853</Words>
  <Characters>39063</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MPRR SR</Company>
  <LinksUpToDate>false</LinksUpToDate>
  <CharactersWithSpaces>45825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Šubová Zuzana</dc:creator>
  <cp:lastModifiedBy>Kočanová Ivana</cp:lastModifiedBy>
  <cp:revision>2</cp:revision>
  <cp:lastPrinted>2016-05-26T12:55:00Z</cp:lastPrinted>
  <dcterms:created xsi:type="dcterms:W3CDTF">2016-07-27T05:47:00Z</dcterms:created>
  <dcterms:modified xsi:type="dcterms:W3CDTF">2016-07-27T05:47:00Z</dcterms:modified>
</cp:coreProperties>
</file>