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CA" w:rsidRDefault="00FC0DCA" w:rsidP="00FC0DCA">
      <w:pPr>
        <w:pStyle w:val="Odsekzoznamu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:rsidR="00FC0DCA" w:rsidRDefault="00FC0DCA" w:rsidP="00FC0DCA">
      <w:pPr>
        <w:pStyle w:val="Odsekzoznamu"/>
        <w:ind w:left="1080"/>
        <w:jc w:val="center"/>
        <w:rPr>
          <w:b/>
          <w:sz w:val="28"/>
          <w:szCs w:val="28"/>
        </w:rPr>
      </w:pPr>
    </w:p>
    <w:p w:rsidR="00FC0DCA" w:rsidRDefault="00FC0DCA" w:rsidP="00FC0DCA">
      <w:pPr>
        <w:pStyle w:val="Odsekzoznamu"/>
        <w:ind w:left="0" w:firstLine="0"/>
        <w:rPr>
          <w:b/>
          <w:sz w:val="28"/>
          <w:szCs w:val="28"/>
        </w:rPr>
      </w:pPr>
    </w:p>
    <w:p w:rsidR="00FC0DCA" w:rsidRDefault="00FC0DCA" w:rsidP="00FC0DCA">
      <w:pPr>
        <w:rPr>
          <w:b/>
          <w:i/>
        </w:rPr>
      </w:pPr>
      <w:r>
        <w:rPr>
          <w:b/>
          <w:i/>
        </w:rPr>
        <w:t>Osobitná časť</w:t>
      </w:r>
    </w:p>
    <w:p w:rsidR="00FC0DCA" w:rsidRDefault="00FC0DCA" w:rsidP="00474802">
      <w:pPr>
        <w:spacing w:line="256" w:lineRule="auto"/>
        <w:jc w:val="both"/>
        <w:rPr>
          <w:b/>
        </w:rPr>
      </w:pPr>
    </w:p>
    <w:p w:rsidR="001C405B" w:rsidRDefault="001C405B" w:rsidP="00474802">
      <w:pPr>
        <w:spacing w:line="256" w:lineRule="auto"/>
        <w:jc w:val="both"/>
        <w:rPr>
          <w:b/>
        </w:rPr>
      </w:pPr>
      <w:r w:rsidRPr="00D95E66">
        <w:t>Návrh zákona bol iniciovaný dodatočnými požiadavkami zo strany Európskej komisie (ďalej len „Komisia“), ktoré sú zhrnuté v štyroch bodoch s potrebou ich zapracovania do zákona č. 24/2006 Z. z. o posudzovaní vplyvov na životné prostredie a o zmene a doplnení niektorých zákonov v znení neskorších predpisov (ďalej len „zákon“) najneskôr do konca roka 2016.</w:t>
      </w:r>
      <w:r>
        <w:t xml:space="preserve"> </w:t>
      </w:r>
      <w:r w:rsidRPr="00D95E66">
        <w:t xml:space="preserve">Odstránenie transpozičného deficitu prostredníctvom predmetného návrhu zároveň priamo súvisí s plnením všeobecnej ex </w:t>
      </w:r>
      <w:proofErr w:type="spellStart"/>
      <w:r w:rsidRPr="00D95E66">
        <w:t>ante</w:t>
      </w:r>
      <w:proofErr w:type="spellEnd"/>
      <w:r w:rsidRPr="00D95E66">
        <w:t xml:space="preserve"> </w:t>
      </w:r>
      <w:proofErr w:type="spellStart"/>
      <w:r w:rsidRPr="00D95E66">
        <w:t>kondicionality</w:t>
      </w:r>
      <w:proofErr w:type="spellEnd"/>
      <w:r w:rsidRPr="00D95E66">
        <w:t xml:space="preserve"> v oblasti EIA/SEA, ktorá je podmienkou čerpania prostriedkov z Európskych štrukturálnych a investičných fondov v rámci dotknutých operačných programov pre programové obdobie 2014 - 2020.</w:t>
      </w:r>
    </w:p>
    <w:p w:rsidR="001C405B" w:rsidRDefault="001C405B" w:rsidP="00474802">
      <w:pPr>
        <w:spacing w:line="256" w:lineRule="auto"/>
        <w:jc w:val="both"/>
        <w:rPr>
          <w:b/>
        </w:rPr>
      </w:pPr>
    </w:p>
    <w:p w:rsidR="00F33910" w:rsidRDefault="00F33910" w:rsidP="00474802">
      <w:pPr>
        <w:spacing w:line="256" w:lineRule="auto"/>
        <w:jc w:val="both"/>
        <w:rPr>
          <w:b/>
        </w:rPr>
      </w:pPr>
      <w:r>
        <w:rPr>
          <w:b/>
        </w:rPr>
        <w:t>Čl. I</w:t>
      </w:r>
    </w:p>
    <w:p w:rsidR="00FC0DCA" w:rsidRDefault="00FC0DCA" w:rsidP="00474802">
      <w:pPr>
        <w:spacing w:line="256" w:lineRule="auto"/>
        <w:jc w:val="both"/>
        <w:rPr>
          <w:b/>
        </w:rPr>
      </w:pPr>
      <w:r>
        <w:rPr>
          <w:b/>
        </w:rPr>
        <w:t xml:space="preserve">K bodu 1:  </w:t>
      </w:r>
    </w:p>
    <w:p w:rsidR="00DF07B5" w:rsidRPr="00F67E16" w:rsidRDefault="00791B66" w:rsidP="00474802">
      <w:pPr>
        <w:jc w:val="both"/>
        <w:rPr>
          <w:b/>
        </w:rPr>
      </w:pPr>
      <w:r w:rsidRPr="00F67E16">
        <w:t>Č</w:t>
      </w:r>
      <w:r w:rsidR="00DF07B5" w:rsidRPr="00F67E16">
        <w:t>lánok 5(3) bod d</w:t>
      </w:r>
      <w:r w:rsidR="00157A93" w:rsidRPr="00F67E16">
        <w:t>)</w:t>
      </w:r>
      <w:r w:rsidR="00DF07B5" w:rsidRPr="00F67E16">
        <w:t xml:space="preserve"> a príloha IV bod 2</w:t>
      </w:r>
      <w:r w:rsidR="00157A93" w:rsidRPr="00F67E16">
        <w:t xml:space="preserve"> </w:t>
      </w:r>
      <w:r w:rsidR="004D4186" w:rsidRPr="00F67E16">
        <w:t>Smernice</w:t>
      </w:r>
      <w:r w:rsidR="00DF07B5" w:rsidRPr="00F67E16">
        <w:t xml:space="preserve"> </w:t>
      </w:r>
      <w:r w:rsidR="004D4186" w:rsidRPr="00F67E16">
        <w:t>EIA</w:t>
      </w:r>
      <w:r w:rsidR="0060611E">
        <w:t xml:space="preserve">, </w:t>
      </w:r>
      <w:r w:rsidR="004D4186" w:rsidRPr="00F67E16">
        <w:t xml:space="preserve"> </w:t>
      </w:r>
      <w:r w:rsidR="0060611E">
        <w:t>okrem iného</w:t>
      </w:r>
      <w:r w:rsidR="00DF07B5" w:rsidRPr="00F67E16">
        <w:t xml:space="preserve"> stanovenie </w:t>
      </w:r>
      <w:r w:rsidR="0060611E">
        <w:t xml:space="preserve">uvádza </w:t>
      </w:r>
      <w:r w:rsidR="00DF07B5" w:rsidRPr="00F67E16">
        <w:t>požiadavk</w:t>
      </w:r>
      <w:r w:rsidR="0060611E">
        <w:t>u</w:t>
      </w:r>
      <w:r w:rsidRPr="00F67E16">
        <w:t>,</w:t>
      </w:r>
      <w:r w:rsidR="00DF07B5" w:rsidRPr="00F67E16">
        <w:t xml:space="preserve"> aby </w:t>
      </w:r>
      <w:r w:rsidR="0060611E">
        <w:t>navrhovateľ</w:t>
      </w:r>
      <w:r w:rsidR="00DF07B5" w:rsidRPr="00F67E16">
        <w:t xml:space="preserve"> pri výbere z hlavných alternatív musel brať do úvahy </w:t>
      </w:r>
      <w:r w:rsidR="005D4919">
        <w:t>vplyvy na životné prostredie.</w:t>
      </w:r>
    </w:p>
    <w:p w:rsidR="00A60C82" w:rsidRDefault="001943FB" w:rsidP="00A60C82">
      <w:pPr>
        <w:widowControl/>
        <w:adjustRightInd/>
        <w:spacing w:before="120"/>
        <w:jc w:val="both"/>
        <w:rPr>
          <w:szCs w:val="20"/>
          <w:lang w:eastAsia="en-US"/>
        </w:rPr>
      </w:pPr>
      <w:r w:rsidRPr="00AE7B01">
        <w:rPr>
          <w:szCs w:val="20"/>
          <w:lang w:eastAsia="en-US"/>
        </w:rPr>
        <w:t xml:space="preserve">Do textu </w:t>
      </w:r>
      <w:r w:rsidR="00157A93">
        <w:rPr>
          <w:szCs w:val="20"/>
          <w:lang w:eastAsia="en-US"/>
        </w:rPr>
        <w:t xml:space="preserve">návrhu </w:t>
      </w:r>
      <w:r w:rsidRPr="00AE7B01">
        <w:rPr>
          <w:szCs w:val="20"/>
          <w:lang w:eastAsia="en-US"/>
        </w:rPr>
        <w:t>zákona</w:t>
      </w:r>
      <w:r w:rsidR="00157A93">
        <w:rPr>
          <w:szCs w:val="20"/>
          <w:lang w:eastAsia="en-US"/>
        </w:rPr>
        <w:t>,</w:t>
      </w:r>
      <w:r w:rsidRPr="00AE7B01">
        <w:rPr>
          <w:szCs w:val="20"/>
          <w:lang w:eastAsia="en-US"/>
        </w:rPr>
        <w:t xml:space="preserve"> upravujúceho predkladanie a náležitosti zámeru</w:t>
      </w:r>
      <w:r w:rsidR="00157A93">
        <w:rPr>
          <w:szCs w:val="20"/>
          <w:lang w:eastAsia="en-US"/>
        </w:rPr>
        <w:t>,</w:t>
      </w:r>
      <w:r w:rsidRPr="00AE7B01">
        <w:rPr>
          <w:szCs w:val="20"/>
          <w:lang w:eastAsia="en-US"/>
        </w:rPr>
        <w:t xml:space="preserve"> </w:t>
      </w:r>
      <w:r w:rsidR="006B46FD">
        <w:rPr>
          <w:szCs w:val="20"/>
          <w:lang w:eastAsia="en-US"/>
        </w:rPr>
        <w:t>je</w:t>
      </w:r>
      <w:r w:rsidR="006B46FD" w:rsidRPr="00AE7B01">
        <w:rPr>
          <w:szCs w:val="20"/>
          <w:lang w:eastAsia="en-US"/>
        </w:rPr>
        <w:t xml:space="preserve"> </w:t>
      </w:r>
      <w:r w:rsidR="00E56568" w:rsidRPr="00AE7B01">
        <w:rPr>
          <w:szCs w:val="20"/>
          <w:lang w:eastAsia="en-US"/>
        </w:rPr>
        <w:t>doplnená formulácia zdôrazňujúca povinnosť navrhovateľa pri vyhodnocovaní viacerých variantov brať do úvahy predovšetkým a</w:t>
      </w:r>
      <w:r w:rsidRPr="00AE7B01">
        <w:rPr>
          <w:szCs w:val="20"/>
          <w:lang w:eastAsia="en-US"/>
        </w:rPr>
        <w:t> </w:t>
      </w:r>
      <w:r w:rsidR="00E56568" w:rsidRPr="00AE7B01">
        <w:rPr>
          <w:szCs w:val="20"/>
          <w:lang w:eastAsia="en-US"/>
        </w:rPr>
        <w:t>hlavne</w:t>
      </w:r>
      <w:r w:rsidRPr="00AE7B01">
        <w:rPr>
          <w:szCs w:val="20"/>
          <w:lang w:eastAsia="en-US"/>
        </w:rPr>
        <w:t>, okrem finančných, technických a</w:t>
      </w:r>
      <w:r w:rsidR="00157A93">
        <w:rPr>
          <w:szCs w:val="20"/>
          <w:lang w:eastAsia="en-US"/>
        </w:rPr>
        <w:t> ďalších</w:t>
      </w:r>
      <w:r w:rsidRPr="00AE7B01">
        <w:rPr>
          <w:szCs w:val="20"/>
          <w:lang w:eastAsia="en-US"/>
        </w:rPr>
        <w:t>,</w:t>
      </w:r>
      <w:r w:rsidR="00157A93">
        <w:rPr>
          <w:szCs w:val="20"/>
          <w:lang w:eastAsia="en-US"/>
        </w:rPr>
        <w:t xml:space="preserve"> aj</w:t>
      </w:r>
      <w:r w:rsidR="00E56568" w:rsidRPr="00AE7B01">
        <w:rPr>
          <w:szCs w:val="20"/>
          <w:lang w:eastAsia="en-US"/>
        </w:rPr>
        <w:t xml:space="preserve"> </w:t>
      </w:r>
      <w:r w:rsidR="005D4919">
        <w:rPr>
          <w:szCs w:val="20"/>
          <w:lang w:eastAsia="en-US"/>
        </w:rPr>
        <w:t>vplyvy na životné prostredie</w:t>
      </w:r>
      <w:r w:rsidR="00E56568" w:rsidRPr="00AE7B01">
        <w:rPr>
          <w:szCs w:val="20"/>
          <w:lang w:eastAsia="en-US"/>
        </w:rPr>
        <w:t>.</w:t>
      </w:r>
    </w:p>
    <w:p w:rsidR="00157FF9" w:rsidRPr="00846F93" w:rsidRDefault="00846F93" w:rsidP="00A60C82">
      <w:pPr>
        <w:widowControl/>
        <w:adjustRightInd/>
        <w:spacing w:before="120"/>
        <w:jc w:val="both"/>
        <w:rPr>
          <w:b/>
          <w:szCs w:val="20"/>
          <w:lang w:eastAsia="en-US"/>
        </w:rPr>
      </w:pPr>
      <w:r w:rsidRPr="00846F93">
        <w:rPr>
          <w:b/>
          <w:szCs w:val="20"/>
          <w:lang w:eastAsia="en-US"/>
        </w:rPr>
        <w:t>K bodu 2:</w:t>
      </w:r>
    </w:p>
    <w:p w:rsidR="00846F93" w:rsidRDefault="00846F93" w:rsidP="00A60C82">
      <w:pPr>
        <w:widowControl/>
        <w:adjustRightInd/>
        <w:spacing w:before="120"/>
        <w:jc w:val="both"/>
        <w:rPr>
          <w:szCs w:val="20"/>
          <w:lang w:eastAsia="en-US"/>
        </w:rPr>
      </w:pPr>
      <w:r w:rsidRPr="00846F93">
        <w:rPr>
          <w:szCs w:val="20"/>
          <w:lang w:eastAsia="en-US"/>
        </w:rPr>
        <w:t xml:space="preserve">Článok 11 ods. 5. </w:t>
      </w:r>
      <w:r>
        <w:rPr>
          <w:szCs w:val="20"/>
          <w:lang w:eastAsia="en-US"/>
        </w:rPr>
        <w:t>p</w:t>
      </w:r>
      <w:r w:rsidRPr="00846F93">
        <w:rPr>
          <w:szCs w:val="20"/>
          <w:lang w:eastAsia="en-US"/>
        </w:rPr>
        <w:t xml:space="preserve">odľa smernice EIA </w:t>
      </w:r>
      <w:r w:rsidR="00242224">
        <w:rPr>
          <w:szCs w:val="20"/>
          <w:lang w:eastAsia="en-US"/>
        </w:rPr>
        <w:t xml:space="preserve">uvádza, že </w:t>
      </w:r>
      <w:r w:rsidRPr="00846F93">
        <w:rPr>
          <w:szCs w:val="20"/>
          <w:lang w:eastAsia="en-US"/>
        </w:rPr>
        <w:t xml:space="preserve">členské štáty s cieľom posilniť účinnosť ustanovení tohto článku zabezpečia, aby boli verejnosti dostupné praktické informácie o prístupe k správnemu a súdnemu preskúmaniu. </w:t>
      </w:r>
    </w:p>
    <w:p w:rsidR="00846F93" w:rsidRPr="00157FF9" w:rsidRDefault="00846F93" w:rsidP="00A60C82">
      <w:pPr>
        <w:widowControl/>
        <w:adjustRightInd/>
        <w:spacing w:before="120"/>
        <w:jc w:val="both"/>
        <w:rPr>
          <w:szCs w:val="20"/>
          <w:lang w:eastAsia="en-US"/>
        </w:rPr>
      </w:pPr>
      <w:r w:rsidRPr="00242224">
        <w:rPr>
          <w:szCs w:val="20"/>
          <w:lang w:eastAsia="en-US"/>
        </w:rPr>
        <w:t xml:space="preserve">Uvedená požiadavka je riešená v § 24 pridaním textu, že verejnosť bude, okrem iného, informovaná aj o praktických informáciách prístupu ku správnemu a súdnemu konaniu a zároveň </w:t>
      </w:r>
      <w:r w:rsidR="00A62277" w:rsidRPr="00242224">
        <w:rPr>
          <w:szCs w:val="20"/>
          <w:lang w:eastAsia="en-US"/>
        </w:rPr>
        <w:t xml:space="preserve">sa úpravou § 58 zabezpečí zverejnenie </w:t>
      </w:r>
      <w:r w:rsidR="0060611E" w:rsidRPr="00242224">
        <w:rPr>
          <w:szCs w:val="20"/>
          <w:lang w:eastAsia="en-US"/>
        </w:rPr>
        <w:t>praktických informácií na webovom sídle</w:t>
      </w:r>
      <w:r w:rsidR="00A62277" w:rsidRPr="00242224">
        <w:rPr>
          <w:szCs w:val="20"/>
          <w:lang w:eastAsia="en-US"/>
        </w:rPr>
        <w:t>.</w:t>
      </w:r>
    </w:p>
    <w:p w:rsidR="00A60C82" w:rsidRPr="00EE4639" w:rsidRDefault="00A60C82" w:rsidP="00A60C82">
      <w:pPr>
        <w:widowControl/>
        <w:adjustRightInd/>
        <w:spacing w:before="120"/>
        <w:jc w:val="both"/>
        <w:rPr>
          <w:b/>
        </w:rPr>
      </w:pPr>
      <w:r w:rsidRPr="00EE4639">
        <w:rPr>
          <w:b/>
        </w:rPr>
        <w:t>K </w:t>
      </w:r>
      <w:r w:rsidR="00D95E88" w:rsidRPr="00EE4639">
        <w:rPr>
          <w:b/>
        </w:rPr>
        <w:t>bod</w:t>
      </w:r>
      <w:r w:rsidR="00EE4639" w:rsidRPr="00EE4639">
        <w:rPr>
          <w:b/>
        </w:rPr>
        <w:t>om</w:t>
      </w:r>
      <w:r w:rsidR="00D95E88" w:rsidRPr="00EE4639">
        <w:rPr>
          <w:b/>
        </w:rPr>
        <w:t xml:space="preserve"> </w:t>
      </w:r>
      <w:r w:rsidR="00846F93" w:rsidRPr="00EE4639">
        <w:rPr>
          <w:b/>
        </w:rPr>
        <w:t>3</w:t>
      </w:r>
      <w:r w:rsidR="00A62277" w:rsidRPr="00EE4639">
        <w:rPr>
          <w:b/>
        </w:rPr>
        <w:t xml:space="preserve"> a</w:t>
      </w:r>
      <w:r w:rsidR="00EE4639" w:rsidRPr="00EE4639">
        <w:rPr>
          <w:b/>
        </w:rPr>
        <w:t>ž</w:t>
      </w:r>
      <w:r w:rsidR="00A62277" w:rsidRPr="00EE4639">
        <w:rPr>
          <w:b/>
        </w:rPr>
        <w:t xml:space="preserve"> </w:t>
      </w:r>
      <w:r w:rsidR="00EE4639" w:rsidRPr="00EE4639">
        <w:rPr>
          <w:b/>
        </w:rPr>
        <w:t>5</w:t>
      </w:r>
      <w:r w:rsidRPr="00EE4639">
        <w:rPr>
          <w:b/>
        </w:rPr>
        <w:t>:</w:t>
      </w:r>
    </w:p>
    <w:p w:rsidR="00157FF9" w:rsidRPr="00EE4639" w:rsidRDefault="00157FF9" w:rsidP="00157FF9">
      <w:pPr>
        <w:widowControl/>
        <w:adjustRightInd/>
        <w:spacing w:before="120"/>
        <w:jc w:val="both"/>
      </w:pPr>
      <w:r w:rsidRPr="00EE4639">
        <w:t>Článok 6 (2) písmeno d) Smernice EIA–</w:t>
      </w:r>
      <w:r w:rsidR="00242224" w:rsidRPr="00EE4639">
        <w:t xml:space="preserve"> </w:t>
      </w:r>
      <w:r w:rsidRPr="00EE4639">
        <w:t>vyžaduje, v prípade existencie návrhu rozhodnutia ak taký existuje, zabezpečiť informovanosť verejnosti o tomto návrhu. V zákone o posudzovaní vplyvov je toto upravené v § 37 ods. 2, podľa ktorého sa návrh záverečného stanoviska prerokováva s vybranými subjektmi</w:t>
      </w:r>
      <w:r w:rsidR="00242224" w:rsidRPr="00EE4639">
        <w:t xml:space="preserve"> </w:t>
      </w:r>
      <w:r w:rsidRPr="00EE4639">
        <w:t>bez účasti verejnosti. Podľa všeobecných podmienok vydávania rozhodnutí podľa Správneho poriadku sa takýto postup nevyžaduje. Odstránením povinnosti prerokovať návrh záverečného stanoviska s vybratými subjektami  v návrhu zákona dôjde k zosúladeniu s požiadavkou smernice EIA.</w:t>
      </w:r>
      <w:r w:rsidR="00242224" w:rsidRPr="00EE4639">
        <w:t xml:space="preserve"> Takáto úprava zohľadňuje celý proces ako súhrn administratívno</w:t>
      </w:r>
      <w:r w:rsidR="00EE4639" w:rsidRPr="00EE4639">
        <w:t>-</w:t>
      </w:r>
      <w:r w:rsidR="00242224" w:rsidRPr="00EE4639">
        <w:t xml:space="preserve">správnych postupov vytvárajúcich platformu pre vydanie rozhodnutia, ktorým je v tomto prípade záverečné stanovisko. </w:t>
      </w:r>
      <w:r w:rsidR="00EE4639" w:rsidRPr="00EE4639">
        <w:t>V kontexte tejto zmeny je vykonaná úprava znenia § 36 ods. 7 a aj § 37 ods. 4</w:t>
      </w:r>
    </w:p>
    <w:p w:rsidR="00EE4639" w:rsidRDefault="00EE4639" w:rsidP="004D4186">
      <w:pPr>
        <w:widowControl/>
        <w:adjustRightInd/>
        <w:jc w:val="both"/>
        <w:rPr>
          <w:rFonts w:eastAsia="Calibri"/>
          <w:b/>
          <w:lang w:eastAsia="en-US"/>
        </w:rPr>
      </w:pPr>
    </w:p>
    <w:p w:rsidR="00A04FBC" w:rsidRDefault="00A04FBC" w:rsidP="004D4186">
      <w:pPr>
        <w:widowControl/>
        <w:adjustRightInd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 bodu 6</w:t>
      </w:r>
    </w:p>
    <w:p w:rsidR="00A04FBC" w:rsidRDefault="00A04FBC" w:rsidP="004D4186">
      <w:pPr>
        <w:widowControl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Ustanovuje sa prechodné ustanovenie k úpravám účinným od 1. januára 2017, </w:t>
      </w:r>
      <w:proofErr w:type="spellStart"/>
      <w:r>
        <w:rPr>
          <w:rFonts w:eastAsia="Calibri"/>
          <w:lang w:eastAsia="en-US"/>
        </w:rPr>
        <w:t>t.j</w:t>
      </w:r>
      <w:proofErr w:type="spellEnd"/>
      <w:r>
        <w:rPr>
          <w:rFonts w:eastAsia="Calibri"/>
          <w:lang w:eastAsia="en-US"/>
        </w:rPr>
        <w:t>. od účinnosti zákona.</w:t>
      </w:r>
    </w:p>
    <w:p w:rsidR="00A04FBC" w:rsidRDefault="00A04FBC" w:rsidP="004D4186">
      <w:pPr>
        <w:widowControl/>
        <w:adjustRightInd/>
        <w:jc w:val="both"/>
        <w:rPr>
          <w:rFonts w:eastAsia="Calibri"/>
          <w:lang w:eastAsia="en-US"/>
        </w:rPr>
      </w:pPr>
    </w:p>
    <w:p w:rsidR="00A04FBC" w:rsidRPr="00A04FBC" w:rsidRDefault="00A04FBC" w:rsidP="004D4186">
      <w:pPr>
        <w:widowControl/>
        <w:adjustRightInd/>
        <w:jc w:val="both"/>
        <w:rPr>
          <w:rFonts w:eastAsia="Calibri"/>
          <w:lang w:eastAsia="en-US"/>
        </w:rPr>
      </w:pPr>
    </w:p>
    <w:p w:rsidR="00196385" w:rsidRPr="00821A66" w:rsidRDefault="00157FF9" w:rsidP="004D4186">
      <w:pPr>
        <w:widowControl/>
        <w:adjustRightInd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 bodu </w:t>
      </w:r>
      <w:r w:rsidR="00EE4639">
        <w:rPr>
          <w:rFonts w:eastAsia="Calibri"/>
          <w:b/>
          <w:lang w:eastAsia="en-US"/>
        </w:rPr>
        <w:t>7</w:t>
      </w:r>
    </w:p>
    <w:p w:rsidR="004D4186" w:rsidRPr="007120E2" w:rsidRDefault="004D4186" w:rsidP="004D4186">
      <w:pPr>
        <w:widowControl/>
        <w:adjustRightInd/>
        <w:jc w:val="both"/>
        <w:rPr>
          <w:rFonts w:eastAsia="Calibri"/>
          <w:lang w:eastAsia="en-US"/>
        </w:rPr>
      </w:pPr>
      <w:r w:rsidRPr="007120E2">
        <w:rPr>
          <w:rFonts w:eastAsia="Calibri"/>
          <w:lang w:eastAsia="en-US"/>
        </w:rPr>
        <w:t xml:space="preserve">Príloha II bod </w:t>
      </w:r>
      <w:r>
        <w:rPr>
          <w:rFonts w:eastAsia="Calibri"/>
          <w:lang w:eastAsia="en-US"/>
        </w:rPr>
        <w:t>2 písm</w:t>
      </w:r>
      <w:r w:rsidR="00084E2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d) Smernice EIA </w:t>
      </w:r>
      <w:r w:rsidR="00EE4639">
        <w:rPr>
          <w:rFonts w:eastAsia="Calibri"/>
          <w:lang w:eastAsia="en-US"/>
        </w:rPr>
        <w:t xml:space="preserve"> uvádza h</w:t>
      </w:r>
      <w:r w:rsidRPr="007120E2">
        <w:rPr>
          <w:rFonts w:eastAsia="Calibri"/>
          <w:lang w:eastAsia="en-US"/>
        </w:rPr>
        <w:t>ĺbkové vrty, najmä:</w:t>
      </w:r>
    </w:p>
    <w:p w:rsidR="004D4186" w:rsidRPr="007120E2" w:rsidRDefault="004D4186" w:rsidP="004D4186">
      <w:pPr>
        <w:widowControl/>
        <w:adjustRightInd/>
        <w:jc w:val="both"/>
        <w:rPr>
          <w:rFonts w:eastAsia="Calibri"/>
          <w:lang w:eastAsia="en-US"/>
        </w:rPr>
      </w:pPr>
      <w:r w:rsidRPr="007120E2">
        <w:rPr>
          <w:rFonts w:eastAsia="Calibri"/>
          <w:lang w:eastAsia="en-US"/>
        </w:rPr>
        <w:t>i) geotermálne vrty;</w:t>
      </w:r>
    </w:p>
    <w:p w:rsidR="004D4186" w:rsidRPr="007120E2" w:rsidRDefault="004D4186" w:rsidP="004D4186">
      <w:pPr>
        <w:widowControl/>
        <w:adjustRightInd/>
        <w:jc w:val="both"/>
        <w:rPr>
          <w:rFonts w:eastAsia="Calibri"/>
          <w:lang w:eastAsia="en-US"/>
        </w:rPr>
      </w:pPr>
      <w:r w:rsidRPr="007120E2">
        <w:rPr>
          <w:rFonts w:eastAsia="Calibri"/>
          <w:lang w:eastAsia="en-US"/>
        </w:rPr>
        <w:t>ii) vrty pre uskladnenie jadrového odpadu;</w:t>
      </w:r>
    </w:p>
    <w:p w:rsidR="004D4186" w:rsidRPr="007120E2" w:rsidRDefault="004D4186" w:rsidP="004D4186">
      <w:pPr>
        <w:widowControl/>
        <w:adjustRightInd/>
        <w:jc w:val="both"/>
        <w:rPr>
          <w:rFonts w:eastAsia="Calibri"/>
          <w:lang w:eastAsia="en-US"/>
        </w:rPr>
      </w:pPr>
      <w:r w:rsidRPr="007120E2">
        <w:rPr>
          <w:rFonts w:eastAsia="Calibri"/>
          <w:lang w:eastAsia="en-US"/>
        </w:rPr>
        <w:t>iii) vrty pre vodné zdroje</w:t>
      </w:r>
    </w:p>
    <w:p w:rsidR="004D4186" w:rsidRPr="007120E2" w:rsidRDefault="004D4186" w:rsidP="004D4186">
      <w:pPr>
        <w:widowControl/>
        <w:adjustRightInd/>
        <w:jc w:val="both"/>
        <w:rPr>
          <w:rFonts w:eastAsia="Calibri"/>
          <w:lang w:eastAsia="en-US"/>
        </w:rPr>
      </w:pPr>
      <w:r w:rsidRPr="007120E2">
        <w:rPr>
          <w:rFonts w:eastAsia="Calibri"/>
          <w:lang w:eastAsia="en-US"/>
        </w:rPr>
        <w:t>s výnimkou vrtov na skúmanie stability pôdy</w:t>
      </w:r>
    </w:p>
    <w:p w:rsidR="004D4186" w:rsidRDefault="00EE4639" w:rsidP="004D4186">
      <w:pPr>
        <w:widowControl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Transpozícia</w:t>
      </w:r>
      <w:r w:rsidR="004D4186">
        <w:rPr>
          <w:rFonts w:eastAsia="Calibri"/>
          <w:lang w:eastAsia="en-US"/>
        </w:rPr>
        <w:t xml:space="preserve">  smernic</w:t>
      </w:r>
      <w:r>
        <w:rPr>
          <w:rFonts w:eastAsia="Calibri"/>
          <w:lang w:eastAsia="en-US"/>
        </w:rPr>
        <w:t>e</w:t>
      </w:r>
      <w:r w:rsidR="004D4186">
        <w:rPr>
          <w:rFonts w:eastAsia="Calibri"/>
          <w:lang w:eastAsia="en-US"/>
        </w:rPr>
        <w:t xml:space="preserve"> je v návrhu zákona riešen</w:t>
      </w:r>
      <w:r>
        <w:rPr>
          <w:rFonts w:eastAsia="Calibri"/>
          <w:lang w:eastAsia="en-US"/>
        </w:rPr>
        <w:t>á</w:t>
      </w:r>
      <w:r w:rsidR="004D4186">
        <w:rPr>
          <w:rFonts w:eastAsia="Calibri"/>
          <w:lang w:eastAsia="en-US"/>
        </w:rPr>
        <w:t xml:space="preserve"> odstránením pojmu „ťažobný“ v položke 16 kapitoly 1 prílohy č. 8 a zároveň </w:t>
      </w:r>
      <w:r w:rsidR="00A62277">
        <w:t>precizovaním pojmov „geotermálne vrty“ a „vrty pre vodné zdroje“.</w:t>
      </w:r>
    </w:p>
    <w:p w:rsidR="00196385" w:rsidRPr="00821A66" w:rsidRDefault="00157FF9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 bodu </w:t>
      </w:r>
      <w:r w:rsidR="00EE4639">
        <w:rPr>
          <w:rFonts w:eastAsia="Calibri"/>
          <w:b/>
        </w:rPr>
        <w:t>8</w:t>
      </w:r>
    </w:p>
    <w:p w:rsidR="00196385" w:rsidRDefault="00196385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 w:rsidRPr="00F67E16">
        <w:rPr>
          <w:rFonts w:eastAsia="Calibri"/>
        </w:rPr>
        <w:t xml:space="preserve">Príloha II bod 3 písm. h) Smernice EIA uvádza </w:t>
      </w:r>
      <w:r>
        <w:rPr>
          <w:rFonts w:eastAsia="Calibri"/>
        </w:rPr>
        <w:t>– „</w:t>
      </w:r>
      <w:r w:rsidRPr="00E750A4">
        <w:rPr>
          <w:rFonts w:eastAsia="Calibri"/>
        </w:rPr>
        <w:t xml:space="preserve">Zariadenia na výrobu </w:t>
      </w:r>
      <w:proofErr w:type="spellStart"/>
      <w:r w:rsidRPr="00E750A4">
        <w:rPr>
          <w:rFonts w:eastAsia="Calibri"/>
        </w:rPr>
        <w:t>hydroelektrickej</w:t>
      </w:r>
      <w:proofErr w:type="spellEnd"/>
      <w:r w:rsidRPr="00E750A4">
        <w:rPr>
          <w:rFonts w:eastAsia="Calibri"/>
        </w:rPr>
        <w:t xml:space="preserve"> energie</w:t>
      </w:r>
      <w:r>
        <w:rPr>
          <w:rFonts w:eastAsia="Calibri"/>
        </w:rPr>
        <w:t>“</w:t>
      </w:r>
      <w:r w:rsidR="00EE4639">
        <w:rPr>
          <w:rFonts w:eastAsia="Calibri"/>
        </w:rPr>
        <w:t xml:space="preserve"> bez limitu</w:t>
      </w:r>
    </w:p>
    <w:p w:rsidR="00196385" w:rsidRDefault="00EE4639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Transpozícia </w:t>
      </w:r>
      <w:r w:rsidR="00196385">
        <w:rPr>
          <w:rFonts w:eastAsia="Calibri"/>
        </w:rPr>
        <w:t>smernic</w:t>
      </w:r>
      <w:r>
        <w:rPr>
          <w:rFonts w:eastAsia="Calibri"/>
        </w:rPr>
        <w:t>e</w:t>
      </w:r>
      <w:r w:rsidR="00196385">
        <w:rPr>
          <w:rFonts w:eastAsia="Calibri"/>
        </w:rPr>
        <w:t xml:space="preserve"> je v návrhu zákona riešen</w:t>
      </w:r>
      <w:r>
        <w:rPr>
          <w:rFonts w:eastAsia="Calibri"/>
        </w:rPr>
        <w:t>á</w:t>
      </w:r>
      <w:r w:rsidR="00196385">
        <w:rPr>
          <w:rFonts w:eastAsia="Calibri"/>
        </w:rPr>
        <w:t xml:space="preserve"> vypustením spodnej hranice 5 MW v kapitole 2 položke 2 prílohy č. 8 , čím sa zavedie povinnosť vykonať zisťovacie konanie </w:t>
      </w:r>
      <w:r w:rsidR="008357DF">
        <w:rPr>
          <w:rFonts w:eastAsia="Calibri"/>
        </w:rPr>
        <w:br/>
      </w:r>
      <w:r w:rsidR="00196385">
        <w:rPr>
          <w:rFonts w:eastAsia="Calibri"/>
        </w:rPr>
        <w:t>pre všetky hydroelektrárne s výkonom do 0</w:t>
      </w:r>
      <w:r w:rsidR="002A5623">
        <w:rPr>
          <w:rFonts w:eastAsia="Calibri"/>
        </w:rPr>
        <w:t>,1</w:t>
      </w:r>
      <w:r w:rsidR="00196385">
        <w:rPr>
          <w:rFonts w:eastAsia="Calibri"/>
        </w:rPr>
        <w:t xml:space="preserve"> MW</w:t>
      </w:r>
      <w:r w:rsidR="002A5623">
        <w:rPr>
          <w:rFonts w:eastAsia="Calibri"/>
        </w:rPr>
        <w:t>, čo je zároveň zavedenie nového parametr</w:t>
      </w:r>
      <w:r>
        <w:rPr>
          <w:rFonts w:eastAsia="Calibri"/>
        </w:rPr>
        <w:t>a</w:t>
      </w:r>
      <w:r w:rsidR="002A5623">
        <w:rPr>
          <w:rFonts w:eastAsia="Calibri"/>
        </w:rPr>
        <w:t xml:space="preserve"> po dohode so sekciou vôd MŽP SR, pričom platí povinnosť vykonať povinné hodnotenie pre hydroelektrárne s výkonom nad 0,1 MW</w:t>
      </w:r>
      <w:r w:rsidR="00196385">
        <w:rPr>
          <w:rFonts w:eastAsia="Calibri"/>
        </w:rPr>
        <w:t>.</w:t>
      </w:r>
    </w:p>
    <w:p w:rsidR="00196385" w:rsidRDefault="00196385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</w:p>
    <w:p w:rsidR="00196385" w:rsidRPr="00821A66" w:rsidRDefault="00157FF9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 bodom </w:t>
      </w:r>
      <w:r w:rsidR="00EE4639">
        <w:rPr>
          <w:rFonts w:eastAsia="Calibri"/>
          <w:b/>
        </w:rPr>
        <w:t>9</w:t>
      </w:r>
      <w:r>
        <w:rPr>
          <w:rFonts w:eastAsia="Calibri"/>
          <w:b/>
        </w:rPr>
        <w:t xml:space="preserve"> a </w:t>
      </w:r>
      <w:r w:rsidR="00EE4639">
        <w:rPr>
          <w:rFonts w:eastAsia="Calibri"/>
          <w:b/>
        </w:rPr>
        <w:t>10</w:t>
      </w:r>
    </w:p>
    <w:p w:rsidR="001B7E2B" w:rsidRPr="00F67E16" w:rsidRDefault="001B7E2B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 w:rsidRPr="00F67E16">
        <w:rPr>
          <w:rFonts w:eastAsia="Calibri"/>
        </w:rPr>
        <w:t xml:space="preserve">Príloha </w:t>
      </w:r>
      <w:r w:rsidR="00D95E88" w:rsidRPr="00F67E16">
        <w:rPr>
          <w:rFonts w:eastAsia="Calibri"/>
        </w:rPr>
        <w:t xml:space="preserve">I </w:t>
      </w:r>
      <w:r w:rsidRPr="00F67E16">
        <w:rPr>
          <w:rFonts w:eastAsia="Calibri"/>
        </w:rPr>
        <w:t xml:space="preserve">bod 1 </w:t>
      </w:r>
      <w:r w:rsidR="00D95E88" w:rsidRPr="00F67E16">
        <w:rPr>
          <w:rFonts w:eastAsia="Calibri"/>
        </w:rPr>
        <w:t xml:space="preserve">smernice EIA uvádza </w:t>
      </w:r>
      <w:r w:rsidRPr="00F67E16">
        <w:rPr>
          <w:rFonts w:eastAsia="Calibri"/>
        </w:rPr>
        <w:t>– „Ropné rafinérie (okrem podnikov, ktoré vyrábajú len mazadlá z ropy) a zariadenia na splyňovanie a skvapalňovanie viac ako 500 ton uhlia alebo asfaltovej bridlice za deň.“</w:t>
      </w:r>
    </w:p>
    <w:p w:rsidR="00ED692B" w:rsidRPr="00F67E16" w:rsidRDefault="00EE4639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>
        <w:rPr>
          <w:rFonts w:eastAsia="Calibri"/>
        </w:rPr>
        <w:t>Návrh zákona rieši túto položku</w:t>
      </w:r>
      <w:r w:rsidR="00ED692B" w:rsidRPr="00F67E16">
        <w:rPr>
          <w:rFonts w:eastAsia="Calibri"/>
        </w:rPr>
        <w:t xml:space="preserve"> upravením položky 2 v kapitole 4 prílohy č. 8 návrhu zákona.  Táto úprava vyvolala rozdelenie pôvodnej položky zavedením položky  2a v kapitole 4 prílohy č. 8 návrhu zákona, kde bola premiestnená časť pôvodnej p</w:t>
      </w:r>
      <w:r w:rsidR="006A5782">
        <w:rPr>
          <w:rFonts w:eastAsia="Calibri"/>
        </w:rPr>
        <w:t>o</w:t>
      </w:r>
      <w:r w:rsidR="00ED692B" w:rsidRPr="00F67E16">
        <w:rPr>
          <w:rFonts w:eastAsia="Calibri"/>
        </w:rPr>
        <w:t>ložky aj s limitmi.</w:t>
      </w:r>
    </w:p>
    <w:p w:rsidR="001B7E2B" w:rsidRPr="00386F2B" w:rsidRDefault="001B7E2B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</w:p>
    <w:p w:rsidR="00196385" w:rsidRPr="00821A66" w:rsidRDefault="00196385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  <w:b/>
        </w:rPr>
      </w:pPr>
      <w:r w:rsidRPr="00821A66">
        <w:rPr>
          <w:rFonts w:eastAsia="Calibri"/>
          <w:b/>
        </w:rPr>
        <w:t>K bodu</w:t>
      </w:r>
      <w:r w:rsidR="00157FF9">
        <w:rPr>
          <w:rFonts w:eastAsia="Calibri"/>
          <w:b/>
        </w:rPr>
        <w:t xml:space="preserve"> 1</w:t>
      </w:r>
      <w:r w:rsidR="00EE4639">
        <w:rPr>
          <w:rFonts w:eastAsia="Calibri"/>
          <w:b/>
        </w:rPr>
        <w:t>1</w:t>
      </w:r>
    </w:p>
    <w:p w:rsidR="00196385" w:rsidRDefault="00196385" w:rsidP="00196385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 w:rsidRPr="00335447">
        <w:rPr>
          <w:rFonts w:eastAsia="Calibri"/>
          <w:u w:val="single"/>
        </w:rPr>
        <w:t>Príloha II bod 9</w:t>
      </w:r>
      <w:r>
        <w:rPr>
          <w:rFonts w:eastAsia="Calibri"/>
        </w:rPr>
        <w:t xml:space="preserve"> Smernice EIA uvádza:– „</w:t>
      </w:r>
      <w:r w:rsidRPr="00335447">
        <w:rPr>
          <w:rFonts w:eastAsia="Calibri"/>
        </w:rPr>
        <w:t xml:space="preserve">Gumárenský priemysel; Výroba a spracovanie výrobkov založených na </w:t>
      </w:r>
      <w:r w:rsidRPr="00D8799B">
        <w:rPr>
          <w:rFonts w:eastAsia="Calibri"/>
        </w:rPr>
        <w:t>elastoméroch</w:t>
      </w:r>
      <w:r>
        <w:rPr>
          <w:rFonts w:eastAsia="Calibri"/>
        </w:rPr>
        <w:t>“</w:t>
      </w:r>
    </w:p>
    <w:p w:rsidR="00821A66" w:rsidRDefault="00D14D10" w:rsidP="00196385">
      <w:pPr>
        <w:pStyle w:val="Odsekzoznamu"/>
        <w:spacing w:before="100" w:beforeAutospacing="1" w:after="100" w:afterAutospacing="1"/>
        <w:ind w:left="0" w:firstLine="0"/>
        <w:jc w:val="both"/>
      </w:pPr>
      <w:r>
        <w:t>Absencia tejto položky</w:t>
      </w:r>
      <w:r w:rsidR="00196385" w:rsidRPr="00E750A4">
        <w:t xml:space="preserve"> je v návrhu </w:t>
      </w:r>
      <w:r w:rsidR="00196385">
        <w:t>zákona</w:t>
      </w:r>
      <w:r w:rsidR="00196385" w:rsidRPr="00E750A4">
        <w:t xml:space="preserve"> riešen</w:t>
      </w:r>
      <w:r>
        <w:t>á</w:t>
      </w:r>
      <w:r w:rsidR="00196385">
        <w:t xml:space="preserve"> zaradením uvedenej položky </w:t>
      </w:r>
      <w:r w:rsidR="008357DF">
        <w:br/>
      </w:r>
      <w:r w:rsidR="00196385">
        <w:t xml:space="preserve">do prílohy č. 8 </w:t>
      </w:r>
    </w:p>
    <w:p w:rsidR="00E475BD" w:rsidRDefault="00E475BD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</w:p>
    <w:p w:rsidR="00196385" w:rsidRPr="00821A66" w:rsidRDefault="00157FF9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  <w:b/>
        </w:rPr>
      </w:pPr>
      <w:r>
        <w:rPr>
          <w:rFonts w:eastAsia="Calibri"/>
          <w:b/>
        </w:rPr>
        <w:t>K bodu 1</w:t>
      </w:r>
      <w:r w:rsidR="00D14D10">
        <w:rPr>
          <w:rFonts w:eastAsia="Calibri"/>
          <w:b/>
        </w:rPr>
        <w:t>2</w:t>
      </w:r>
    </w:p>
    <w:p w:rsidR="001B7E2B" w:rsidRPr="00F67E16" w:rsidRDefault="001B7E2B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 w:rsidRPr="00F67E16">
        <w:rPr>
          <w:rFonts w:eastAsia="Calibri"/>
        </w:rPr>
        <w:t xml:space="preserve">Príloha </w:t>
      </w:r>
      <w:r w:rsidR="00E25CB7" w:rsidRPr="00F67E16">
        <w:rPr>
          <w:rFonts w:eastAsia="Calibri"/>
        </w:rPr>
        <w:t xml:space="preserve">I </w:t>
      </w:r>
      <w:r w:rsidRPr="00F67E16">
        <w:rPr>
          <w:rFonts w:eastAsia="Calibri"/>
        </w:rPr>
        <w:t>bod 12</w:t>
      </w:r>
      <w:r w:rsidR="00E25CB7" w:rsidRPr="00F67E16">
        <w:rPr>
          <w:rFonts w:eastAsia="Calibri"/>
        </w:rPr>
        <w:t xml:space="preserve"> písm. a) smernice EIA uvádza</w:t>
      </w:r>
      <w:r w:rsidRPr="00F67E16">
        <w:rPr>
          <w:rFonts w:eastAsia="Calibri"/>
        </w:rPr>
        <w:t xml:space="preserve"> – „</w:t>
      </w:r>
      <w:r w:rsidR="00E25CB7" w:rsidRPr="00F67E16">
        <w:rPr>
          <w:rFonts w:eastAsia="Calibri"/>
        </w:rPr>
        <w:t>a) Zariadenia na prečerpávanie vody medzi riečnymi korytami, ak toto prečerpávanie má za cieľ zabrániť možnému nedostatku vody a ak množstvo prečerpanej vody presahuje 100 miliónov kubických metrov za rok.</w:t>
      </w:r>
      <w:r w:rsidRPr="00F67E16">
        <w:rPr>
          <w:rFonts w:eastAsia="Calibri"/>
        </w:rPr>
        <w:t>“</w:t>
      </w:r>
    </w:p>
    <w:p w:rsidR="00CD5107" w:rsidRPr="00F67E16" w:rsidRDefault="00CD5107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  <w:iCs/>
        </w:rPr>
      </w:pPr>
    </w:p>
    <w:p w:rsidR="001B7E2B" w:rsidRPr="00386F2B" w:rsidRDefault="00D14D10" w:rsidP="00157FF9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Správna </w:t>
      </w:r>
      <w:bookmarkStart w:id="0" w:name="_GoBack"/>
      <w:bookmarkEnd w:id="0"/>
      <w:r>
        <w:rPr>
          <w:rFonts w:eastAsia="Calibri"/>
        </w:rPr>
        <w:t xml:space="preserve">transpozícia </w:t>
      </w:r>
      <w:r w:rsidR="001B7E2B">
        <w:rPr>
          <w:rFonts w:eastAsia="Calibri"/>
        </w:rPr>
        <w:t>smernic</w:t>
      </w:r>
      <w:r>
        <w:rPr>
          <w:rFonts w:eastAsia="Calibri"/>
        </w:rPr>
        <w:t>e</w:t>
      </w:r>
      <w:r w:rsidR="001B7E2B">
        <w:rPr>
          <w:rFonts w:eastAsia="Calibri"/>
        </w:rPr>
        <w:t xml:space="preserve"> EIA je v návrhu novely</w:t>
      </w:r>
      <w:r w:rsidR="001B7E2B" w:rsidRPr="00386F2B">
        <w:rPr>
          <w:rFonts w:eastAsia="Calibri"/>
        </w:rPr>
        <w:t xml:space="preserve"> </w:t>
      </w:r>
      <w:r w:rsidR="001B7E2B">
        <w:rPr>
          <w:rFonts w:eastAsia="Calibri"/>
        </w:rPr>
        <w:t>riešen</w:t>
      </w:r>
      <w:r>
        <w:rPr>
          <w:rFonts w:eastAsia="Calibri"/>
        </w:rPr>
        <w:t>á</w:t>
      </w:r>
      <w:r w:rsidR="001B7E2B">
        <w:rPr>
          <w:rFonts w:eastAsia="Calibri"/>
        </w:rPr>
        <w:t xml:space="preserve"> ú</w:t>
      </w:r>
      <w:r w:rsidR="001B7E2B" w:rsidRPr="00386F2B">
        <w:rPr>
          <w:rFonts w:eastAsia="Calibri"/>
        </w:rPr>
        <w:t>prav</w:t>
      </w:r>
      <w:r w:rsidR="001B7E2B">
        <w:rPr>
          <w:rFonts w:eastAsia="Calibri"/>
        </w:rPr>
        <w:t>ou</w:t>
      </w:r>
      <w:r w:rsidR="001B7E2B" w:rsidRPr="00386F2B">
        <w:rPr>
          <w:rFonts w:eastAsia="Calibri"/>
        </w:rPr>
        <w:t xml:space="preserve"> text</w:t>
      </w:r>
      <w:r w:rsidR="001B7E2B">
        <w:rPr>
          <w:rFonts w:eastAsia="Calibri"/>
        </w:rPr>
        <w:t>u</w:t>
      </w:r>
      <w:r w:rsidR="001B7E2B" w:rsidRPr="00386F2B">
        <w:rPr>
          <w:rFonts w:eastAsia="Calibri"/>
        </w:rPr>
        <w:t xml:space="preserve"> existujúcej položky 2 tak, </w:t>
      </w:r>
      <w:r w:rsidR="001B7E2B">
        <w:rPr>
          <w:rFonts w:eastAsia="Calibri"/>
        </w:rPr>
        <w:t xml:space="preserve">že </w:t>
      </w:r>
      <w:r w:rsidR="001B7E2B" w:rsidRPr="00386F2B">
        <w:rPr>
          <w:rFonts w:eastAsia="Calibri"/>
        </w:rPr>
        <w:t xml:space="preserve"> zahŕňa povrchovú aj podzemnú vodu. </w:t>
      </w:r>
    </w:p>
    <w:p w:rsidR="00157FF9" w:rsidRDefault="00157FF9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</w:p>
    <w:p w:rsidR="001B7E2B" w:rsidRPr="00F67E16" w:rsidRDefault="00157FF9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  <w:b/>
        </w:rPr>
      </w:pPr>
      <w:r>
        <w:rPr>
          <w:rFonts w:eastAsia="Calibri"/>
          <w:b/>
        </w:rPr>
        <w:t>K bodom 1</w:t>
      </w:r>
      <w:r w:rsidR="00D14D10">
        <w:rPr>
          <w:rFonts w:eastAsia="Calibri"/>
          <w:b/>
        </w:rPr>
        <w:t>3</w:t>
      </w:r>
      <w:r>
        <w:rPr>
          <w:rFonts w:eastAsia="Calibri"/>
          <w:b/>
        </w:rPr>
        <w:t xml:space="preserve"> a 1</w:t>
      </w:r>
      <w:r w:rsidR="00D14D10">
        <w:rPr>
          <w:rFonts w:eastAsia="Calibri"/>
          <w:b/>
        </w:rPr>
        <w:t>4</w:t>
      </w:r>
    </w:p>
    <w:p w:rsidR="00335447" w:rsidRDefault="00F67E16" w:rsidP="001B7E2B">
      <w:pPr>
        <w:pStyle w:val="Odsekzoznamu"/>
        <w:spacing w:before="100" w:beforeAutospacing="1" w:after="100" w:afterAutospacing="1"/>
        <w:ind w:left="0" w:firstLine="0"/>
        <w:jc w:val="both"/>
        <w:rPr>
          <w:rFonts w:eastAsia="Calibri"/>
        </w:rPr>
      </w:pPr>
      <w:r>
        <w:t>Úpravy vykonané v prílohách č. 9 a 11 zákona sa vzťahujú k úprave vykonanej v bode 1 návrhu zákona</w:t>
      </w:r>
    </w:p>
    <w:p w:rsidR="00335447" w:rsidRPr="00335447" w:rsidRDefault="00335447" w:rsidP="00A51528">
      <w:pPr>
        <w:pStyle w:val="Odsekzoznamu"/>
        <w:ind w:left="0" w:firstLine="0"/>
        <w:jc w:val="both"/>
        <w:rPr>
          <w:rFonts w:eastAsia="Calibri"/>
        </w:rPr>
      </w:pPr>
    </w:p>
    <w:p w:rsidR="00F55FC9" w:rsidRPr="00F33910" w:rsidRDefault="00F33910" w:rsidP="00A51528">
      <w:pPr>
        <w:widowControl/>
        <w:adjustRightInd/>
        <w:jc w:val="both"/>
        <w:rPr>
          <w:rFonts w:eastAsia="Calibri"/>
          <w:b/>
          <w:lang w:eastAsia="en-US"/>
        </w:rPr>
      </w:pPr>
      <w:r w:rsidRPr="00F33910">
        <w:rPr>
          <w:rFonts w:eastAsia="Calibri"/>
          <w:b/>
          <w:lang w:eastAsia="en-US"/>
        </w:rPr>
        <w:t>Čl. II</w:t>
      </w:r>
    </w:p>
    <w:p w:rsidR="00F33910" w:rsidRPr="00F55FC9" w:rsidRDefault="00F33910" w:rsidP="00A51528">
      <w:pPr>
        <w:widowControl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Navrhuje sa účinnosť zákona.</w:t>
      </w:r>
    </w:p>
    <w:p w:rsidR="00F55FC9" w:rsidRPr="00474802" w:rsidRDefault="00F55FC9" w:rsidP="00A51528">
      <w:pPr>
        <w:widowControl/>
        <w:adjustRightInd/>
        <w:jc w:val="both"/>
        <w:rPr>
          <w:rFonts w:eastAsia="Calibri"/>
          <w:b/>
          <w:i/>
          <w:lang w:eastAsia="en-US"/>
        </w:rPr>
      </w:pPr>
    </w:p>
    <w:p w:rsidR="003F6504" w:rsidRDefault="003F6504" w:rsidP="00A51528">
      <w:pPr>
        <w:widowControl/>
        <w:adjustRightInd/>
      </w:pPr>
    </w:p>
    <w:p w:rsidR="003F6504" w:rsidRPr="002D4E71" w:rsidRDefault="003F6504" w:rsidP="00A51528">
      <w:pPr>
        <w:widowControl/>
        <w:adjustRightInd/>
      </w:pPr>
    </w:p>
    <w:sectPr w:rsidR="003F6504" w:rsidRPr="002D4E71" w:rsidSect="00DB72B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56" w:rsidRDefault="00343556" w:rsidP="00DB72B8">
      <w:r>
        <w:separator/>
      </w:r>
    </w:p>
  </w:endnote>
  <w:endnote w:type="continuationSeparator" w:id="0">
    <w:p w:rsidR="00343556" w:rsidRDefault="00343556" w:rsidP="00DB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989965"/>
      <w:docPartObj>
        <w:docPartGallery w:val="Page Numbers (Bottom of Page)"/>
        <w:docPartUnique/>
      </w:docPartObj>
    </w:sdtPr>
    <w:sdtEndPr/>
    <w:sdtContent>
      <w:p w:rsidR="00DB72B8" w:rsidRDefault="00DB72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910">
          <w:rPr>
            <w:noProof/>
          </w:rPr>
          <w:t>3</w:t>
        </w:r>
        <w:r>
          <w:fldChar w:fldCharType="end"/>
        </w:r>
      </w:p>
    </w:sdtContent>
  </w:sdt>
  <w:p w:rsidR="00DB72B8" w:rsidRDefault="00DB72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56" w:rsidRDefault="00343556" w:rsidP="00DB72B8">
      <w:r>
        <w:separator/>
      </w:r>
    </w:p>
  </w:footnote>
  <w:footnote w:type="continuationSeparator" w:id="0">
    <w:p w:rsidR="00343556" w:rsidRDefault="00343556" w:rsidP="00DB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743"/>
    <w:multiLevelType w:val="hybridMultilevel"/>
    <w:tmpl w:val="79124002"/>
    <w:lvl w:ilvl="0" w:tplc="11DEC0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B27"/>
    <w:multiLevelType w:val="hybridMultilevel"/>
    <w:tmpl w:val="62C0C6F0"/>
    <w:lvl w:ilvl="0" w:tplc="A1E8A9B4">
      <w:start w:val="1"/>
      <w:numFmt w:val="decimal"/>
      <w:lvlText w:val="%1."/>
      <w:lvlJc w:val="left"/>
      <w:pPr>
        <w:ind w:left="26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98B01DD"/>
    <w:multiLevelType w:val="hybridMultilevel"/>
    <w:tmpl w:val="88F83618"/>
    <w:lvl w:ilvl="0" w:tplc="15D87C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C7324"/>
    <w:multiLevelType w:val="hybridMultilevel"/>
    <w:tmpl w:val="90324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2033"/>
    <w:multiLevelType w:val="hybridMultilevel"/>
    <w:tmpl w:val="D9BA6D9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C27764"/>
    <w:multiLevelType w:val="hybridMultilevel"/>
    <w:tmpl w:val="F6CEC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224D5"/>
    <w:multiLevelType w:val="hybridMultilevel"/>
    <w:tmpl w:val="065683F2"/>
    <w:lvl w:ilvl="0" w:tplc="5A9EDB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CA"/>
    <w:rsid w:val="00037F2C"/>
    <w:rsid w:val="000424B1"/>
    <w:rsid w:val="00064AFA"/>
    <w:rsid w:val="00084E27"/>
    <w:rsid w:val="00095FCB"/>
    <w:rsid w:val="0011016D"/>
    <w:rsid w:val="001120BA"/>
    <w:rsid w:val="00157A93"/>
    <w:rsid w:val="00157FF9"/>
    <w:rsid w:val="001943FB"/>
    <w:rsid w:val="00196385"/>
    <w:rsid w:val="001B7E2B"/>
    <w:rsid w:val="001C405B"/>
    <w:rsid w:val="001E53DD"/>
    <w:rsid w:val="00242224"/>
    <w:rsid w:val="002A5623"/>
    <w:rsid w:val="002D4E71"/>
    <w:rsid w:val="00335447"/>
    <w:rsid w:val="00343556"/>
    <w:rsid w:val="0035349A"/>
    <w:rsid w:val="00356628"/>
    <w:rsid w:val="00361CF5"/>
    <w:rsid w:val="00386F2B"/>
    <w:rsid w:val="003C506A"/>
    <w:rsid w:val="003F2B12"/>
    <w:rsid w:val="003F6504"/>
    <w:rsid w:val="00474802"/>
    <w:rsid w:val="004D4186"/>
    <w:rsid w:val="004E634D"/>
    <w:rsid w:val="00506642"/>
    <w:rsid w:val="00534CAC"/>
    <w:rsid w:val="00543124"/>
    <w:rsid w:val="0055668D"/>
    <w:rsid w:val="00565CFE"/>
    <w:rsid w:val="005D4919"/>
    <w:rsid w:val="0060611E"/>
    <w:rsid w:val="006935AB"/>
    <w:rsid w:val="006A5782"/>
    <w:rsid w:val="006B46FD"/>
    <w:rsid w:val="006C0DBC"/>
    <w:rsid w:val="00747B6D"/>
    <w:rsid w:val="00790530"/>
    <w:rsid w:val="00791B66"/>
    <w:rsid w:val="007B3F2C"/>
    <w:rsid w:val="00802AC0"/>
    <w:rsid w:val="00821A66"/>
    <w:rsid w:val="008357DF"/>
    <w:rsid w:val="00846F93"/>
    <w:rsid w:val="0085669F"/>
    <w:rsid w:val="009F62CD"/>
    <w:rsid w:val="00A04FBC"/>
    <w:rsid w:val="00A36318"/>
    <w:rsid w:val="00A379AE"/>
    <w:rsid w:val="00A51528"/>
    <w:rsid w:val="00A60C82"/>
    <w:rsid w:val="00A62277"/>
    <w:rsid w:val="00AE7B01"/>
    <w:rsid w:val="00B26FB6"/>
    <w:rsid w:val="00BA2D52"/>
    <w:rsid w:val="00CD5107"/>
    <w:rsid w:val="00D14D10"/>
    <w:rsid w:val="00D654FD"/>
    <w:rsid w:val="00D95E88"/>
    <w:rsid w:val="00DB72B8"/>
    <w:rsid w:val="00DC7F6F"/>
    <w:rsid w:val="00DF07B5"/>
    <w:rsid w:val="00DF0AD0"/>
    <w:rsid w:val="00DF4957"/>
    <w:rsid w:val="00E25CB7"/>
    <w:rsid w:val="00E475BD"/>
    <w:rsid w:val="00E56568"/>
    <w:rsid w:val="00E61791"/>
    <w:rsid w:val="00ED692B"/>
    <w:rsid w:val="00EE4639"/>
    <w:rsid w:val="00F02328"/>
    <w:rsid w:val="00F33910"/>
    <w:rsid w:val="00F365B9"/>
    <w:rsid w:val="00F470F9"/>
    <w:rsid w:val="00F55FC9"/>
    <w:rsid w:val="00F56660"/>
    <w:rsid w:val="00F67E16"/>
    <w:rsid w:val="00FA0B96"/>
    <w:rsid w:val="00FC0DCA"/>
    <w:rsid w:val="00FC374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9AC46-91C5-4D4F-BBF6-2D77370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DCA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C0DCA"/>
    <w:pPr>
      <w:widowControl/>
      <w:adjustRightInd/>
      <w:ind w:left="720" w:firstLine="284"/>
      <w:contextualSpacing/>
    </w:pPr>
    <w:rPr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C7F6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0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DBC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72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72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72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72B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--Dôvodová-správa-osob-"/>
    <f:field ref="objsubject" par="" edit="true" text=""/>
    <f:field ref="objcreatedby" par="" text="Rozborilová, Monika, JUDr."/>
    <f:field ref="objcreatedat" par="" text="1.7.2016 8:03:10"/>
    <f:field ref="objchangedby" par="" text="Administrator, System"/>
    <f:field ref="objmodifiedat" par="" text="1.7.2016 8:03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Rozborilová Monika</cp:lastModifiedBy>
  <cp:revision>5</cp:revision>
  <cp:lastPrinted>2016-08-05T07:46:00Z</cp:lastPrinted>
  <dcterms:created xsi:type="dcterms:W3CDTF">2016-08-03T09:30:00Z</dcterms:created>
  <dcterms:modified xsi:type="dcterms:W3CDTF">2016-08-05T07:46:00Z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Monika Rozborilová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PLÚV SR na mesiace jún až december 2016</vt:lpwstr>
  </property>
  <property fmtid="{D5CDD505-2E9C-101B-9397-08002B2CF9AE}" pid="23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6510/2016-9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LP/2016/692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články 192  a 193 Zmluvy o fungovaní Európskej únie</vt:lpwstr>
  </property>
  <property fmtid="{D5CDD505-2E9C-101B-9397-08002B2CF9AE}" pid="47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53" name="FSC#SKEDITIONSLOVLEX@103.510:AttrStrListDocPropLehotaNaPredlozenie">
    <vt:lpwstr>neurčená</vt:lpwstr>
  </property>
  <property fmtid="{D5CDD505-2E9C-101B-9397-08002B2CF9AE}" pid="54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55" name="FSC#SKEDITIONSLOVLEX@103.510:AttrStrListDocPropInfoUzPreberanePP">
    <vt:lpwstr>_x000d_
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24. 6. 2016</vt:lpwstr>
  </property>
  <property fmtid="{D5CDD505-2E9C-101B-9397-08002B2CF9AE}" pid="59" name="FSC#SKEDITIONSLOVLEX@103.510:AttrDateDocPropUkonceniePKK">
    <vt:lpwstr>29. 6. 2016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ministera životného prostredia Slovenskej republiky</vt:lpwstr>
  </property>
  <property fmtid="{D5CDD505-2E9C-101B-9397-08002B2CF9AE}" pid="143" name="FSC#SKEDITIONSLOVLEX@103.510:funkciaZodpPredDativ">
    <vt:lpwstr>ministerovi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150" name="FSC#COOSYSTEM@1.1:Container">
    <vt:lpwstr>COO.2145.1000.3.1487317</vt:lpwstr>
  </property>
  <property fmtid="{D5CDD505-2E9C-101B-9397-08002B2CF9AE}" pid="151" name="FSC#FSCFOLIO@1.1001:docpropproject">
    <vt:lpwstr/>
  </property>
</Properties>
</file>