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575A7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B13551" w:rsidRDefault="009575A7" w:rsidP="007B71A4">
            <w:pPr>
              <w:rPr>
                <w:b/>
              </w:rPr>
            </w:pPr>
            <w:r w:rsidRPr="00B13551">
              <w:rPr>
                <w:b/>
              </w:rPr>
              <w:t>Predpokladá sa, že návrh zákona ovplyvní:</w:t>
            </w:r>
          </w:p>
          <w:p w:rsidR="009575A7" w:rsidRPr="00B13551" w:rsidRDefault="009575A7" w:rsidP="009575A7">
            <w:pPr>
              <w:pStyle w:val="Odsekzoznamu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B13551">
              <w:rPr>
                <w:rFonts w:ascii="Times New Roman" w:hAnsi="Times New Roman" w:cs="Times New Roman"/>
                <w:b/>
                <w:sz w:val="20"/>
                <w:szCs w:val="20"/>
              </w:rPr>
              <w:t>všetky právnické osoby, ktoré sú povinné podať daňové priznanie k dani z príjmov</w:t>
            </w:r>
          </w:p>
          <w:p w:rsidR="009575A7" w:rsidRPr="00C00E62" w:rsidRDefault="00E45D0B" w:rsidP="009575A7">
            <w:pPr>
              <w:pStyle w:val="Odsekzoznamu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B13551">
              <w:rPr>
                <w:rFonts w:ascii="Times New Roman" w:hAnsi="Times New Roman" w:cs="Times New Roman"/>
                <w:b/>
                <w:sz w:val="20"/>
                <w:szCs w:val="20"/>
              </w:rPr>
              <w:t>fyzické osoby -</w:t>
            </w:r>
            <w:r w:rsidR="008D1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75A7" w:rsidRPr="00B13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samostatne zárobkovo činné osoby, ktoré </w:t>
            </w:r>
            <w:r w:rsidRPr="00B13551">
              <w:rPr>
                <w:rFonts w:ascii="Times New Roman" w:hAnsi="Times New Roman" w:cs="Times New Roman"/>
                <w:b/>
                <w:sz w:val="20"/>
                <w:szCs w:val="20"/>
              </w:rPr>
              <w:t>dosahujú príjem</w:t>
            </w:r>
            <w:r w:rsidR="00C00E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 podielov na zisku (dividend)</w:t>
            </w:r>
            <w:r w:rsidR="00CF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 iných príjmov (podiel na likvidačnom zostatku</w:t>
            </w:r>
            <w:r w:rsidR="00947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obchodnej spoločnosti, podiel na výsledku podnikania vyplácaný tichému spoločníkovi)</w:t>
            </w:r>
          </w:p>
          <w:p w:rsidR="00C00E62" w:rsidRPr="00AE3222" w:rsidRDefault="00C00E62" w:rsidP="00A956ED">
            <w:pPr>
              <w:pStyle w:val="Odsekzoznamu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947C7C">
              <w:rPr>
                <w:rFonts w:ascii="Times New Roman" w:hAnsi="Times New Roman" w:cs="Times New Roman"/>
                <w:b/>
                <w:sz w:val="20"/>
                <w:szCs w:val="20"/>
              </w:rPr>
              <w:t>právnické osoby, ktoré dosahujú príjem z podielov na zisku (dividend)</w:t>
            </w:r>
            <w:r w:rsidR="00947C7C" w:rsidRPr="00947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 iných príjmov </w:t>
            </w:r>
            <w:r w:rsidR="007C1DD6" w:rsidRPr="00947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7C7C" w:rsidRPr="00947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(podiel na likvidačnom zostatku obchodnej spoločnosti, podiel na výsledku podnikania vyplácaný tichému spoločníkovi) </w:t>
            </w:r>
            <w:r w:rsidR="007C1DD6" w:rsidRPr="00947C7C">
              <w:rPr>
                <w:rFonts w:ascii="Times New Roman" w:hAnsi="Times New Roman" w:cs="Times New Roman"/>
                <w:b/>
                <w:sz w:val="20"/>
                <w:szCs w:val="20"/>
              </w:rPr>
              <w:t>plynúcich z nezmluvného štátu</w:t>
            </w:r>
          </w:p>
          <w:p w:rsidR="00AE3222" w:rsidRPr="00947C7C" w:rsidRDefault="00AE3222" w:rsidP="00A956ED">
            <w:pPr>
              <w:pStyle w:val="Odsekzoznamu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subjekty podliehajúce zákonu o riešení krízových situácií na finančnom trhu</w:t>
            </w:r>
          </w:p>
          <w:p w:rsidR="009575A7" w:rsidRPr="009575A7" w:rsidRDefault="00E45D0B" w:rsidP="00E45D0B">
            <w:pPr>
              <w:rPr>
                <w:i/>
              </w:rPr>
            </w:pPr>
            <w:r w:rsidRPr="00B13551">
              <w:rPr>
                <w:b/>
              </w:rPr>
              <w:t>Počet dotknutých subjektov nie je možné presne určiť.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6930F2" w:rsidRPr="00304E8C" w:rsidRDefault="006930F2" w:rsidP="006930F2">
            <w:pPr>
              <w:jc w:val="both"/>
            </w:pPr>
            <w:r w:rsidRPr="00304E8C">
              <w:t>Konzultácie sa uskutočnili formou osobných stretnutí. Vznesené pripomienky boli prediskutované so záverom, že budú predložené zúčastnenými v rámci medzirezortného pripomienkového konania.</w:t>
            </w:r>
          </w:p>
          <w:p w:rsidR="006930F2" w:rsidRPr="00304E8C" w:rsidRDefault="006930F2" w:rsidP="006930F2">
            <w:pPr>
              <w:jc w:val="both"/>
            </w:pPr>
          </w:p>
          <w:p w:rsidR="006930F2" w:rsidRPr="00304E8C" w:rsidRDefault="006930F2" w:rsidP="006930F2">
            <w:pPr>
              <w:jc w:val="both"/>
            </w:pPr>
            <w:r w:rsidRPr="00304E8C">
              <w:t>Konzultácií sa zúčastnili:</w:t>
            </w:r>
          </w:p>
          <w:p w:rsidR="006930F2" w:rsidRPr="00304E8C" w:rsidRDefault="006930F2" w:rsidP="006930F2">
            <w:pPr>
              <w:pStyle w:val="Odsekzoznamu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Slovenská banková asociácia – s pripomienkami</w:t>
            </w:r>
          </w:p>
          <w:p w:rsidR="006930F2" w:rsidRPr="00304E8C" w:rsidRDefault="006930F2" w:rsidP="006930F2">
            <w:pPr>
              <w:pStyle w:val="Odsekzoznamu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Slovenská asociácia správcovských spoločností – </w:t>
            </w:r>
            <w:r w:rsidR="0032080C"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bez pripomienok k návrhu zákona</w:t>
            </w:r>
          </w:p>
          <w:p w:rsidR="006930F2" w:rsidRPr="00304E8C" w:rsidRDefault="006930F2" w:rsidP="006930F2">
            <w:pPr>
              <w:pStyle w:val="Odsekzoznamu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Republiková únia zamestnávateľov – s pripomienkami</w:t>
            </w:r>
          </w:p>
          <w:p w:rsidR="006930F2" w:rsidRPr="00304E8C" w:rsidRDefault="006930F2" w:rsidP="006930F2">
            <w:pPr>
              <w:pStyle w:val="Odsekzoznamu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Asociácia zamestnávateľských zväzov a združení SR a Americká obchodná komora – s pripomienkami</w:t>
            </w:r>
          </w:p>
          <w:p w:rsidR="006930F2" w:rsidRPr="00304E8C" w:rsidRDefault="006930F2" w:rsidP="006930F2">
            <w:pPr>
              <w:pStyle w:val="Odsekzoznamu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Slovenská komora daňových poradcov – s pripomienkami</w:t>
            </w:r>
          </w:p>
          <w:p w:rsidR="006930F2" w:rsidRPr="00304E8C" w:rsidRDefault="006930F2" w:rsidP="006930F2">
            <w:pPr>
              <w:pStyle w:val="Odsekzoznamu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Zväz automobilového priemyslu Slovenskej republiky – s pripomienkami</w:t>
            </w:r>
          </w:p>
          <w:p w:rsidR="009F2DFA" w:rsidRPr="00304E8C" w:rsidRDefault="009F2DFA" w:rsidP="006930F2">
            <w:pPr>
              <w:pStyle w:val="Odsekzoznamu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930F2" w:rsidRPr="00304E8C" w:rsidRDefault="006930F2" w:rsidP="006930F2">
            <w:pPr>
              <w:pStyle w:val="Odsekzoznamu"/>
              <w:ind w:left="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Konzultácie so Slovenskou bankovou asociáciou (SBA)</w:t>
            </w:r>
          </w:p>
          <w:p w:rsidR="00833A15" w:rsidRPr="00304E8C" w:rsidRDefault="00833A15" w:rsidP="00833A15">
            <w:pPr>
              <w:jc w:val="both"/>
            </w:pPr>
            <w:r w:rsidRPr="00304E8C">
              <w:t>Zástupcom SBA bol k návrhu novely zákona prednesený obsah návrhu, ku ktorému vzniesli nasledovné pripomienky:</w:t>
            </w:r>
          </w:p>
          <w:p w:rsidR="00833A15" w:rsidRPr="00304E8C" w:rsidRDefault="00833A15" w:rsidP="00833A15">
            <w:pPr>
              <w:jc w:val="both"/>
            </w:pPr>
            <w:r w:rsidRPr="00304E8C">
              <w:t>-uplatnenie príspevku na zabezpečenie účinného uplatnenia opatrení na riešenie krízových situácií (príspevky do Národného fondu) za daňový výdavok</w:t>
            </w:r>
          </w:p>
          <w:p w:rsidR="00833A15" w:rsidRPr="00304E8C" w:rsidRDefault="00833A15" w:rsidP="00833A15">
            <w:pPr>
              <w:jc w:val="both"/>
            </w:pPr>
            <w:r w:rsidRPr="00304E8C">
              <w:t>- úprava zákona o dani z príjmov v oblasti príslušenstva k pohľadávkam</w:t>
            </w:r>
          </w:p>
          <w:p w:rsidR="00833A15" w:rsidRPr="00304E8C" w:rsidRDefault="00833A15" w:rsidP="006930F2">
            <w:pPr>
              <w:pStyle w:val="Odsekzoznamu"/>
              <w:ind w:left="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80C" w:rsidRPr="00304E8C" w:rsidRDefault="0032080C" w:rsidP="0032080C">
            <w:pPr>
              <w:pStyle w:val="Odsekzoznamu"/>
              <w:ind w:left="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Konzultácie s Republikovou úniou zamestnávateľov SR (RÚZ SR )</w:t>
            </w:r>
          </w:p>
          <w:p w:rsidR="0032080C" w:rsidRPr="00304E8C" w:rsidRDefault="0032080C" w:rsidP="0032080C">
            <w:pPr>
              <w:jc w:val="both"/>
            </w:pPr>
            <w:r w:rsidRPr="00304E8C">
              <w:t>Zástupcom RÚZ SR bol k návrhu novely zákona prednesený obsah návrhu, ku ktorému vzniesli nasledovné pripomienky:</w:t>
            </w:r>
          </w:p>
          <w:p w:rsidR="0032080C" w:rsidRPr="00304E8C" w:rsidRDefault="0032080C" w:rsidP="0032080C">
            <w:pPr>
              <w:jc w:val="both"/>
            </w:pPr>
            <w:r w:rsidRPr="00304E8C">
              <w:t>- odporučili zníženie navrhnutej výšky poplatkov za odsúhlasenie použitia metódy ocenenia, nakoľko suma 30 000 eur sa im zdá vysoká,</w:t>
            </w:r>
          </w:p>
          <w:p w:rsidR="0032080C" w:rsidRPr="00304E8C" w:rsidRDefault="0032080C" w:rsidP="0032080C">
            <w:pPr>
              <w:jc w:val="both"/>
            </w:pPr>
            <w:r w:rsidRPr="00304E8C">
              <w:t>- poukázali na skutočnosť, že pri nevyhovení žiadosti o odsúhlasenie metódy ocenenia by mal mať daňovník možnosť odvolať sa,</w:t>
            </w:r>
          </w:p>
          <w:p w:rsidR="0032080C" w:rsidRPr="00304E8C" w:rsidRDefault="0032080C" w:rsidP="0032080C">
            <w:pPr>
              <w:jc w:val="both"/>
            </w:pPr>
            <w:r w:rsidRPr="00304E8C">
              <w:lastRenderedPageBreak/>
              <w:t>-k spôsobu zdanenia podielov na zisku (dividend) fyzických osôb navrhli prehodnotiť ich zdaňovanie daňou vyberanou zrážkou z dôvodu zvýšenia administratívnej náročnosti spoločností vyplácajúcich tieto podiely na zisku (dividendy), pričom navrhli ich zdaňovať prostredníctvom podania daňového priznania jednotlivých daňovníkov – fyzických osôb,</w:t>
            </w:r>
          </w:p>
          <w:p w:rsidR="0032080C" w:rsidRPr="00304E8C" w:rsidRDefault="0032080C" w:rsidP="0032080C">
            <w:pPr>
              <w:jc w:val="both"/>
            </w:pPr>
            <w:r w:rsidRPr="00304E8C">
              <w:t>-poukázali na skutočnosť, že v predbežnej informácii bola pri zdanení podielov na zisku (dividendách)</w:t>
            </w:r>
            <w:r w:rsidRPr="00304E8C">
              <w:br/>
              <w:t xml:space="preserve"> -navrhovaná sadzba dane 10 % a v rámci medzirezortného pripomienkového konania sadzba dane vo výške 15 %,</w:t>
            </w:r>
          </w:p>
          <w:p w:rsidR="0032080C" w:rsidRPr="00304E8C" w:rsidRDefault="0032080C" w:rsidP="0032080C">
            <w:pPr>
              <w:jc w:val="both"/>
            </w:pPr>
          </w:p>
          <w:p w:rsidR="0032080C" w:rsidRPr="00304E8C" w:rsidRDefault="0032080C" w:rsidP="0032080C">
            <w:pPr>
              <w:pStyle w:val="Odsekzoznamu"/>
              <w:ind w:left="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Konzultácie s Asociácia zamestnávateľských zväzov a združení SR (AZZZ SR) a </w:t>
            </w:r>
            <w:proofErr w:type="spellStart"/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AmCham</w:t>
            </w:r>
            <w:proofErr w:type="spellEnd"/>
          </w:p>
          <w:p w:rsidR="0032080C" w:rsidRPr="00304E8C" w:rsidRDefault="0032080C" w:rsidP="0032080C">
            <w:pPr>
              <w:jc w:val="both"/>
            </w:pPr>
            <w:r w:rsidRPr="00304E8C">
              <w:t>Zástupcom AZZZ SR bol k návrhu novely zákona prednesený obsah návrhu, ku ktorému vzniesli nasledovné pripomienky:</w:t>
            </w:r>
          </w:p>
          <w:p w:rsidR="0032080C" w:rsidRPr="00304E8C" w:rsidRDefault="0032080C" w:rsidP="0032080C">
            <w:pPr>
              <w:jc w:val="both"/>
            </w:pPr>
            <w:r w:rsidRPr="00304E8C">
              <w:t xml:space="preserve">- zavedeniu zdaňovania podielov na zisku (dividend) pri súčasnom zrušení zdravotných odvodov z týchto podielov na zisku (dividend) - vylúčenie podielov na zisku (dividend) z predmetu dane tak ako je to v súčasnosti považovali zástupcovia AZZZ SR za benefit v porovnaní s inými štátmi, ktorý bol kladne hodnotený zahraničnými subjektami – investormi. </w:t>
            </w:r>
          </w:p>
          <w:p w:rsidR="0032080C" w:rsidRPr="00304E8C" w:rsidRDefault="0032080C" w:rsidP="0032080C">
            <w:pPr>
              <w:jc w:val="both"/>
            </w:pPr>
            <w:r w:rsidRPr="00304E8C">
              <w:t>- zníženiu sadzby dane z príjmov právnických osôb na 21 % - zníženie sadzby dane hodnotili pozitívne.</w:t>
            </w:r>
          </w:p>
          <w:p w:rsidR="0032080C" w:rsidRPr="00304E8C" w:rsidRDefault="0032080C" w:rsidP="0032080C">
            <w:pPr>
              <w:jc w:val="both"/>
            </w:pPr>
            <w:r w:rsidRPr="00304E8C">
              <w:t>Podľa zástupcov AZZZ SR by bolo vhodnejšie namiesto zmien vykonaných v daňovej oblasti uskutočniť zmeny v odvodovej oblasti.</w:t>
            </w:r>
          </w:p>
          <w:p w:rsidR="0032080C" w:rsidRPr="00304E8C" w:rsidRDefault="0032080C" w:rsidP="0032080C">
            <w:pPr>
              <w:jc w:val="both"/>
            </w:pPr>
          </w:p>
          <w:p w:rsidR="0032080C" w:rsidRPr="00304E8C" w:rsidRDefault="0032080C" w:rsidP="0032080C">
            <w:pPr>
              <w:jc w:val="both"/>
            </w:pPr>
            <w:r w:rsidRPr="00304E8C">
              <w:t xml:space="preserve">Zástupca </w:t>
            </w:r>
            <w:proofErr w:type="spellStart"/>
            <w:r w:rsidRPr="00304E8C">
              <w:t>AmCham</w:t>
            </w:r>
            <w:proofErr w:type="spellEnd"/>
            <w:r w:rsidRPr="00304E8C">
              <w:t xml:space="preserve"> vzniesol na stretnutí iba pripomienku k zákonom ustanovenej odchýlke pri porušení princípu nezávislého vzťahu, pri ktorej je možné uplatňovať úľavu na dani podľa § 30a a§ 30b zákona o dani z príjmov. Zavedenie uvedenej odchýlky považuje </w:t>
            </w:r>
            <w:proofErr w:type="spellStart"/>
            <w:r w:rsidRPr="00304E8C">
              <w:t>AmCham</w:t>
            </w:r>
            <w:proofErr w:type="spellEnd"/>
            <w:r w:rsidRPr="00304E8C">
              <w:t xml:space="preserve"> za pozitívnu úpravu, avšak zákonom navrhovaná výška sa mu javí ako neefektívna, nakoľko percento aj absolútna suma nezodpovedá veľkosti podnikov, ktorých sa to týka. Zástupca </w:t>
            </w:r>
            <w:proofErr w:type="spellStart"/>
            <w:r w:rsidRPr="00304E8C">
              <w:t>AmCham</w:t>
            </w:r>
            <w:proofErr w:type="spellEnd"/>
            <w:r w:rsidRPr="00304E8C">
              <w:t xml:space="preserve"> navrhol uplatňovať rovnaký model ako sa uplatňuje v ČR, </w:t>
            </w:r>
            <w:proofErr w:type="spellStart"/>
            <w:r w:rsidRPr="00304E8C">
              <w:t>t.j</w:t>
            </w:r>
            <w:proofErr w:type="spellEnd"/>
            <w:r w:rsidRPr="00304E8C">
              <w:t xml:space="preserve">. daňová úľava sa zníži o rovnaké percento, o aké si daňovník znížil daň. </w:t>
            </w:r>
          </w:p>
          <w:p w:rsidR="0032080C" w:rsidRPr="00304E8C" w:rsidRDefault="0032080C" w:rsidP="0032080C">
            <w:pPr>
              <w:jc w:val="both"/>
            </w:pPr>
          </w:p>
          <w:p w:rsidR="0032080C" w:rsidRPr="00304E8C" w:rsidRDefault="0032080C" w:rsidP="0032080C">
            <w:pPr>
              <w:pStyle w:val="Odsekzoznamu"/>
              <w:ind w:left="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Konzultácie so Slovenskou komorou daňových poradcov (SKDP) </w:t>
            </w:r>
          </w:p>
          <w:p w:rsidR="0032080C" w:rsidRPr="00304E8C" w:rsidRDefault="0032080C" w:rsidP="0032080C">
            <w:pPr>
              <w:jc w:val="both"/>
            </w:pPr>
            <w:r w:rsidRPr="00304E8C">
              <w:t>Zástupcom SKDP bol k návrhu novely zákona prednesený obsah návrhu, ku ktorému vzniesli nasledovné pripomienky:</w:t>
            </w: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zdaňovanie dividend považujú za komplexnejší prístup ako uplatňovanie zdravotných odvodov na dividendy, problém však vidia v navrhovanej sadzbe dane na zdaňovanie dividend (adekvátnu sadzbu dane si predstavujú vo výške 5 %), v neobmedzení výšky ich zdaňovania (v súčasnosti existuje strop pre platenie zdravotných odvodov) a v možnej retroaktivite,</w:t>
            </w: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v definícii kontrolovanej transakcie odporúčajú použiť iný pojem ako vzťah, upozornili na duplicitu uplatňovania podstaty nad formou v zákone o dani z príjmov aj v daňovom poriadku, upozornili na uplatnenie vyšších sankcií v prípade agresívneho daňového plánovania a možné následné zníženie sankcie, ak sa daňovník neodvolá, vidia ako obmedzovanie práv daňovníka a zároveň odporúčajú lepšiu previazanosť daňového poriadku a zákona o dani z príjmov,</w:t>
            </w: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v ustanovení upravujúcom daňové výdavky po zaplatení odporúčajú presnejšie identifikovať, čo sa rozumie pod právom na použitie (napr. priemyselné práva, autorské práva a pod.),</w:t>
            </w: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nad rámec novely zákona o dani z príjmov navrhli zvážiť oslobodenie kapitálových ziskov.</w:t>
            </w:r>
          </w:p>
          <w:p w:rsidR="001861E1" w:rsidRPr="00304E8C" w:rsidRDefault="001861E1" w:rsidP="001861E1">
            <w:pPr>
              <w:jc w:val="both"/>
            </w:pPr>
          </w:p>
          <w:p w:rsidR="001861E1" w:rsidRPr="00304E8C" w:rsidRDefault="001861E1" w:rsidP="001861E1">
            <w:pPr>
              <w:pStyle w:val="Odsekzoznamu"/>
              <w:ind w:left="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b/>
                <w:sz w:val="20"/>
                <w:szCs w:val="20"/>
              </w:rPr>
              <w:t>Konzultácie so Zväzom automobilového priemyslu (ZAP)</w:t>
            </w:r>
          </w:p>
          <w:p w:rsidR="001861E1" w:rsidRPr="00304E8C" w:rsidRDefault="001861E1" w:rsidP="001861E1">
            <w:pPr>
              <w:jc w:val="both"/>
            </w:pPr>
            <w:r w:rsidRPr="00304E8C">
              <w:t>Zástupcom ZAP bol k návrhu novely zákona prednesený obsah návrhu, ku ktorému vzniesli nasledovné pripomienky:</w:t>
            </w:r>
          </w:p>
          <w:p w:rsidR="0032080C" w:rsidRPr="00304E8C" w:rsidRDefault="0032080C" w:rsidP="0032080C">
            <w:pPr>
              <w:jc w:val="both"/>
            </w:pP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zrušiť § 18a upravujúci pokuty v prípade agresívneho plánovania resp. preformulovať text s doplnením definície agresívneho daňového plánovania,</w:t>
            </w: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návrh, aby rozhodnutia o odsúhlasení použitia metódy ocenenia vydávalo Ministerstvo financií SR,</w:t>
            </w:r>
          </w:p>
          <w:p w:rsidR="001861E1" w:rsidRPr="00304E8C" w:rsidRDefault="001861E1" w:rsidP="001861E1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>v § 30a ods. 9 a 30b ods. 9 navrhujú vypustiť stanovenie limitu v absolútnej hodnote, alternatívne zvýšiť  percentuálny limit odchýlky z 5 % na 10 % príp. navrhujú maximálnu výšku absolútnej odchýlky stanoviť v závislosti od kritérií ako je výška obratu, výška majetku resp. výška zaplatenej dane,</w:t>
            </w:r>
          </w:p>
          <w:p w:rsidR="0032080C" w:rsidRPr="004F5AEF" w:rsidRDefault="001861E1" w:rsidP="004F5AEF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E8C">
              <w:rPr>
                <w:rFonts w:ascii="Times New Roman" w:hAnsi="Times New Roman" w:cs="Times New Roman"/>
                <w:sz w:val="20"/>
                <w:szCs w:val="20"/>
              </w:rPr>
              <w:t xml:space="preserve">nad rámec novely zákona o dani z príjmov navrhujú vypustiť ustanovenie § 17 ods. 19 umožňujúce uplatnenie daňových výdavkov až po ich zaplatení z dôvodu neúmerného zaťažovania daňovníka na monitorovanie platieb, spresnenie daňových výdavkov na praktické vyučovanie v rámci duálneho vzdelávania a umožniť zákonný daňový odpis aj úverov poskytovaných lízingovými spoločnosťami, ktoré sú rovnocenné úverom poskytovanými bankami prípadne inými finančnými inštitúciami. 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C235AB" w:rsidRDefault="00E45D0B" w:rsidP="00C00E62">
            <w:pPr>
              <w:rPr>
                <w:b/>
              </w:rPr>
            </w:pPr>
            <w:r w:rsidRPr="00B13551">
              <w:rPr>
                <w:b/>
              </w:rPr>
              <w:t>Predpokladá sa zníženie priamych finančných nákladov v súvislosti so znížením sadzby dane z pr</w:t>
            </w:r>
            <w:r w:rsidR="00CC7654">
              <w:rPr>
                <w:b/>
              </w:rPr>
              <w:t>íjmov právnických osôb na 21 %.</w:t>
            </w:r>
            <w:r w:rsidR="00C00E62">
              <w:rPr>
                <w:b/>
              </w:rPr>
              <w:t xml:space="preserve"> </w:t>
            </w:r>
            <w:r w:rsidR="00C00E62" w:rsidRPr="00C00E62">
              <w:rPr>
                <w:b/>
              </w:rPr>
              <w:t xml:space="preserve">Zníženie sadzby DPPO z 22% na 21% bude mať pozitívny vplyv na podnikateľské prostredie v sume od 132 mil. eur v roku 2017 do 153 mil. eur v roku 2019. </w:t>
            </w:r>
          </w:p>
          <w:p w:rsidR="00C235AB" w:rsidRDefault="00C235AB" w:rsidP="00C00E62">
            <w:pPr>
              <w:rPr>
                <w:b/>
              </w:rPr>
            </w:pPr>
          </w:p>
          <w:p w:rsidR="00C235AB" w:rsidRDefault="00390CBE" w:rsidP="00C235AB">
            <w:pPr>
              <w:jc w:val="both"/>
              <w:rPr>
                <w:b/>
              </w:rPr>
            </w:pPr>
            <w:r>
              <w:rPr>
                <w:b/>
              </w:rPr>
              <w:t xml:space="preserve">Negatívny vplyv sa očakáva z dôvodu zavedenia zdaňovania podielov na zisku (dividend) a iných príjmov podiel na likvidačnom zostatku obchodnej spoločnosti, podiel na výsledku podnikania vyplácaný tichému spoločníkovi) so súčasným zrušením zdravotných odvodov z uvedených príjmov, pričom touto úpravou zároveň dochádza  k zrušeniu maximálneho vymeriavacieho základu na platenie zdravotných odvodov.  </w:t>
            </w:r>
            <w:r w:rsidR="00C235AB">
              <w:rPr>
                <w:b/>
              </w:rPr>
              <w:t xml:space="preserve">Negatívny vplyv zdaňovania podielov na zisku (dividend) sa predpokladá u daňovníkov – právnických osôb s neobmedzenou daňovou povinnosťou, ak podiely na zisku (dividendy) budú plynúť od daňovníka z nezmluvného štátu. </w:t>
            </w:r>
            <w:r w:rsidR="00C235AB" w:rsidRPr="00C235AB">
              <w:rPr>
                <w:b/>
              </w:rPr>
              <w:t>Uvedené sa vzťahuje aj na vyrovnací podiel, podiel na likvidačnom zostatku a podiel na výsledku hospodárenia</w:t>
            </w:r>
            <w:r w:rsidR="00770A83">
              <w:rPr>
                <w:b/>
              </w:rPr>
              <w:t xml:space="preserve"> tichého spoločníka</w:t>
            </w:r>
            <w:r w:rsidR="00C235AB" w:rsidRPr="00C235AB">
              <w:rPr>
                <w:b/>
              </w:rPr>
              <w:t>.</w:t>
            </w:r>
            <w:r w:rsidR="00BD273B">
              <w:rPr>
                <w:b/>
              </w:rPr>
              <w:t xml:space="preserve"> Rovnako sa predpokladá negatívny vplyv na členov pozemkového spoločenstva s právnou subjektivitou na výnosoch a na majetku určenom na rozdelenie medzi členov pozemkového spoločenstva s právnou subjektivitou. </w:t>
            </w:r>
          </w:p>
          <w:p w:rsidR="004F5AEF" w:rsidRDefault="004F5AEF" w:rsidP="00C235AB">
            <w:pPr>
              <w:jc w:val="both"/>
              <w:rPr>
                <w:b/>
              </w:rPr>
            </w:pPr>
            <w:r w:rsidRPr="00C00E62">
              <w:rPr>
                <w:b/>
              </w:rPr>
              <w:t>V prípade zavedenia zrážkovej dane z</w:t>
            </w:r>
            <w:r>
              <w:rPr>
                <w:b/>
              </w:rPr>
              <w:t> </w:t>
            </w:r>
            <w:r w:rsidRPr="00C00E62">
              <w:rPr>
                <w:b/>
              </w:rPr>
              <w:t>dividend</w:t>
            </w:r>
            <w:r>
              <w:rPr>
                <w:b/>
              </w:rPr>
              <w:t xml:space="preserve"> a iných príjmov</w:t>
            </w:r>
            <w:r w:rsidRPr="00C00E62">
              <w:rPr>
                <w:b/>
              </w:rPr>
              <w:t xml:space="preserve"> a súčasného zrušenia zdravotných odvodov z dividend nie sú dostupné údaje pre kvantifikáciu vplyvu na podnikateľské prostredie.</w:t>
            </w:r>
          </w:p>
          <w:p w:rsidR="00AE3222" w:rsidRDefault="00AE3222" w:rsidP="00C235AB">
            <w:pPr>
              <w:jc w:val="both"/>
              <w:rPr>
                <w:b/>
              </w:rPr>
            </w:pPr>
          </w:p>
          <w:p w:rsidR="00AE3222" w:rsidRPr="00C235AB" w:rsidRDefault="00AE3222" w:rsidP="00C235AB">
            <w:pPr>
              <w:jc w:val="both"/>
              <w:rPr>
                <w:b/>
              </w:rPr>
            </w:pPr>
            <w:r>
              <w:rPr>
                <w:b/>
              </w:rPr>
              <w:t xml:space="preserve">Pozitívny vplyv sa očakáva z dôvodu zahrnutia príspevku na zabezpečenie účinného uplatňovania opatrení na riešenie krízových situácii do daňových výdavkov u daňovníkov, ktorí podliehajú povinnosti </w:t>
            </w:r>
            <w:r w:rsidR="00F60074">
              <w:rPr>
                <w:b/>
              </w:rPr>
              <w:t xml:space="preserve">platenia tohto príspevku podľa zákona o riešení krízových situácii na finančnom trhu. </w:t>
            </w:r>
          </w:p>
          <w:p w:rsidR="00C00E62" w:rsidRDefault="00C00E62" w:rsidP="00C00E62">
            <w:pPr>
              <w:rPr>
                <w:b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B13551" w:rsidRPr="00B13551" w:rsidRDefault="00B13551" w:rsidP="00B13551">
            <w:pPr>
              <w:rPr>
                <w:b/>
              </w:rPr>
            </w:pPr>
            <w:r w:rsidRPr="00B13551">
              <w:rPr>
                <w:b/>
              </w:rPr>
              <w:t xml:space="preserve">Predloženými návrhmi nedochádza k vzniku nepriamych nákladov zo strany podnikateľov. </w:t>
            </w:r>
          </w:p>
          <w:p w:rsidR="00B13551" w:rsidRPr="00B13551" w:rsidRDefault="00B13551" w:rsidP="00B13551">
            <w:pPr>
              <w:rPr>
                <w:b/>
              </w:rPr>
            </w:pPr>
            <w:r w:rsidRPr="00B13551">
              <w:rPr>
                <w:b/>
              </w:rPr>
              <w:t>Predkladaný návrh nezvyšuje náklady súvisiace so zamestnávaním.</w:t>
            </w:r>
          </w:p>
          <w:p w:rsidR="009F2DFA" w:rsidRPr="00B13551" w:rsidRDefault="009F2DFA" w:rsidP="007B71A4">
            <w:pPr>
              <w:rPr>
                <w:b/>
              </w:rPr>
            </w:pPr>
            <w:bookmarkStart w:id="0" w:name="_GoBack"/>
            <w:bookmarkEnd w:id="0"/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CA72D7" w:rsidRDefault="00770A83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Zavádza sa povinnosť oznamovať správcovi dane vykonanie korešpondujúcej úpravy pri nesprávnom vyčíslení základu dane medzi závislými osobami.</w:t>
            </w:r>
            <w:r w:rsidR="00CA72D7">
              <w:rPr>
                <w:b/>
                <w:i/>
              </w:rPr>
              <w:t xml:space="preserve"> Toto oznámenie sa podáva vždy v lehote na podanie daňového priznania alebo dodatočného daňového priznania a nepredstavuje osobitné finančné náklady daňových subjektov.</w:t>
            </w:r>
          </w:p>
          <w:p w:rsidR="009F2DFA" w:rsidRDefault="00770A83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770A83" w:rsidRDefault="00770A83" w:rsidP="00770A83">
            <w:pPr>
              <w:rPr>
                <w:b/>
                <w:bCs/>
                <w:sz w:val="24"/>
                <w:szCs w:val="24"/>
              </w:rPr>
            </w:pPr>
          </w:p>
          <w:p w:rsidR="00770A83" w:rsidRPr="00F04CCD" w:rsidRDefault="00770A83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4471D5" w:rsidP="007B71A4">
            <w:pPr>
              <w:rPr>
                <w:i/>
              </w:rPr>
            </w:pPr>
            <w:r w:rsidRPr="00C00E62">
              <w:rPr>
                <w:b/>
              </w:rPr>
              <w:t>V prípade zavedenia zrážkovej dane z dividend a súčasného zrušenia zdravotných odvodov z dividend nie sú dostupné údaje pre kvantifikáciu vplyvu na podnikateľské prostredie</w:t>
            </w:r>
            <w:r>
              <w:rPr>
                <w:b/>
              </w:rPr>
              <w:t xml:space="preserve"> a podnikateľa.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521481" w:rsidP="007B71A4">
            <w:pPr>
              <w:rPr>
                <w:i/>
              </w:rPr>
            </w:pPr>
            <w:r w:rsidRPr="00A908B4">
              <w:rPr>
                <w:b/>
              </w:rPr>
              <w:t>Nepredpokladá sa vplyv navrhovanej zmeny na konkurencieschopnosť a správanie podnikov na trhu</w:t>
            </w:r>
            <w:r w:rsidRPr="00A908B4">
              <w:t>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Default="009F2DFA" w:rsidP="007B71A4">
            <w:pPr>
              <w:rPr>
                <w:i/>
              </w:rPr>
            </w:pPr>
          </w:p>
          <w:p w:rsidR="00521481" w:rsidRPr="00521481" w:rsidRDefault="00521481" w:rsidP="007B71A4">
            <w:pPr>
              <w:rPr>
                <w:b/>
              </w:rPr>
            </w:pPr>
            <w:r w:rsidRPr="00521481">
              <w:rPr>
                <w:b/>
              </w:rPr>
              <w:t>Navrhovaná zmena nemá vplyv na inovácie</w:t>
            </w:r>
            <w:r>
              <w:rPr>
                <w:b/>
              </w:rPr>
              <w:t>.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</w:p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FA" w:rsidRDefault="009F2DFA" w:rsidP="009F2DFA">
      <w:r>
        <w:separator/>
      </w:r>
    </w:p>
  </w:endnote>
  <w:endnote w:type="continuationSeparator" w:id="0">
    <w:p w:rsidR="009F2DFA" w:rsidRDefault="009F2DF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74">
          <w:rPr>
            <w:noProof/>
          </w:rPr>
          <w:t>4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FA" w:rsidRDefault="009F2DFA" w:rsidP="009F2DFA">
      <w:r>
        <w:separator/>
      </w:r>
    </w:p>
  </w:footnote>
  <w:footnote w:type="continuationSeparator" w:id="0">
    <w:p w:rsidR="009F2DFA" w:rsidRDefault="009F2DFA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87971"/>
    <w:multiLevelType w:val="hybridMultilevel"/>
    <w:tmpl w:val="F35E1442"/>
    <w:lvl w:ilvl="0" w:tplc="670EF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078D0"/>
    <w:multiLevelType w:val="hybridMultilevel"/>
    <w:tmpl w:val="58307D2C"/>
    <w:lvl w:ilvl="0" w:tplc="7B62DF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85009"/>
    <w:multiLevelType w:val="hybridMultilevel"/>
    <w:tmpl w:val="67DE287E"/>
    <w:lvl w:ilvl="0" w:tplc="41086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40905"/>
    <w:multiLevelType w:val="hybridMultilevel"/>
    <w:tmpl w:val="FBB282D4"/>
    <w:lvl w:ilvl="0" w:tplc="734459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15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154881"/>
    <w:rsid w:val="001861E1"/>
    <w:rsid w:val="002B1108"/>
    <w:rsid w:val="00304E8C"/>
    <w:rsid w:val="0032080C"/>
    <w:rsid w:val="00390CBE"/>
    <w:rsid w:val="004471D5"/>
    <w:rsid w:val="004F5AEF"/>
    <w:rsid w:val="00521481"/>
    <w:rsid w:val="0052297F"/>
    <w:rsid w:val="006930F2"/>
    <w:rsid w:val="00770A83"/>
    <w:rsid w:val="00780BA6"/>
    <w:rsid w:val="007C1DD6"/>
    <w:rsid w:val="008314BF"/>
    <w:rsid w:val="00833A15"/>
    <w:rsid w:val="00837639"/>
    <w:rsid w:val="0084273B"/>
    <w:rsid w:val="00890B30"/>
    <w:rsid w:val="008A1252"/>
    <w:rsid w:val="008D1791"/>
    <w:rsid w:val="00904C9B"/>
    <w:rsid w:val="00947C7C"/>
    <w:rsid w:val="009575A7"/>
    <w:rsid w:val="00987D24"/>
    <w:rsid w:val="009B4D65"/>
    <w:rsid w:val="009F2DFA"/>
    <w:rsid w:val="00A908B4"/>
    <w:rsid w:val="00AE3222"/>
    <w:rsid w:val="00AF53F1"/>
    <w:rsid w:val="00B13551"/>
    <w:rsid w:val="00B31A8E"/>
    <w:rsid w:val="00BA073A"/>
    <w:rsid w:val="00BD273B"/>
    <w:rsid w:val="00C00E62"/>
    <w:rsid w:val="00C235AB"/>
    <w:rsid w:val="00C91CD4"/>
    <w:rsid w:val="00CA72D7"/>
    <w:rsid w:val="00CB3623"/>
    <w:rsid w:val="00CC7654"/>
    <w:rsid w:val="00CF1942"/>
    <w:rsid w:val="00E45D0B"/>
    <w:rsid w:val="00E86AD1"/>
    <w:rsid w:val="00F11ACD"/>
    <w:rsid w:val="00F41620"/>
    <w:rsid w:val="00F60074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960EB-2E16-4B60-8245-BBDF0A0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"/>
    <w:basedOn w:val="Predvolenpsmoodseku"/>
    <w:link w:val="Odsekzoznamu"/>
    <w:uiPriority w:val="34"/>
    <w:locked/>
    <w:rsid w:val="0069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Vidova Michaela</cp:lastModifiedBy>
  <cp:revision>14</cp:revision>
  <cp:lastPrinted>2016-07-07T15:47:00Z</cp:lastPrinted>
  <dcterms:created xsi:type="dcterms:W3CDTF">2016-06-15T13:18:00Z</dcterms:created>
  <dcterms:modified xsi:type="dcterms:W3CDTF">2016-08-05T08:03:00Z</dcterms:modified>
</cp:coreProperties>
</file>