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A1" w:rsidRPr="00C549ED" w:rsidRDefault="003501A1" w:rsidP="003501A1">
      <w:pPr>
        <w:jc w:val="center"/>
        <w:rPr>
          <w:b/>
          <w:bCs/>
          <w:sz w:val="28"/>
          <w:szCs w:val="28"/>
        </w:rPr>
      </w:pPr>
      <w:r w:rsidRPr="00C549ED">
        <w:rPr>
          <w:b/>
          <w:bCs/>
          <w:sz w:val="28"/>
          <w:szCs w:val="28"/>
        </w:rPr>
        <w:t>Doložka vybraných vplyvov</w:t>
      </w:r>
    </w:p>
    <w:p w:rsidR="003501A1" w:rsidRPr="00C549ED" w:rsidRDefault="003501A1" w:rsidP="003501A1">
      <w:pPr>
        <w:pStyle w:val="Odsekzoznamu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C549ED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C549ED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>Základné údaje</w:t>
            </w:r>
          </w:p>
        </w:tc>
      </w:tr>
      <w:tr w:rsidR="003501A1" w:rsidRPr="00C549ED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C549ED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>Názov materiálu</w:t>
            </w:r>
          </w:p>
          <w:p w:rsidR="00792575" w:rsidRPr="00C549ED" w:rsidRDefault="00886554" w:rsidP="00B93EA9">
            <w:pPr>
              <w:pStyle w:val="Odsekzoznamu"/>
              <w:ind w:left="142" w:right="1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554">
              <w:rPr>
                <w:rFonts w:ascii="Times New Roman" w:hAnsi="Times New Roman" w:cs="Times New Roman"/>
                <w:sz w:val="24"/>
                <w:szCs w:val="24"/>
              </w:rPr>
              <w:t>Návrh zákona, ktorým  sa mení a  dopĺňa zákon č. 563/2009 Z. z. o správe daní (daňový poriadok) a o zmene a doplnení niektorých zákonov v znení neskorších predpisov a ktorým sa menia a dopĺňajú niektoré zákony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1A1" w:rsidRPr="00C549ED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C549ED" w:rsidRDefault="003501A1" w:rsidP="007B71A4">
            <w:pPr>
              <w:rPr>
                <w:sz w:val="24"/>
                <w:szCs w:val="24"/>
              </w:rPr>
            </w:pPr>
          </w:p>
        </w:tc>
      </w:tr>
      <w:tr w:rsidR="003501A1" w:rsidRPr="00C549ED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C549ED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>Predkladateľ (a spolupredkladateľ)</w:t>
            </w:r>
          </w:p>
        </w:tc>
      </w:tr>
      <w:tr w:rsidR="003501A1" w:rsidRPr="00C549ED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C549ED" w:rsidRDefault="00792575" w:rsidP="00792575">
            <w:pPr>
              <w:pStyle w:val="Odsekzoznamu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549ED">
              <w:rPr>
                <w:rFonts w:ascii="Times New Roman" w:hAnsi="Times New Roman" w:cs="Times New Roman"/>
                <w:sz w:val="24"/>
                <w:szCs w:val="24"/>
              </w:rPr>
              <w:t>Ministerstvo financií Slovenskej republiky</w:t>
            </w:r>
          </w:p>
        </w:tc>
      </w:tr>
      <w:tr w:rsidR="003501A1" w:rsidRPr="00C549ED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C549ED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>Charakter predkladaného materiálu</w:t>
            </w:r>
          </w:p>
        </w:tc>
        <w:sdt>
          <w:sdtPr>
            <w:rPr>
              <w:sz w:val="24"/>
              <w:szCs w:val="24"/>
            </w:r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C549ED" w:rsidRDefault="003501A1" w:rsidP="007B71A4">
                <w:pPr>
                  <w:jc w:val="center"/>
                  <w:rPr>
                    <w:sz w:val="24"/>
                    <w:szCs w:val="24"/>
                  </w:rPr>
                </w:pPr>
                <w:r w:rsidRPr="00C549ED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C549ED" w:rsidRDefault="003501A1" w:rsidP="007B71A4">
            <w:pPr>
              <w:rPr>
                <w:sz w:val="24"/>
                <w:szCs w:val="24"/>
              </w:rPr>
            </w:pPr>
            <w:r w:rsidRPr="00C549ED">
              <w:rPr>
                <w:sz w:val="24"/>
                <w:szCs w:val="24"/>
              </w:rPr>
              <w:t>Materiál nelegislatívnej povahy</w:t>
            </w:r>
          </w:p>
        </w:tc>
      </w:tr>
      <w:tr w:rsidR="003501A1" w:rsidRPr="00C549ED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C549ED" w:rsidRDefault="003501A1" w:rsidP="007B71A4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C549ED" w:rsidRDefault="00792575" w:rsidP="007B71A4">
                <w:pPr>
                  <w:jc w:val="center"/>
                  <w:rPr>
                    <w:sz w:val="24"/>
                    <w:szCs w:val="24"/>
                  </w:rPr>
                </w:pPr>
                <w:r w:rsidRPr="00C549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C549ED" w:rsidRDefault="003501A1" w:rsidP="007B71A4">
            <w:pPr>
              <w:ind w:left="175" w:hanging="175"/>
              <w:rPr>
                <w:sz w:val="24"/>
                <w:szCs w:val="24"/>
              </w:rPr>
            </w:pPr>
            <w:r w:rsidRPr="00C549ED">
              <w:rPr>
                <w:sz w:val="24"/>
                <w:szCs w:val="24"/>
              </w:rPr>
              <w:t>Materiál legislatívnej povahy</w:t>
            </w:r>
          </w:p>
        </w:tc>
      </w:tr>
      <w:tr w:rsidR="003501A1" w:rsidRPr="00C549ED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C549ED" w:rsidRDefault="003501A1" w:rsidP="007B71A4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C549ED" w:rsidRDefault="003501A1" w:rsidP="007B71A4">
                <w:pPr>
                  <w:jc w:val="center"/>
                  <w:rPr>
                    <w:sz w:val="24"/>
                    <w:szCs w:val="24"/>
                  </w:rPr>
                </w:pPr>
                <w:r w:rsidRPr="00C549ED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C549ED" w:rsidRDefault="003501A1" w:rsidP="007B71A4">
            <w:pPr>
              <w:rPr>
                <w:sz w:val="24"/>
                <w:szCs w:val="24"/>
              </w:rPr>
            </w:pPr>
            <w:r w:rsidRPr="00C549ED">
              <w:rPr>
                <w:sz w:val="24"/>
                <w:szCs w:val="24"/>
              </w:rPr>
              <w:t>Transpozícia práva EÚ</w:t>
            </w:r>
          </w:p>
        </w:tc>
      </w:tr>
      <w:tr w:rsidR="003501A1" w:rsidRPr="00C549ED" w:rsidTr="00C549ED">
        <w:trPr>
          <w:trHeight w:val="284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C549ED" w:rsidRDefault="003501A1" w:rsidP="007B71A4">
            <w:pPr>
              <w:rPr>
                <w:sz w:val="24"/>
                <w:szCs w:val="24"/>
              </w:rPr>
            </w:pPr>
            <w:r w:rsidRPr="00C549ED">
              <w:rPr>
                <w:i/>
                <w:sz w:val="24"/>
                <w:szCs w:val="24"/>
              </w:rPr>
              <w:t>V prípade transpozície uveďte zoznam transponovaných predpisov:</w:t>
            </w:r>
            <w:r w:rsidR="00C549ED">
              <w:rPr>
                <w:i/>
                <w:sz w:val="24"/>
                <w:szCs w:val="24"/>
              </w:rPr>
              <w:t xml:space="preserve"> </w:t>
            </w:r>
          </w:p>
          <w:p w:rsidR="003501A1" w:rsidRPr="00C549ED" w:rsidRDefault="003501A1" w:rsidP="007B71A4">
            <w:pPr>
              <w:rPr>
                <w:sz w:val="24"/>
                <w:szCs w:val="24"/>
              </w:rPr>
            </w:pPr>
          </w:p>
        </w:tc>
      </w:tr>
      <w:tr w:rsidR="003501A1" w:rsidRPr="00C549ED" w:rsidTr="00E65C5B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C549ED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A1" w:rsidRPr="00C549ED" w:rsidRDefault="00886554" w:rsidP="008865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27. 6. 2016 – 1</w:t>
            </w:r>
            <w:r w:rsidR="00E65C5B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7</w:t>
            </w:r>
            <w:r w:rsidR="00E65C5B">
              <w:rPr>
                <w:i/>
                <w:sz w:val="24"/>
                <w:szCs w:val="24"/>
              </w:rPr>
              <w:t>. 2016</w:t>
            </w:r>
          </w:p>
        </w:tc>
      </w:tr>
      <w:tr w:rsidR="003501A1" w:rsidRPr="00C549ED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C549ED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>Predpokladaný termín predloženia na MPK</w:t>
            </w:r>
            <w:r w:rsidR="00F62771"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C549ED" w:rsidRDefault="003501A1" w:rsidP="007B71A4">
            <w:pPr>
              <w:rPr>
                <w:i/>
                <w:sz w:val="24"/>
                <w:szCs w:val="24"/>
              </w:rPr>
            </w:pPr>
          </w:p>
        </w:tc>
      </w:tr>
      <w:tr w:rsidR="003501A1" w:rsidRPr="00C549ED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C549ED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Predpokladaný termín predloženia na Rokovanie </w:t>
            </w:r>
            <w:bookmarkStart w:id="0" w:name="_GoBack"/>
            <w:bookmarkEnd w:id="0"/>
            <w:r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>vlády SR</w:t>
            </w:r>
            <w:r w:rsidR="00F62771"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C549ED" w:rsidRDefault="003501A1" w:rsidP="007B71A4">
            <w:pPr>
              <w:rPr>
                <w:i/>
                <w:sz w:val="24"/>
                <w:szCs w:val="24"/>
              </w:rPr>
            </w:pPr>
          </w:p>
        </w:tc>
      </w:tr>
      <w:tr w:rsidR="003501A1" w:rsidRPr="00C549ED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C549ED" w:rsidRDefault="003501A1" w:rsidP="007B71A4">
            <w:pPr>
              <w:rPr>
                <w:sz w:val="24"/>
                <w:szCs w:val="24"/>
              </w:rPr>
            </w:pPr>
          </w:p>
        </w:tc>
      </w:tr>
      <w:tr w:rsidR="003501A1" w:rsidRPr="00C549ED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C549ED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>Defin</w:t>
            </w:r>
            <w:r w:rsidR="00AC2477"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>ovanie</w:t>
            </w:r>
            <w:r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problému</w:t>
            </w:r>
          </w:p>
        </w:tc>
      </w:tr>
      <w:tr w:rsidR="003501A1" w:rsidRPr="00C549ED" w:rsidTr="00181A5D">
        <w:trPr>
          <w:trHeight w:val="567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554" w:rsidRPr="00886554" w:rsidRDefault="00886554" w:rsidP="00886554">
            <w:pPr>
              <w:ind w:right="146"/>
              <w:jc w:val="both"/>
              <w:rPr>
                <w:sz w:val="24"/>
                <w:szCs w:val="24"/>
                <w:lang w:eastAsia="en-US"/>
              </w:rPr>
            </w:pPr>
            <w:r w:rsidRPr="00886554">
              <w:rPr>
                <w:sz w:val="24"/>
                <w:szCs w:val="24"/>
                <w:lang w:eastAsia="en-US"/>
              </w:rPr>
              <w:t>Návrh zákona reaguje na priority vyplývajúce z Programového vyhlásenia vlády SR, konkrétne aktualizovaný akčný plán boja proti daňovým podvodom.</w:t>
            </w:r>
          </w:p>
          <w:p w:rsidR="003501A1" w:rsidRPr="00C549ED" w:rsidRDefault="00886554" w:rsidP="00886554">
            <w:pPr>
              <w:ind w:right="146"/>
              <w:jc w:val="both"/>
              <w:rPr>
                <w:b/>
                <w:sz w:val="24"/>
                <w:szCs w:val="24"/>
              </w:rPr>
            </w:pPr>
            <w:r w:rsidRPr="00886554">
              <w:rPr>
                <w:sz w:val="24"/>
                <w:szCs w:val="24"/>
                <w:lang w:eastAsia="en-US"/>
              </w:rPr>
              <w:t xml:space="preserve">Reformuje sa inštitút predbežného opatrenia, zavádza sa skrátené vyrubovacie konanie ako ďalší spôsob vyrubenia dane. Upravuje sa </w:t>
            </w:r>
            <w:proofErr w:type="spellStart"/>
            <w:r w:rsidRPr="00886554">
              <w:rPr>
                <w:sz w:val="24"/>
                <w:szCs w:val="24"/>
                <w:lang w:eastAsia="en-US"/>
              </w:rPr>
              <w:t>vytýkacie</w:t>
            </w:r>
            <w:proofErr w:type="spellEnd"/>
            <w:r w:rsidRPr="00886554">
              <w:rPr>
                <w:sz w:val="24"/>
                <w:szCs w:val="24"/>
                <w:lang w:eastAsia="en-US"/>
              </w:rPr>
              <w:t xml:space="preserve"> konanie (v prípade neodstránenia nedostatkov, ktoré majú vplyv na výšku dane alebo uplatnený nárok, správca dane môže vyrubiť daň skráteným konaním – vyrubovacím rozkazom. Z dôvodu zefektívnenia výkonu daňovej exekúcie prikázaním pohľadávky z účtu vedeného v banke sa medzi daňovými exekútormi a bankami zavedie elektronická komunikácia.</w:t>
            </w:r>
          </w:p>
        </w:tc>
      </w:tr>
      <w:tr w:rsidR="003501A1" w:rsidRPr="00C549ED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C549ED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>Ciele a výsledný stav</w:t>
            </w:r>
          </w:p>
        </w:tc>
      </w:tr>
      <w:tr w:rsidR="003501A1" w:rsidRPr="00C549ED" w:rsidTr="00181A5D">
        <w:trPr>
          <w:trHeight w:val="567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C549ED" w:rsidRDefault="00886554" w:rsidP="007B71A4">
            <w:pPr>
              <w:rPr>
                <w:sz w:val="24"/>
                <w:szCs w:val="24"/>
              </w:rPr>
            </w:pPr>
            <w:r w:rsidRPr="00886554">
              <w:rPr>
                <w:sz w:val="24"/>
                <w:szCs w:val="24"/>
              </w:rPr>
              <w:t>Hlavným cieľom je vytvorenie účinnejších nástrojov na boj s daňovými podvodmi.</w:t>
            </w:r>
          </w:p>
        </w:tc>
      </w:tr>
      <w:tr w:rsidR="003501A1" w:rsidRPr="00C549ED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C549ED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>Dotknuté subjekty</w:t>
            </w:r>
          </w:p>
        </w:tc>
      </w:tr>
      <w:tr w:rsidR="003501A1" w:rsidRPr="00C549ED" w:rsidTr="00181A5D">
        <w:trPr>
          <w:trHeight w:val="567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C549ED" w:rsidRDefault="00886554" w:rsidP="00886554">
            <w:pPr>
              <w:rPr>
                <w:i/>
                <w:sz w:val="24"/>
                <w:szCs w:val="24"/>
              </w:rPr>
            </w:pPr>
            <w:r w:rsidRPr="00886554">
              <w:rPr>
                <w:sz w:val="24"/>
                <w:szCs w:val="24"/>
                <w:lang w:eastAsia="en-US"/>
              </w:rPr>
              <w:t>Finančná správa, banky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86554">
              <w:rPr>
                <w:sz w:val="24"/>
                <w:szCs w:val="24"/>
                <w:lang w:eastAsia="en-US"/>
              </w:rPr>
              <w:t>daňové subjekty</w:t>
            </w:r>
            <w:r>
              <w:rPr>
                <w:sz w:val="24"/>
                <w:szCs w:val="24"/>
                <w:lang w:eastAsia="en-US"/>
              </w:rPr>
              <w:t>, ktoré porušujú alebo obchádzajú daňové predpisy.</w:t>
            </w:r>
          </w:p>
        </w:tc>
      </w:tr>
      <w:tr w:rsidR="003501A1" w:rsidRPr="00C549ED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C549ED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>Alternatívne riešenia</w:t>
            </w:r>
          </w:p>
        </w:tc>
      </w:tr>
      <w:tr w:rsidR="003501A1" w:rsidRPr="00C549ED" w:rsidTr="00181A5D">
        <w:trPr>
          <w:trHeight w:val="567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C549ED" w:rsidRDefault="002D3A4E" w:rsidP="00886554">
            <w:pPr>
              <w:rPr>
                <w:i/>
                <w:sz w:val="24"/>
                <w:szCs w:val="24"/>
              </w:rPr>
            </w:pPr>
            <w:r w:rsidRPr="00C549ED">
              <w:rPr>
                <w:sz w:val="24"/>
                <w:szCs w:val="24"/>
                <w:lang w:eastAsia="en-US"/>
              </w:rPr>
              <w:t>Alternatívne riešenia nie sú predkladané a neboli ani posudzované</w:t>
            </w:r>
            <w:r w:rsidR="00886554">
              <w:rPr>
                <w:sz w:val="24"/>
                <w:szCs w:val="24"/>
                <w:lang w:eastAsia="en-US"/>
              </w:rPr>
              <w:t>, nakoľko návrh vychádza z reálnych požiadaviek vyplývajúcich z Akčného plánu boja proti daňovým podvodom.</w:t>
            </w:r>
          </w:p>
        </w:tc>
      </w:tr>
      <w:tr w:rsidR="003501A1" w:rsidRPr="00C549ED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C549ED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>Vykonávacie predpisy</w:t>
            </w:r>
          </w:p>
        </w:tc>
      </w:tr>
      <w:tr w:rsidR="003501A1" w:rsidRPr="00C549ED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C549ED" w:rsidRDefault="003501A1" w:rsidP="007B71A4">
            <w:pPr>
              <w:rPr>
                <w:i/>
                <w:sz w:val="24"/>
                <w:szCs w:val="24"/>
              </w:rPr>
            </w:pPr>
            <w:r w:rsidRPr="00C549ED">
              <w:rPr>
                <w:i/>
                <w:sz w:val="24"/>
                <w:szCs w:val="24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C549ED" w:rsidRDefault="005C0E2A" w:rsidP="007B71A4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6F" w:rsidRPr="00C549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501A1" w:rsidRPr="00C549ED">
              <w:rPr>
                <w:sz w:val="24"/>
                <w:szCs w:val="24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C549ED" w:rsidRDefault="005C0E2A" w:rsidP="007B71A4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A4E" w:rsidRPr="00C549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3501A1" w:rsidRPr="00C549ED">
              <w:rPr>
                <w:sz w:val="24"/>
                <w:szCs w:val="24"/>
              </w:rPr>
              <w:t xml:space="preserve">  Nie</w:t>
            </w:r>
          </w:p>
        </w:tc>
      </w:tr>
      <w:tr w:rsidR="003501A1" w:rsidRPr="00C549ED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C549ED" w:rsidRDefault="003501A1" w:rsidP="00C549ED">
            <w:pPr>
              <w:rPr>
                <w:sz w:val="24"/>
                <w:szCs w:val="24"/>
              </w:rPr>
            </w:pPr>
          </w:p>
        </w:tc>
      </w:tr>
      <w:tr w:rsidR="003501A1" w:rsidRPr="00C549ED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C549ED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Transpozícia práva EÚ </w:t>
            </w:r>
          </w:p>
        </w:tc>
      </w:tr>
      <w:tr w:rsidR="003501A1" w:rsidRPr="00C549ED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C549ED" w:rsidRDefault="002D3A4E" w:rsidP="007B71A4">
            <w:pPr>
              <w:rPr>
                <w:i/>
                <w:sz w:val="24"/>
                <w:szCs w:val="24"/>
              </w:rPr>
            </w:pPr>
            <w:r w:rsidRPr="00C549ED">
              <w:rPr>
                <w:i/>
                <w:sz w:val="24"/>
                <w:szCs w:val="24"/>
              </w:rPr>
              <w:t>-</w:t>
            </w:r>
          </w:p>
        </w:tc>
      </w:tr>
      <w:tr w:rsidR="003501A1" w:rsidRPr="00C549ED" w:rsidTr="00BA1B9E">
        <w:trPr>
          <w:trHeight w:val="80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C549ED" w:rsidRDefault="003501A1" w:rsidP="007B71A4">
            <w:pPr>
              <w:jc w:val="center"/>
              <w:rPr>
                <w:sz w:val="24"/>
                <w:szCs w:val="24"/>
              </w:rPr>
            </w:pPr>
          </w:p>
        </w:tc>
      </w:tr>
      <w:tr w:rsidR="003501A1" w:rsidRPr="00C549ED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C549ED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>Preskúmanie účelnosti</w:t>
            </w:r>
            <w:r w:rsidR="00F62771"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3501A1" w:rsidRPr="00C549ED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C549ED" w:rsidRDefault="00BA1B9E" w:rsidP="00BA1B9E">
            <w:pPr>
              <w:rPr>
                <w:i/>
                <w:sz w:val="24"/>
                <w:szCs w:val="24"/>
              </w:rPr>
            </w:pPr>
            <w:r w:rsidRPr="00C549ED">
              <w:rPr>
                <w:i/>
                <w:sz w:val="24"/>
                <w:szCs w:val="24"/>
              </w:rPr>
              <w:t>-</w:t>
            </w:r>
          </w:p>
          <w:p w:rsidR="00BA1B9E" w:rsidRPr="00C549ED" w:rsidRDefault="00BA1B9E" w:rsidP="00BA1B9E">
            <w:pPr>
              <w:rPr>
                <w:i/>
                <w:sz w:val="24"/>
                <w:szCs w:val="24"/>
              </w:rPr>
            </w:pPr>
          </w:p>
        </w:tc>
      </w:tr>
      <w:tr w:rsidR="003501A1" w:rsidRPr="00C549ED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Pr="00C549ED" w:rsidRDefault="004F6F1F" w:rsidP="004C60B8">
            <w:pPr>
              <w:ind w:left="142" w:hanging="142"/>
              <w:rPr>
                <w:sz w:val="24"/>
                <w:szCs w:val="24"/>
              </w:rPr>
            </w:pPr>
          </w:p>
          <w:p w:rsidR="00F62771" w:rsidRPr="00C549ED" w:rsidRDefault="00F62771" w:rsidP="004C60B8">
            <w:pPr>
              <w:ind w:left="142" w:hanging="142"/>
              <w:rPr>
                <w:sz w:val="24"/>
                <w:szCs w:val="24"/>
              </w:rPr>
            </w:pPr>
            <w:r w:rsidRPr="00C549ED">
              <w:rPr>
                <w:sz w:val="24"/>
                <w:szCs w:val="24"/>
              </w:rPr>
              <w:t xml:space="preserve">* </w:t>
            </w:r>
            <w:r w:rsidR="004C60B8" w:rsidRPr="00C549ED">
              <w:rPr>
                <w:sz w:val="24"/>
                <w:szCs w:val="24"/>
              </w:rPr>
              <w:t>vyplniť iba v prípade, ak</w:t>
            </w:r>
            <w:r w:rsidRPr="00C549ED">
              <w:rPr>
                <w:sz w:val="24"/>
                <w:szCs w:val="24"/>
              </w:rPr>
              <w:t xml:space="preserve"> </w:t>
            </w:r>
            <w:r w:rsidR="004C60B8" w:rsidRPr="00C549ED">
              <w:rPr>
                <w:sz w:val="24"/>
                <w:szCs w:val="24"/>
              </w:rPr>
              <w:t xml:space="preserve">materiál </w:t>
            </w:r>
            <w:r w:rsidRPr="00C549ED">
              <w:rPr>
                <w:sz w:val="24"/>
                <w:szCs w:val="24"/>
              </w:rPr>
              <w:t xml:space="preserve">nie je </w:t>
            </w:r>
            <w:r w:rsidR="004C60B8" w:rsidRPr="00C549ED">
              <w:rPr>
                <w:sz w:val="24"/>
                <w:szCs w:val="24"/>
              </w:rPr>
              <w:t>zahrnutý do Plánu práce vlády Slovenskej republiky alebo Plánu        legislatívnych úloh vlády Slovenskej republiky.</w:t>
            </w:r>
            <w:r w:rsidRPr="00C549ED">
              <w:rPr>
                <w:sz w:val="24"/>
                <w:szCs w:val="24"/>
              </w:rPr>
              <w:t xml:space="preserve"> </w:t>
            </w:r>
          </w:p>
          <w:p w:rsidR="003501A1" w:rsidRPr="00C549ED" w:rsidRDefault="00F62771" w:rsidP="00F22831">
            <w:pPr>
              <w:rPr>
                <w:sz w:val="24"/>
                <w:szCs w:val="24"/>
              </w:rPr>
            </w:pPr>
            <w:r w:rsidRPr="00C549ED">
              <w:rPr>
                <w:sz w:val="24"/>
                <w:szCs w:val="24"/>
              </w:rPr>
              <w:t>*</w:t>
            </w:r>
            <w:r w:rsidR="00F22831" w:rsidRPr="00C549ED">
              <w:rPr>
                <w:sz w:val="24"/>
                <w:szCs w:val="24"/>
              </w:rPr>
              <w:t>* nepovinné</w:t>
            </w:r>
          </w:p>
        </w:tc>
      </w:tr>
      <w:tr w:rsidR="003501A1" w:rsidRPr="00C549ED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C549ED" w:rsidRDefault="003501A1" w:rsidP="003501A1">
            <w:pPr>
              <w:rPr>
                <w:b/>
                <w:sz w:val="24"/>
                <w:szCs w:val="24"/>
              </w:rPr>
            </w:pPr>
          </w:p>
        </w:tc>
      </w:tr>
      <w:tr w:rsidR="003501A1" w:rsidRPr="00C549ED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C549ED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>Vplyvy navrhovaného materiálu</w:t>
            </w:r>
          </w:p>
        </w:tc>
      </w:tr>
      <w:tr w:rsidR="003501A1" w:rsidRPr="00C549ED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C549ED" w:rsidRDefault="003501A1" w:rsidP="007B71A4">
            <w:pPr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Vplyvy na rozpočet verejnej správy</w:t>
            </w:r>
          </w:p>
        </w:tc>
        <w:sdt>
          <w:sdtPr>
            <w:rPr>
              <w:b/>
              <w:sz w:val="24"/>
              <w:szCs w:val="24"/>
            </w:rPr>
            <w:id w:val="11215754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C549ED" w:rsidRDefault="00BA1B9E" w:rsidP="007B71A4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C549E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549ED" w:rsidRDefault="003501A1" w:rsidP="007B71A4">
            <w:pPr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b/>
              <w:sz w:val="24"/>
              <w:szCs w:val="24"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549ED" w:rsidRDefault="003501A1" w:rsidP="007B71A4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C549ED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549ED" w:rsidRDefault="003501A1" w:rsidP="007B71A4">
            <w:pPr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Žiadne</w:t>
            </w:r>
          </w:p>
        </w:tc>
        <w:sdt>
          <w:sdtPr>
            <w:rPr>
              <w:b/>
              <w:sz w:val="24"/>
              <w:szCs w:val="24"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549ED" w:rsidRDefault="009A4CF1" w:rsidP="007B71A4">
                <w:pPr>
                  <w:ind w:left="-107" w:right="-108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C549ED" w:rsidRDefault="003501A1" w:rsidP="007B71A4">
            <w:pPr>
              <w:ind w:left="34"/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Negatívne</w:t>
            </w:r>
          </w:p>
        </w:tc>
      </w:tr>
      <w:tr w:rsidR="003501A1" w:rsidRPr="00C549ED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C549ED" w:rsidRDefault="003501A1" w:rsidP="007B71A4">
            <w:pPr>
              <w:rPr>
                <w:sz w:val="24"/>
                <w:szCs w:val="24"/>
              </w:rPr>
            </w:pPr>
            <w:r w:rsidRPr="00C549ED">
              <w:rPr>
                <w:sz w:val="24"/>
                <w:szCs w:val="24"/>
              </w:rPr>
              <w:t xml:space="preserve">    z toho rozpočtovo zabezpečené vplyvy</w:t>
            </w:r>
          </w:p>
        </w:tc>
        <w:sdt>
          <w:sdtPr>
            <w:rPr>
              <w:sz w:val="24"/>
              <w:szCs w:val="24"/>
            </w:rPr>
            <w:id w:val="-20737291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C549ED" w:rsidRDefault="009A4CF1" w:rsidP="007B71A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549ED" w:rsidRDefault="003501A1" w:rsidP="007B71A4">
            <w:pPr>
              <w:rPr>
                <w:sz w:val="24"/>
                <w:szCs w:val="24"/>
              </w:rPr>
            </w:pPr>
            <w:r w:rsidRPr="00C549ED">
              <w:rPr>
                <w:sz w:val="24"/>
                <w:szCs w:val="24"/>
              </w:rPr>
              <w:t>Áno</w:t>
            </w:r>
          </w:p>
        </w:tc>
        <w:sdt>
          <w:sdtPr>
            <w:rPr>
              <w:sz w:val="24"/>
              <w:szCs w:val="24"/>
            </w:r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549ED" w:rsidRDefault="003501A1" w:rsidP="007B71A4">
                <w:pPr>
                  <w:jc w:val="center"/>
                  <w:rPr>
                    <w:sz w:val="24"/>
                    <w:szCs w:val="24"/>
                  </w:rPr>
                </w:pPr>
                <w:r w:rsidRPr="00C549ED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549ED" w:rsidRDefault="003501A1" w:rsidP="007B71A4">
            <w:pPr>
              <w:rPr>
                <w:sz w:val="24"/>
                <w:szCs w:val="24"/>
              </w:rPr>
            </w:pPr>
            <w:r w:rsidRPr="00C549ED">
              <w:rPr>
                <w:sz w:val="24"/>
                <w:szCs w:val="24"/>
              </w:rPr>
              <w:t>Nie</w:t>
            </w:r>
          </w:p>
        </w:tc>
        <w:sdt>
          <w:sdtPr>
            <w:rPr>
              <w:sz w:val="24"/>
              <w:szCs w:val="24"/>
            </w:r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549ED" w:rsidRDefault="003501A1" w:rsidP="007B71A4">
                <w:pPr>
                  <w:ind w:left="-107" w:right="-108"/>
                  <w:jc w:val="center"/>
                  <w:rPr>
                    <w:sz w:val="24"/>
                    <w:szCs w:val="24"/>
                  </w:rPr>
                </w:pPr>
                <w:r w:rsidRPr="00C549ED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C549ED" w:rsidRDefault="003501A1" w:rsidP="007B71A4">
            <w:pPr>
              <w:ind w:left="34"/>
              <w:rPr>
                <w:sz w:val="24"/>
                <w:szCs w:val="24"/>
              </w:rPr>
            </w:pPr>
            <w:r w:rsidRPr="00C549ED">
              <w:rPr>
                <w:sz w:val="24"/>
                <w:szCs w:val="24"/>
              </w:rPr>
              <w:t>Čiastočne</w:t>
            </w:r>
          </w:p>
        </w:tc>
      </w:tr>
      <w:tr w:rsidR="003501A1" w:rsidRPr="00C549ED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C549ED" w:rsidRDefault="003501A1" w:rsidP="004C794A">
            <w:pPr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Vplyvy na podnikateľské prostredie</w:t>
            </w:r>
          </w:p>
        </w:tc>
        <w:sdt>
          <w:sdtPr>
            <w:rPr>
              <w:b/>
              <w:sz w:val="24"/>
              <w:szCs w:val="24"/>
            </w:rPr>
            <w:id w:val="132831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C549ED" w:rsidRDefault="009A4CF1" w:rsidP="007B71A4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549ED" w:rsidRDefault="003501A1" w:rsidP="007B71A4">
            <w:pPr>
              <w:ind w:right="-108"/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b/>
              <w:sz w:val="24"/>
              <w:szCs w:val="24"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549ED" w:rsidRDefault="003501A1" w:rsidP="007B71A4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C549ED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549ED" w:rsidRDefault="003501A1" w:rsidP="007B71A4">
            <w:pPr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Žiadne</w:t>
            </w:r>
          </w:p>
        </w:tc>
        <w:sdt>
          <w:sdtPr>
            <w:rPr>
              <w:b/>
              <w:sz w:val="24"/>
              <w:szCs w:val="24"/>
            </w:rPr>
            <w:id w:val="2173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549ED" w:rsidRDefault="00BA1B9E" w:rsidP="007B71A4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C549E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C549ED" w:rsidRDefault="003501A1" w:rsidP="007B71A4">
            <w:pPr>
              <w:ind w:left="54"/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Negatívne</w:t>
            </w:r>
          </w:p>
        </w:tc>
      </w:tr>
      <w:tr w:rsidR="003501A1" w:rsidRPr="00C549ED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C549ED" w:rsidRDefault="003501A1" w:rsidP="007B71A4">
            <w:pPr>
              <w:rPr>
                <w:sz w:val="24"/>
                <w:szCs w:val="24"/>
              </w:rPr>
            </w:pPr>
            <w:r w:rsidRPr="00C549ED">
              <w:rPr>
                <w:sz w:val="24"/>
                <w:szCs w:val="24"/>
              </w:rPr>
              <w:t xml:space="preserve">    z toho vplyvy na MSP</w:t>
            </w:r>
          </w:p>
        </w:tc>
        <w:sdt>
          <w:sdtPr>
            <w:rPr>
              <w:sz w:val="24"/>
              <w:szCs w:val="24"/>
            </w:rPr>
            <w:id w:val="1931938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3501A1" w:rsidRPr="00C549ED" w:rsidRDefault="009A4CF1" w:rsidP="007B71A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549ED" w:rsidRDefault="003501A1" w:rsidP="007B71A4">
            <w:pPr>
              <w:ind w:right="-108"/>
              <w:rPr>
                <w:sz w:val="24"/>
                <w:szCs w:val="24"/>
              </w:rPr>
            </w:pPr>
            <w:r w:rsidRPr="00C549ED">
              <w:rPr>
                <w:sz w:val="24"/>
                <w:szCs w:val="24"/>
              </w:rPr>
              <w:t>Pozitívne</w:t>
            </w:r>
          </w:p>
        </w:tc>
        <w:sdt>
          <w:sdtPr>
            <w:rPr>
              <w:sz w:val="24"/>
              <w:szCs w:val="24"/>
            </w:r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549ED" w:rsidRDefault="003501A1" w:rsidP="007B71A4">
                <w:pPr>
                  <w:jc w:val="center"/>
                  <w:rPr>
                    <w:sz w:val="24"/>
                    <w:szCs w:val="24"/>
                  </w:rPr>
                </w:pPr>
                <w:r w:rsidRPr="00C549ED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549ED" w:rsidRDefault="003501A1" w:rsidP="007B71A4">
            <w:pPr>
              <w:rPr>
                <w:sz w:val="24"/>
                <w:szCs w:val="24"/>
              </w:rPr>
            </w:pPr>
            <w:r w:rsidRPr="00C549ED">
              <w:rPr>
                <w:sz w:val="24"/>
                <w:szCs w:val="24"/>
              </w:rPr>
              <w:t>Žiadne</w:t>
            </w:r>
          </w:p>
        </w:tc>
        <w:sdt>
          <w:sdtPr>
            <w:rPr>
              <w:sz w:val="24"/>
              <w:szCs w:val="24"/>
            </w:rPr>
            <w:id w:val="6717650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549ED" w:rsidRDefault="009A4CF1" w:rsidP="007B71A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C549ED" w:rsidRDefault="003501A1" w:rsidP="007B71A4">
            <w:pPr>
              <w:ind w:left="54"/>
              <w:rPr>
                <w:sz w:val="24"/>
                <w:szCs w:val="24"/>
              </w:rPr>
            </w:pPr>
            <w:r w:rsidRPr="00C549ED">
              <w:rPr>
                <w:sz w:val="24"/>
                <w:szCs w:val="24"/>
              </w:rPr>
              <w:t>Negatívne</w:t>
            </w:r>
          </w:p>
        </w:tc>
      </w:tr>
      <w:tr w:rsidR="003501A1" w:rsidRPr="00C549ED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C549ED" w:rsidRDefault="003501A1" w:rsidP="004C794A">
            <w:pPr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Sociálne vplyvy</w:t>
            </w:r>
          </w:p>
        </w:tc>
        <w:sdt>
          <w:sdtPr>
            <w:rPr>
              <w:b/>
              <w:sz w:val="24"/>
              <w:szCs w:val="24"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C549ED" w:rsidRDefault="003501A1" w:rsidP="007B71A4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C549ED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549ED" w:rsidRDefault="003501A1" w:rsidP="007B71A4">
            <w:pPr>
              <w:ind w:right="-108"/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b/>
              <w:sz w:val="24"/>
              <w:szCs w:val="24"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549ED" w:rsidRDefault="00BA1B9E" w:rsidP="007B71A4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C549E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549ED" w:rsidRDefault="003501A1" w:rsidP="007B71A4">
            <w:pPr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Žiadne</w:t>
            </w:r>
          </w:p>
        </w:tc>
        <w:sdt>
          <w:sdtPr>
            <w:rPr>
              <w:b/>
              <w:sz w:val="24"/>
              <w:szCs w:val="24"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549ED" w:rsidRDefault="003501A1" w:rsidP="007B71A4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C549ED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C549ED" w:rsidRDefault="003501A1" w:rsidP="007B71A4">
            <w:pPr>
              <w:ind w:left="54"/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Negatívne</w:t>
            </w:r>
          </w:p>
        </w:tc>
      </w:tr>
      <w:tr w:rsidR="003501A1" w:rsidRPr="00C549ED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C549ED" w:rsidRDefault="003501A1" w:rsidP="004C794A">
            <w:pPr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Vplyvy na životné prostredie</w:t>
            </w:r>
          </w:p>
        </w:tc>
        <w:sdt>
          <w:sdtPr>
            <w:rPr>
              <w:b/>
              <w:sz w:val="24"/>
              <w:szCs w:val="24"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C549ED" w:rsidRDefault="003501A1" w:rsidP="007B71A4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C549ED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549ED" w:rsidRDefault="003501A1" w:rsidP="007B71A4">
            <w:pPr>
              <w:ind w:right="-108"/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b/>
              <w:sz w:val="24"/>
              <w:szCs w:val="24"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549ED" w:rsidRDefault="00BA1B9E" w:rsidP="007B71A4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C549E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549ED" w:rsidRDefault="003501A1" w:rsidP="007B71A4">
            <w:pPr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Žiadne</w:t>
            </w:r>
          </w:p>
        </w:tc>
        <w:sdt>
          <w:sdtPr>
            <w:rPr>
              <w:b/>
              <w:sz w:val="24"/>
              <w:szCs w:val="24"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549ED" w:rsidRDefault="003501A1" w:rsidP="007B71A4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C549ED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C549ED" w:rsidRDefault="003501A1" w:rsidP="007B71A4">
            <w:pPr>
              <w:ind w:left="54"/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Negatívne</w:t>
            </w:r>
          </w:p>
        </w:tc>
      </w:tr>
      <w:tr w:rsidR="003501A1" w:rsidRPr="00C549ED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C549ED" w:rsidRDefault="003501A1" w:rsidP="004C794A">
            <w:pPr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Vplyvy na informatizáciu</w:t>
            </w:r>
          </w:p>
        </w:tc>
        <w:sdt>
          <w:sdtPr>
            <w:rPr>
              <w:b/>
              <w:sz w:val="24"/>
              <w:szCs w:val="24"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C549ED" w:rsidRDefault="003501A1" w:rsidP="007B71A4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C549ED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549ED" w:rsidRDefault="003501A1" w:rsidP="007B71A4">
            <w:pPr>
              <w:ind w:right="-108"/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b/>
              <w:sz w:val="24"/>
              <w:szCs w:val="24"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549ED" w:rsidRDefault="00BA1B9E" w:rsidP="007B71A4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C549E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C549ED" w:rsidRDefault="003501A1" w:rsidP="007B71A4">
            <w:pPr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Žiadne</w:t>
            </w:r>
          </w:p>
        </w:tc>
        <w:sdt>
          <w:sdtPr>
            <w:rPr>
              <w:b/>
              <w:sz w:val="24"/>
              <w:szCs w:val="24"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C549ED" w:rsidRDefault="003501A1" w:rsidP="007B71A4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C549ED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C549ED" w:rsidRDefault="003501A1" w:rsidP="007B71A4">
            <w:pPr>
              <w:ind w:left="54"/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C549ED" w:rsidTr="00B8340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C549ED" w:rsidRDefault="0045465B" w:rsidP="00B83402">
            <w:pPr>
              <w:rPr>
                <w:b/>
                <w:sz w:val="24"/>
                <w:szCs w:val="24"/>
              </w:rPr>
            </w:pPr>
            <w:r w:rsidRPr="00C549ED">
              <w:rPr>
                <w:rFonts w:eastAsia="Calibri"/>
                <w:b/>
                <w:sz w:val="24"/>
                <w:szCs w:val="24"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C549ED" w:rsidRDefault="0045465B" w:rsidP="00B83402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C549ED" w:rsidRDefault="0045465B" w:rsidP="00B83402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C549ED" w:rsidRDefault="0045465B" w:rsidP="00B83402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C549ED" w:rsidRDefault="0045465B" w:rsidP="00B83402">
            <w:pPr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C549ED" w:rsidRDefault="0045465B" w:rsidP="00B83402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C549ED" w:rsidRDefault="0045465B" w:rsidP="00B83402">
            <w:pPr>
              <w:ind w:left="54"/>
              <w:rPr>
                <w:b/>
                <w:sz w:val="24"/>
                <w:szCs w:val="24"/>
              </w:rPr>
            </w:pPr>
          </w:p>
        </w:tc>
      </w:tr>
      <w:tr w:rsidR="001A1559" w:rsidRPr="00C549ED" w:rsidTr="00B8340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A1559" w:rsidRPr="00C549ED" w:rsidRDefault="001A1559" w:rsidP="00B83402">
            <w:pPr>
              <w:ind w:left="196" w:hanging="19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549ED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  <w:sz w:val="24"/>
              <w:szCs w:val="24"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1A1559" w:rsidRPr="00C549ED" w:rsidRDefault="001A1559" w:rsidP="00EB1608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C549E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C549ED" w:rsidRDefault="001A1559" w:rsidP="00EB1608">
            <w:pPr>
              <w:ind w:right="-108"/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b/>
              <w:sz w:val="24"/>
              <w:szCs w:val="24"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C549ED" w:rsidRDefault="0048037C" w:rsidP="00EB1608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C549E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C549ED" w:rsidRDefault="001A1559" w:rsidP="00EB1608">
            <w:pPr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Žiadne</w:t>
            </w:r>
          </w:p>
        </w:tc>
        <w:sdt>
          <w:sdtPr>
            <w:rPr>
              <w:b/>
              <w:sz w:val="24"/>
              <w:szCs w:val="24"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C549ED" w:rsidRDefault="001A1559" w:rsidP="00EB1608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C549ED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1559" w:rsidRPr="00C549ED" w:rsidRDefault="001A1559" w:rsidP="00EB1608">
            <w:pPr>
              <w:ind w:left="54"/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Negatívne</w:t>
            </w:r>
          </w:p>
        </w:tc>
      </w:tr>
      <w:tr w:rsidR="001A1559" w:rsidRPr="00C549ED" w:rsidTr="00B8340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A1559" w:rsidRPr="00C549ED" w:rsidRDefault="001A1559" w:rsidP="00B83402">
            <w:pPr>
              <w:ind w:left="168" w:hanging="16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549ED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vplyvy na procesy služieb vo verejnej správe</w:t>
            </w:r>
          </w:p>
        </w:tc>
        <w:sdt>
          <w:sdtPr>
            <w:rPr>
              <w:b/>
              <w:sz w:val="24"/>
              <w:szCs w:val="24"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C549ED" w:rsidRDefault="001A1559" w:rsidP="00EB1608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C549ED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C549ED" w:rsidRDefault="001A1559" w:rsidP="00EB1608">
            <w:pPr>
              <w:ind w:right="-108"/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b/>
              <w:sz w:val="24"/>
              <w:szCs w:val="24"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C549ED" w:rsidRDefault="0048037C" w:rsidP="00EB1608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C549E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C549ED" w:rsidRDefault="001A1559" w:rsidP="00EB1608">
            <w:pPr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Žiadne</w:t>
            </w:r>
          </w:p>
        </w:tc>
        <w:sdt>
          <w:sdtPr>
            <w:rPr>
              <w:b/>
              <w:sz w:val="24"/>
              <w:szCs w:val="24"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C549ED" w:rsidRDefault="001A1559" w:rsidP="00EB1608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C549ED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59" w:rsidRPr="00C549ED" w:rsidRDefault="001A1559" w:rsidP="00EB1608">
            <w:pPr>
              <w:ind w:left="54"/>
              <w:rPr>
                <w:b/>
                <w:sz w:val="24"/>
                <w:szCs w:val="24"/>
              </w:rPr>
            </w:pPr>
            <w:r w:rsidRPr="00C549ED">
              <w:rPr>
                <w:b/>
                <w:sz w:val="24"/>
                <w:szCs w:val="24"/>
              </w:rPr>
              <w:t>Negatívne</w:t>
            </w:r>
          </w:p>
        </w:tc>
      </w:tr>
    </w:tbl>
    <w:p w:rsidR="003501A1" w:rsidRPr="00C549ED" w:rsidRDefault="003501A1" w:rsidP="003501A1">
      <w:pPr>
        <w:ind w:right="141"/>
        <w:rPr>
          <w:b/>
          <w:sz w:val="24"/>
          <w:szCs w:val="24"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C549ED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C549ED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>Poznámky</w:t>
            </w:r>
          </w:p>
        </w:tc>
      </w:tr>
      <w:tr w:rsidR="004F6F1F" w:rsidRPr="00C549ED" w:rsidTr="00181A5D">
        <w:trPr>
          <w:trHeight w:val="567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9A4CF1" w:rsidRPr="009A4CF1" w:rsidRDefault="009A4CF1" w:rsidP="009A4CF1">
            <w:pPr>
              <w:jc w:val="both"/>
              <w:rPr>
                <w:sz w:val="24"/>
                <w:szCs w:val="24"/>
              </w:rPr>
            </w:pPr>
            <w:r w:rsidRPr="009A4CF1">
              <w:rPr>
                <w:sz w:val="24"/>
                <w:szCs w:val="24"/>
              </w:rPr>
              <w:t>Komplexný pozitívny vplyv na rozpočet nie je možné vyčísliť, nakoľko sa nedá predpokladať využívanie nového inštitútu vyrubovacieho rozkazu a upraveného ustanovenia o predbežnom opatrení, a to vzhľadom na to, že nie je možné predvídať správanie daňových subjektov.</w:t>
            </w:r>
          </w:p>
          <w:p w:rsidR="009A4CF1" w:rsidRPr="009A4CF1" w:rsidRDefault="009A4CF1" w:rsidP="009A4CF1">
            <w:pPr>
              <w:jc w:val="both"/>
              <w:rPr>
                <w:sz w:val="24"/>
                <w:szCs w:val="24"/>
              </w:rPr>
            </w:pPr>
            <w:r w:rsidRPr="009A4CF1">
              <w:rPr>
                <w:sz w:val="24"/>
                <w:szCs w:val="24"/>
              </w:rPr>
              <w:t xml:space="preserve">Odhaduje sa však pozitívny vplyv na rozpočet na roky 2017-2019 vo výške 1 500 000 Eur ročne z dôvodu efektívnejšieho výkonu daňovej exekúcie, ako aj elektronizácie daňovej exekúcie vo vzťahu k bankám. Taktiež sa očakávajú ročné úspory vo výške 129 000 Eur ročne na poštovnom v rámci daňovej exekúcie. </w:t>
            </w:r>
          </w:p>
          <w:p w:rsidR="009A4CF1" w:rsidRPr="009A4CF1" w:rsidRDefault="009A4CF1" w:rsidP="009A4CF1">
            <w:pPr>
              <w:jc w:val="both"/>
              <w:rPr>
                <w:sz w:val="24"/>
                <w:szCs w:val="24"/>
              </w:rPr>
            </w:pPr>
            <w:r w:rsidRPr="009A4CF1">
              <w:rPr>
                <w:sz w:val="24"/>
                <w:szCs w:val="24"/>
              </w:rPr>
              <w:t xml:space="preserve">Predpokladajú sa kapitálové výdavky na informačný a produkčný systém finančnej správy vo výške 762 500 Eur (z toho v roku 2016 vo výške 662 500 Eur a v roku 2017 vo výške </w:t>
            </w:r>
          </w:p>
          <w:p w:rsidR="009A4CF1" w:rsidRPr="009A4CF1" w:rsidRDefault="009A4CF1" w:rsidP="009A4CF1">
            <w:pPr>
              <w:jc w:val="both"/>
              <w:rPr>
                <w:sz w:val="24"/>
                <w:szCs w:val="24"/>
              </w:rPr>
            </w:pPr>
            <w:r w:rsidRPr="009A4CF1">
              <w:rPr>
                <w:sz w:val="24"/>
                <w:szCs w:val="24"/>
              </w:rPr>
              <w:t xml:space="preserve">100 000 Eur), pričom tieto budú rozpočtovo zabezpečené v rámci schválených limitov </w:t>
            </w:r>
            <w:r>
              <w:rPr>
                <w:sz w:val="24"/>
                <w:szCs w:val="24"/>
              </w:rPr>
              <w:t>výdavkov na rok 2016 a stanovených limitov výdavkov na roky 2017-2019 kapitoly MF SR a z predpokladanej úspory výdavkov na tieto roky</w:t>
            </w:r>
            <w:r w:rsidRPr="009A4CF1">
              <w:rPr>
                <w:sz w:val="24"/>
                <w:szCs w:val="24"/>
              </w:rPr>
              <w:t>.</w:t>
            </w:r>
          </w:p>
          <w:p w:rsidR="004F6F1F" w:rsidRPr="00C549ED" w:rsidRDefault="009A4CF1" w:rsidP="009A4CF1">
            <w:pPr>
              <w:jc w:val="both"/>
              <w:rPr>
                <w:b/>
                <w:sz w:val="24"/>
                <w:szCs w:val="24"/>
              </w:rPr>
            </w:pPr>
            <w:r w:rsidRPr="009A4CF1">
              <w:rPr>
                <w:sz w:val="24"/>
                <w:szCs w:val="24"/>
              </w:rPr>
              <w:t xml:space="preserve">Bežné výdavky vo výške 25 000 Eur (každoročne  od roku 2017) predstavujú ročný paušál spoločnosti CRIF – Slovak </w:t>
            </w:r>
            <w:proofErr w:type="spellStart"/>
            <w:r w:rsidRPr="009A4CF1">
              <w:rPr>
                <w:sz w:val="24"/>
                <w:szCs w:val="24"/>
              </w:rPr>
              <w:t>Credit</w:t>
            </w:r>
            <w:proofErr w:type="spellEnd"/>
            <w:r w:rsidRPr="009A4CF1">
              <w:rPr>
                <w:sz w:val="24"/>
                <w:szCs w:val="24"/>
              </w:rPr>
              <w:t xml:space="preserve"> </w:t>
            </w:r>
            <w:proofErr w:type="spellStart"/>
            <w:r w:rsidRPr="009A4CF1">
              <w:rPr>
                <w:sz w:val="24"/>
                <w:szCs w:val="24"/>
              </w:rPr>
              <w:t>Bureau</w:t>
            </w:r>
            <w:proofErr w:type="spellEnd"/>
            <w:r w:rsidRPr="009A4CF1">
              <w:rPr>
                <w:sz w:val="24"/>
                <w:szCs w:val="24"/>
              </w:rPr>
              <w:t>, s.r.o. na prevádzku systému komunikácie bánk s daňovými exekútormi.</w:t>
            </w:r>
            <w:r w:rsidR="00181A5D" w:rsidRPr="009A4CF1">
              <w:rPr>
                <w:sz w:val="24"/>
                <w:szCs w:val="24"/>
              </w:rPr>
              <w:t>-</w:t>
            </w:r>
          </w:p>
        </w:tc>
      </w:tr>
      <w:tr w:rsidR="003501A1" w:rsidRPr="00C549ED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C549ED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>Kontakt na spracovateľa</w:t>
            </w:r>
          </w:p>
        </w:tc>
      </w:tr>
      <w:tr w:rsidR="003501A1" w:rsidRPr="00C549ED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C549ED" w:rsidRDefault="009A4CF1" w:rsidP="009A4CF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e</w:t>
            </w:r>
            <w:hyperlink r:id="rId9" w:history="1">
              <w:r w:rsidRPr="002C4B65">
                <w:rPr>
                  <w:rStyle w:val="Hypertextovprepojenie"/>
                  <w:i/>
                  <w:sz w:val="24"/>
                  <w:szCs w:val="24"/>
                  <w:lang w:eastAsia="en-US"/>
                </w:rPr>
                <w:t>va.ivanicova@mfsr.sk</w:t>
              </w:r>
              <w:proofErr w:type="spellEnd"/>
            </w:hyperlink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181A5D" w:rsidRPr="00C549ED">
              <w:rPr>
                <w:i/>
                <w:sz w:val="24"/>
                <w:szCs w:val="24"/>
                <w:lang w:eastAsia="en-US"/>
              </w:rPr>
              <w:t xml:space="preserve">, </w:t>
            </w:r>
            <w:r w:rsidR="00181A5D" w:rsidRPr="00C549ED">
              <w:rPr>
                <w:sz w:val="24"/>
                <w:szCs w:val="24"/>
              </w:rPr>
              <w:t xml:space="preserve">tel. 59583472  </w:t>
            </w:r>
          </w:p>
        </w:tc>
      </w:tr>
      <w:tr w:rsidR="003501A1" w:rsidRPr="00C549ED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C549ED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>Zdroje</w:t>
            </w:r>
          </w:p>
        </w:tc>
      </w:tr>
      <w:tr w:rsidR="003501A1" w:rsidRPr="00C549ED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C549ED" w:rsidRDefault="009A4CF1" w:rsidP="009A4CF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Finančné riaditeľstvo SR.</w:t>
            </w:r>
          </w:p>
        </w:tc>
      </w:tr>
      <w:tr w:rsidR="003501A1" w:rsidRPr="00C549ED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C549ED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ED">
              <w:rPr>
                <w:rFonts w:ascii="Times New Roman" w:hAnsi="Times New Roman" w:cs="Times New Roman"/>
                <w:b/>
                <w:sz w:val="24"/>
                <w:szCs w:val="24"/>
              </w:rPr>
              <w:t>Stanovisko Komisie pre posudzovanie vybraných vplyvov z PPK</w:t>
            </w:r>
          </w:p>
        </w:tc>
      </w:tr>
      <w:tr w:rsidR="003501A1" w:rsidRPr="00C549ED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C1E" w:rsidRDefault="00B46C1E" w:rsidP="00B46C1E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B46C1E" w:rsidRPr="00B46C1E" w:rsidRDefault="00B46C1E" w:rsidP="00B46C1E">
            <w:pPr>
              <w:jc w:val="both"/>
              <w:rPr>
                <w:sz w:val="24"/>
                <w:szCs w:val="24"/>
                <w:lang w:eastAsia="en-US"/>
              </w:rPr>
            </w:pPr>
            <w:r w:rsidRPr="00B46C1E">
              <w:rPr>
                <w:sz w:val="24"/>
                <w:szCs w:val="24"/>
                <w:lang w:eastAsia="en-US"/>
              </w:rPr>
              <w:t>V rámci predbežného pripomienkového konania komisia pre posudzovanie vybraných vplyvov k predmetnému materiálu zaslala nesúhlasné stanovisko uvedené nižšie:</w:t>
            </w:r>
          </w:p>
          <w:p w:rsidR="00B46C1E" w:rsidRPr="00B46C1E" w:rsidRDefault="00B46C1E" w:rsidP="00B46C1E">
            <w:pPr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B46C1E" w:rsidRDefault="00B46C1E" w:rsidP="00B46C1E">
            <w:pPr>
              <w:tabs>
                <w:tab w:val="center" w:pos="6379"/>
              </w:tabs>
              <w:ind w:right="-2"/>
              <w:jc w:val="both"/>
              <w:rPr>
                <w:b/>
                <w:bCs/>
                <w:sz w:val="24"/>
                <w:szCs w:val="24"/>
              </w:rPr>
            </w:pPr>
            <w:r w:rsidRPr="00B46C1E">
              <w:rPr>
                <w:b/>
                <w:bCs/>
                <w:sz w:val="24"/>
                <w:szCs w:val="24"/>
              </w:rPr>
              <w:t>K doložke vybraných vplyvov</w:t>
            </w:r>
          </w:p>
          <w:p w:rsidR="00B46C1E" w:rsidRPr="00B46C1E" w:rsidRDefault="00B46C1E" w:rsidP="00B46C1E">
            <w:pPr>
              <w:tabs>
                <w:tab w:val="center" w:pos="6379"/>
              </w:tabs>
              <w:ind w:right="-2"/>
              <w:jc w:val="both"/>
              <w:rPr>
                <w:b/>
                <w:bCs/>
                <w:sz w:val="24"/>
                <w:szCs w:val="24"/>
              </w:rPr>
            </w:pPr>
          </w:p>
          <w:p w:rsidR="009A4CF1" w:rsidRPr="009A4CF1" w:rsidRDefault="009A4CF1" w:rsidP="009A4CF1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  <w:r w:rsidRPr="009A4CF1">
              <w:rPr>
                <w:bCs/>
                <w:sz w:val="24"/>
                <w:szCs w:val="22"/>
              </w:rPr>
              <w:t>Komisia odporúča predkladateľovi, aby použil nový formulár doložky vybraných vplyvov účinný od 1. 4. 2016 a zároveň v nej vyznačil, že materiál nemá žiadne vplyvy na služby verejnej správy pre občana. Nový formulár je možné nájsť na nasledovnom odkaze.</w:t>
            </w:r>
          </w:p>
          <w:p w:rsidR="009A4CF1" w:rsidRPr="009A4CF1" w:rsidRDefault="009A4CF1" w:rsidP="009A4CF1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</w:p>
          <w:p w:rsidR="009A4CF1" w:rsidRPr="009A4CF1" w:rsidRDefault="009A4CF1" w:rsidP="009A4CF1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  <w:r w:rsidRPr="009A4CF1">
              <w:rPr>
                <w:bCs/>
                <w:sz w:val="24"/>
                <w:szCs w:val="22"/>
              </w:rPr>
              <w:t>V časti „1. Základné údaje“ Komisia odporúča uviesť približné termíny predloženia na MPK a na Rokovanie vlády SR.</w:t>
            </w:r>
          </w:p>
          <w:p w:rsidR="009A4CF1" w:rsidRPr="009A4CF1" w:rsidRDefault="009A4CF1" w:rsidP="009A4CF1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</w:p>
          <w:p w:rsidR="009A4CF1" w:rsidRPr="009A4CF1" w:rsidRDefault="009A4CF1" w:rsidP="009A4CF1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  <w:r w:rsidRPr="009A4CF1">
              <w:rPr>
                <w:bCs/>
                <w:sz w:val="24"/>
                <w:szCs w:val="22"/>
              </w:rPr>
              <w:t>V časti „5. Alternatívne riešenia“ Komisia odporúča uviesť informáciu, či boli zvažované alternatívne riešenia. Pokiaľ je odpoveď kladná, Komisia žiada zvažované alternatívne riešenia popísať. V prípade, že odpoveď je záporná, je potrebné uviesť, prečo neboli zvažované nijaké alternatívy.</w:t>
            </w:r>
          </w:p>
          <w:p w:rsidR="009A4CF1" w:rsidRPr="009A4CF1" w:rsidRDefault="009A4CF1" w:rsidP="009A4CF1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</w:p>
          <w:p w:rsidR="009A4CF1" w:rsidRPr="009A4CF1" w:rsidRDefault="009A4CF1" w:rsidP="009A4CF1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  <w:r w:rsidRPr="009A4CF1">
              <w:rPr>
                <w:bCs/>
                <w:sz w:val="24"/>
                <w:szCs w:val="22"/>
              </w:rPr>
              <w:t xml:space="preserve">V časti „9. Vplyvy navrhovaného materiálu doložky vybraných vplyvov“ Komisia žiada označiť možnosť „rozpočtovo zabezpečené“, nie „čiastočne“. </w:t>
            </w:r>
          </w:p>
          <w:p w:rsidR="009A4CF1" w:rsidRPr="009A4CF1" w:rsidRDefault="009A4CF1" w:rsidP="009A4CF1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</w:p>
          <w:p w:rsidR="009A4CF1" w:rsidRPr="009A4CF1" w:rsidRDefault="009A4CF1" w:rsidP="009A4CF1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  <w:r w:rsidRPr="009A4CF1">
              <w:rPr>
                <w:bCs/>
                <w:sz w:val="24"/>
                <w:szCs w:val="22"/>
              </w:rPr>
              <w:t>Predkladateľ v rámci prípravy materiálu nevyznačil v Doložke vplyvov negatívne vplyvy na podnikateľské prostredie, s čím Komisia nesúhlasí, nakoľko vznikajú nové právomoci daňovým úradom resp. sa rozširujú už tie súčasné pri konaní, či zákroku voči daňovníkom, teda i podnikateľom. Komisia odporúča predkladateľovi vypracovať Analýzu vplyvov na podnikateľské prostredie podľa bodu 4.5. Jednotnej metodiky a aspoň kvalitatívne vyhodnotiť negatívne dopady na podnikateľské prostredie. Konkrétne napr. týkajúce sa bodu 40. (§ 81) o možnosti zabezpečiť daňový nedoplatok vznikom záložného práva k predmetu vo vlastníctve aj iných osôb ako je daňovník – napr. jeho ručiteľ, ale aj bodov 14. až 18. návrhu (§ 50) o okamžitej vykonateľnosti predbežného opatrenia, ak nesplatná alebo nevyrubená daň nebude v dobe jej splatnosti uhradená, resp. bodu 34. (§ 68a) o skrátenom vyrubovacom konaní.</w:t>
            </w:r>
          </w:p>
          <w:p w:rsidR="009A4CF1" w:rsidRPr="009A4CF1" w:rsidRDefault="009A4CF1" w:rsidP="009A4CF1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</w:p>
          <w:p w:rsidR="009A4CF1" w:rsidRDefault="009A4CF1" w:rsidP="009A4CF1">
            <w:pPr>
              <w:tabs>
                <w:tab w:val="center" w:pos="6379"/>
              </w:tabs>
              <w:ind w:right="-2"/>
              <w:jc w:val="both"/>
              <w:rPr>
                <w:b/>
                <w:bCs/>
                <w:sz w:val="24"/>
                <w:szCs w:val="22"/>
              </w:rPr>
            </w:pPr>
            <w:r w:rsidRPr="009A4CF1">
              <w:rPr>
                <w:b/>
                <w:bCs/>
                <w:sz w:val="24"/>
                <w:szCs w:val="22"/>
              </w:rPr>
              <w:t>K analýze vplyvov na rozpočet verejnej správy</w:t>
            </w:r>
          </w:p>
          <w:p w:rsidR="009A4CF1" w:rsidRPr="009A4CF1" w:rsidRDefault="009A4CF1" w:rsidP="009A4CF1">
            <w:pPr>
              <w:tabs>
                <w:tab w:val="center" w:pos="6379"/>
              </w:tabs>
              <w:ind w:right="-2"/>
              <w:jc w:val="both"/>
              <w:rPr>
                <w:b/>
                <w:bCs/>
                <w:sz w:val="24"/>
                <w:szCs w:val="22"/>
              </w:rPr>
            </w:pPr>
          </w:p>
          <w:p w:rsidR="009A4CF1" w:rsidRPr="009A4CF1" w:rsidRDefault="009A4CF1" w:rsidP="009A4CF1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  <w:r w:rsidRPr="009A4CF1">
              <w:rPr>
                <w:bCs/>
                <w:sz w:val="24"/>
                <w:szCs w:val="22"/>
              </w:rPr>
              <w:t>V tabuľke č. 1 analýzy vplyvov Komisia žiada vyplniť všetky relevantné riadky. V časti príjmy, v druhom riadku uviesť konkrétny subjekt verejnej správy, t. j. VPS. Takisto v časti výdavky, v riadku „v tom: za každý subjekt verejnej správy/program“ uviesť konkrétny subjekt a program. Komisia odporúča uvedený riadok rozdeliť na dva riadky, v jednom uviesť negatívny vplyv, ktorý vyplýva z návrhu a v druhom uviesť uvádzanú úsporu. Nadväzne na uvedené je potrebné upraviť aj sumy v riadku „rozpočtové prostriedky“, ktoré budú totožné so sumami uvedenými v riadku „výdavky verejnej správy celkom“. Potrebné je vyplniť aj posledné štyri riadky tabuľky č. 1.</w:t>
            </w:r>
          </w:p>
          <w:p w:rsidR="009A4CF1" w:rsidRPr="009A4CF1" w:rsidRDefault="009A4CF1" w:rsidP="009A4CF1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</w:p>
          <w:p w:rsidR="009A4CF1" w:rsidRDefault="009A4CF1" w:rsidP="009A4CF1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  <w:r w:rsidRPr="009A4CF1">
              <w:rPr>
                <w:bCs/>
                <w:sz w:val="24"/>
                <w:szCs w:val="22"/>
              </w:rPr>
              <w:t xml:space="preserve">V texte rámčeku 2.1.1. Financovanie návrhu Komisia žiada do  predposledného a posledného odseku doplniť, že výdavky budú zabezpečené v rámci schválených limitov výdavkov na rok 2016 a stanovených limitov výdavkov na roky 2017 až 2019 kapitoly MF SR a z predpokladanej úspory výdavkov na tieto roky. </w:t>
            </w:r>
          </w:p>
          <w:p w:rsidR="00033AE2" w:rsidRDefault="00033AE2" w:rsidP="009A4CF1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</w:p>
          <w:p w:rsidR="00033AE2" w:rsidRPr="005C0E2A" w:rsidRDefault="00033AE2" w:rsidP="009A4CF1">
            <w:pPr>
              <w:tabs>
                <w:tab w:val="center" w:pos="6379"/>
              </w:tabs>
              <w:ind w:right="-2"/>
              <w:jc w:val="both"/>
              <w:rPr>
                <w:b/>
                <w:bCs/>
                <w:sz w:val="24"/>
                <w:szCs w:val="22"/>
              </w:rPr>
            </w:pPr>
            <w:r w:rsidRPr="005C0E2A">
              <w:rPr>
                <w:b/>
                <w:bCs/>
                <w:sz w:val="24"/>
                <w:szCs w:val="22"/>
              </w:rPr>
              <w:lastRenderedPageBreak/>
              <w:t>K procesu</w:t>
            </w:r>
          </w:p>
          <w:p w:rsidR="00033AE2" w:rsidRPr="005C0E2A" w:rsidRDefault="00033AE2" w:rsidP="009A4CF1">
            <w:pPr>
              <w:tabs>
                <w:tab w:val="center" w:pos="6379"/>
              </w:tabs>
              <w:ind w:right="-2"/>
              <w:jc w:val="both"/>
              <w:rPr>
                <w:b/>
                <w:bCs/>
                <w:sz w:val="24"/>
                <w:szCs w:val="22"/>
              </w:rPr>
            </w:pPr>
          </w:p>
          <w:p w:rsidR="00033AE2" w:rsidRPr="009A4CF1" w:rsidRDefault="00033AE2" w:rsidP="009A4CF1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  <w:r w:rsidRPr="005C0E2A">
              <w:rPr>
                <w:bCs/>
                <w:sz w:val="24"/>
                <w:szCs w:val="22"/>
              </w:rPr>
              <w:t>Predkladateľ predložil materiál dňa 24.06.2016 do skráteného Predbežného pripomienkového konania, čím nepostupoval v súlade s procesom podľa Jednotnej metodiky (účinná od 01.04.2016).</w:t>
            </w:r>
          </w:p>
          <w:p w:rsidR="009A4CF1" w:rsidRDefault="009A4CF1" w:rsidP="00B46C1E">
            <w:pPr>
              <w:jc w:val="both"/>
              <w:rPr>
                <w:b/>
                <w:sz w:val="24"/>
                <w:szCs w:val="24"/>
              </w:rPr>
            </w:pPr>
          </w:p>
          <w:p w:rsidR="00033AE2" w:rsidRPr="00033AE2" w:rsidRDefault="00033AE2" w:rsidP="00033AE2">
            <w:pPr>
              <w:tabs>
                <w:tab w:val="center" w:pos="6379"/>
              </w:tabs>
              <w:ind w:right="-2"/>
              <w:jc w:val="both"/>
              <w:rPr>
                <w:b/>
                <w:bCs/>
                <w:sz w:val="24"/>
                <w:szCs w:val="24"/>
              </w:rPr>
            </w:pPr>
            <w:r w:rsidRPr="00033AE2">
              <w:rPr>
                <w:b/>
                <w:bCs/>
                <w:sz w:val="24"/>
                <w:szCs w:val="24"/>
              </w:rPr>
              <w:t>Záver</w:t>
            </w:r>
          </w:p>
          <w:p w:rsidR="00033AE2" w:rsidRPr="00033AE2" w:rsidRDefault="00033AE2" w:rsidP="00033AE2">
            <w:pPr>
              <w:tabs>
                <w:tab w:val="center" w:pos="6379"/>
              </w:tabs>
              <w:ind w:right="-2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3AE2">
              <w:rPr>
                <w:bCs/>
                <w:sz w:val="24"/>
                <w:szCs w:val="24"/>
              </w:rPr>
              <w:t>Stála pracovná komisia na posudzovanie vybraných vplyvov vyjadruje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3AE2">
              <w:rPr>
                <w:rFonts w:eastAsia="Calibri"/>
                <w:bCs/>
                <w:sz w:val="24"/>
                <w:szCs w:val="24"/>
                <w:lang w:eastAsia="en-US"/>
              </w:rPr>
              <w:t>nesúhlasné stanovisko</w:t>
            </w:r>
          </w:p>
          <w:p w:rsidR="00033AE2" w:rsidRDefault="00033AE2" w:rsidP="00B46C1E">
            <w:pPr>
              <w:jc w:val="both"/>
              <w:rPr>
                <w:b/>
                <w:sz w:val="24"/>
                <w:szCs w:val="24"/>
              </w:rPr>
            </w:pPr>
          </w:p>
          <w:p w:rsidR="00B46C1E" w:rsidRPr="00B46C1E" w:rsidRDefault="00B46C1E" w:rsidP="00B46C1E">
            <w:pPr>
              <w:jc w:val="both"/>
              <w:rPr>
                <w:b/>
                <w:sz w:val="24"/>
                <w:szCs w:val="24"/>
              </w:rPr>
            </w:pPr>
            <w:r w:rsidRPr="00B46C1E">
              <w:rPr>
                <w:b/>
                <w:sz w:val="24"/>
                <w:szCs w:val="24"/>
              </w:rPr>
              <w:t>Vyhodnotenie pripomienok MF SR:</w:t>
            </w:r>
          </w:p>
          <w:p w:rsidR="00B46C1E" w:rsidRDefault="00B46C1E" w:rsidP="00181A5D">
            <w:pPr>
              <w:tabs>
                <w:tab w:val="center" w:pos="6379"/>
              </w:tabs>
              <w:ind w:right="-2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D937A6" w:rsidRDefault="00D937A6" w:rsidP="00B46C1E">
            <w:pPr>
              <w:tabs>
                <w:tab w:val="center" w:pos="6379"/>
              </w:tabs>
              <w:ind w:right="-2"/>
              <w:jc w:val="both"/>
              <w:rPr>
                <w:b/>
                <w:bCs/>
                <w:sz w:val="24"/>
                <w:szCs w:val="24"/>
              </w:rPr>
            </w:pPr>
            <w:r w:rsidRPr="00B46C1E">
              <w:rPr>
                <w:b/>
                <w:bCs/>
                <w:sz w:val="24"/>
                <w:szCs w:val="24"/>
              </w:rPr>
              <w:t>K doložke vybraných vplyvov</w:t>
            </w:r>
          </w:p>
          <w:p w:rsidR="009A4CF1" w:rsidRDefault="009A4CF1" w:rsidP="00B46C1E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</w:p>
          <w:p w:rsidR="00B46C1E" w:rsidRDefault="00B46C1E" w:rsidP="00B46C1E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 xml:space="preserve">Doložka </w:t>
            </w:r>
            <w:r w:rsidRPr="00B46C1E">
              <w:rPr>
                <w:bCs/>
                <w:sz w:val="24"/>
                <w:szCs w:val="22"/>
              </w:rPr>
              <w:t xml:space="preserve">vybraných vplyvov </w:t>
            </w:r>
            <w:r>
              <w:rPr>
                <w:bCs/>
                <w:sz w:val="24"/>
                <w:szCs w:val="22"/>
              </w:rPr>
              <w:t>bola nahradená aktuálnou doložkou účinnou</w:t>
            </w:r>
            <w:r w:rsidRPr="00B46C1E">
              <w:rPr>
                <w:bCs/>
                <w:sz w:val="24"/>
                <w:szCs w:val="22"/>
              </w:rPr>
              <w:t xml:space="preserve"> od 1. 4. 2016 a zároveň v nej </w:t>
            </w:r>
            <w:r>
              <w:rPr>
                <w:bCs/>
                <w:sz w:val="24"/>
                <w:szCs w:val="22"/>
              </w:rPr>
              <w:t>bolo vyznačené</w:t>
            </w:r>
            <w:r w:rsidRPr="00B46C1E">
              <w:rPr>
                <w:bCs/>
                <w:sz w:val="24"/>
                <w:szCs w:val="22"/>
              </w:rPr>
              <w:t xml:space="preserve">, že materiál nemá žiadne vplyvy na služby verejnej správy pre občana. </w:t>
            </w:r>
          </w:p>
          <w:p w:rsidR="00A9073C" w:rsidRDefault="00A9073C" w:rsidP="00181A5D">
            <w:pPr>
              <w:tabs>
                <w:tab w:val="center" w:pos="6379"/>
              </w:tabs>
              <w:ind w:right="-2"/>
              <w:rPr>
                <w:sz w:val="24"/>
                <w:szCs w:val="24"/>
              </w:rPr>
            </w:pPr>
          </w:p>
          <w:p w:rsidR="00B46C1E" w:rsidRDefault="00A9073C" w:rsidP="00181A5D">
            <w:pPr>
              <w:tabs>
                <w:tab w:val="center" w:pos="6379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Návrh </w:t>
            </w:r>
            <w:r w:rsidRPr="00C549ED">
              <w:rPr>
                <w:sz w:val="24"/>
                <w:szCs w:val="24"/>
              </w:rPr>
              <w:t>je zahrnutý do Plánu legislatívnych úloh vlády Slovenskej republiky</w:t>
            </w:r>
            <w:r>
              <w:rPr>
                <w:sz w:val="24"/>
                <w:szCs w:val="24"/>
              </w:rPr>
              <w:t>, preto sa neuvádzajú termíny predloženia na MPK a na rokovanie vlády SR</w:t>
            </w:r>
            <w:r w:rsidRPr="00C549ED">
              <w:rPr>
                <w:sz w:val="24"/>
                <w:szCs w:val="24"/>
              </w:rPr>
              <w:t>.</w:t>
            </w:r>
          </w:p>
          <w:p w:rsidR="00A9073C" w:rsidRDefault="00A9073C" w:rsidP="00181A5D">
            <w:pPr>
              <w:tabs>
                <w:tab w:val="center" w:pos="6379"/>
              </w:tabs>
              <w:ind w:right="-2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B46C1E" w:rsidRDefault="00B46C1E" w:rsidP="00181A5D">
            <w:pPr>
              <w:tabs>
                <w:tab w:val="center" w:pos="6379"/>
              </w:tabs>
              <w:ind w:right="-2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46C1E">
              <w:rPr>
                <w:bCs/>
                <w:sz w:val="24"/>
                <w:szCs w:val="22"/>
              </w:rPr>
              <w:t xml:space="preserve">V časti „5. Alternatívne riešenia“ </w:t>
            </w:r>
            <w:r w:rsidR="00D937A6">
              <w:rPr>
                <w:bCs/>
                <w:sz w:val="24"/>
                <w:szCs w:val="22"/>
              </w:rPr>
              <w:t>bolo doplnené</w:t>
            </w:r>
            <w:r w:rsidR="00A9073C">
              <w:rPr>
                <w:bCs/>
                <w:sz w:val="24"/>
                <w:szCs w:val="22"/>
              </w:rPr>
              <w:t xml:space="preserve">,  že </w:t>
            </w:r>
            <w:r w:rsidR="00D937A6">
              <w:rPr>
                <w:bCs/>
                <w:sz w:val="24"/>
                <w:szCs w:val="22"/>
              </w:rPr>
              <w:t xml:space="preserve"> </w:t>
            </w:r>
            <w:r w:rsidR="00A9073C" w:rsidRPr="00C549ED">
              <w:rPr>
                <w:sz w:val="24"/>
                <w:szCs w:val="24"/>
                <w:lang w:eastAsia="en-US"/>
              </w:rPr>
              <w:t>Alternatívne riešenia n</w:t>
            </w:r>
            <w:r w:rsidR="00A9073C">
              <w:rPr>
                <w:sz w:val="24"/>
                <w:szCs w:val="24"/>
                <w:lang w:eastAsia="en-US"/>
              </w:rPr>
              <w:t>eboli zvažované, nakoľko návrh vychádza z reálnych požiadaviek vyplývajúcich z Akčného plánu boja proti daňovým podvodom.</w:t>
            </w:r>
          </w:p>
          <w:p w:rsidR="00A9073C" w:rsidRDefault="00A9073C" w:rsidP="00D937A6">
            <w:pPr>
              <w:tabs>
                <w:tab w:val="center" w:pos="6379"/>
              </w:tabs>
              <w:ind w:right="-2"/>
              <w:jc w:val="both"/>
              <w:rPr>
                <w:b/>
                <w:bCs/>
                <w:sz w:val="24"/>
                <w:szCs w:val="22"/>
              </w:rPr>
            </w:pPr>
          </w:p>
          <w:p w:rsidR="00D937A6" w:rsidRDefault="00A9073C" w:rsidP="00D937A6">
            <w:pPr>
              <w:tabs>
                <w:tab w:val="center" w:pos="6379"/>
              </w:tabs>
              <w:ind w:right="-2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2"/>
              </w:rPr>
              <w:t xml:space="preserve">Časť  „9. </w:t>
            </w:r>
            <w:r w:rsidRPr="00A9073C">
              <w:rPr>
                <w:sz w:val="24"/>
                <w:szCs w:val="24"/>
              </w:rPr>
              <w:t>Vplyvy navrhovaného materiálu“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9073C">
              <w:rPr>
                <w:sz w:val="24"/>
                <w:szCs w:val="24"/>
              </w:rPr>
              <w:t>bola doplnená podľa pripomienky.</w:t>
            </w:r>
          </w:p>
          <w:p w:rsidR="00A9073C" w:rsidRDefault="00A9073C" w:rsidP="00D937A6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</w:p>
          <w:p w:rsidR="00D937A6" w:rsidRDefault="00D937A6" w:rsidP="00D937A6">
            <w:pPr>
              <w:tabs>
                <w:tab w:val="center" w:pos="6379"/>
              </w:tabs>
              <w:ind w:right="-2"/>
              <w:jc w:val="both"/>
              <w:rPr>
                <w:b/>
                <w:bCs/>
                <w:sz w:val="24"/>
                <w:szCs w:val="22"/>
              </w:rPr>
            </w:pPr>
            <w:r w:rsidRPr="00B46C1E">
              <w:rPr>
                <w:b/>
                <w:bCs/>
                <w:sz w:val="24"/>
                <w:szCs w:val="22"/>
              </w:rPr>
              <w:t>K analýze vplyvov na podnikateľské prostredie</w:t>
            </w:r>
          </w:p>
          <w:p w:rsidR="00A9073C" w:rsidRPr="00B46C1E" w:rsidRDefault="00A9073C" w:rsidP="00D937A6">
            <w:pPr>
              <w:tabs>
                <w:tab w:val="center" w:pos="6379"/>
              </w:tabs>
              <w:ind w:right="-2"/>
              <w:jc w:val="both"/>
              <w:rPr>
                <w:b/>
                <w:bCs/>
                <w:sz w:val="24"/>
                <w:szCs w:val="22"/>
              </w:rPr>
            </w:pPr>
          </w:p>
          <w:p w:rsidR="00D937A6" w:rsidRDefault="00D937A6" w:rsidP="00D937A6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  <w:r w:rsidRPr="00B46C1E">
              <w:rPr>
                <w:bCs/>
                <w:sz w:val="24"/>
                <w:szCs w:val="22"/>
              </w:rPr>
              <w:t xml:space="preserve">Analýza vplyvov na podnikateľské prostredie </w:t>
            </w:r>
            <w:r w:rsidR="00CB680A">
              <w:rPr>
                <w:bCs/>
                <w:sz w:val="24"/>
                <w:szCs w:val="22"/>
              </w:rPr>
              <w:t xml:space="preserve">bola čiastočne dopracovaná, pričom bližšia kvantifikácia nie je možná.  </w:t>
            </w:r>
          </w:p>
          <w:p w:rsidR="00A9073C" w:rsidRDefault="00A9073C" w:rsidP="00D937A6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</w:p>
          <w:p w:rsidR="00C36EF5" w:rsidRDefault="00C36EF5" w:rsidP="00C36EF5">
            <w:pPr>
              <w:tabs>
                <w:tab w:val="center" w:pos="6379"/>
              </w:tabs>
              <w:ind w:right="-2"/>
              <w:jc w:val="both"/>
              <w:rPr>
                <w:b/>
                <w:bCs/>
                <w:sz w:val="24"/>
                <w:szCs w:val="22"/>
              </w:rPr>
            </w:pPr>
            <w:r w:rsidRPr="009A4CF1">
              <w:rPr>
                <w:b/>
                <w:bCs/>
                <w:sz w:val="24"/>
                <w:szCs w:val="22"/>
              </w:rPr>
              <w:t>K analýze vplyvov na rozpočet verejnej správy</w:t>
            </w:r>
          </w:p>
          <w:p w:rsidR="00A9073C" w:rsidRDefault="00A9073C" w:rsidP="00D937A6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</w:p>
          <w:p w:rsidR="00C36EF5" w:rsidRDefault="00C36EF5" w:rsidP="00D937A6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Analýza vplyvov bola čiastočne doplnená, podľa pripomienok.</w:t>
            </w:r>
          </w:p>
          <w:p w:rsidR="00033AE2" w:rsidRDefault="00033AE2" w:rsidP="00D937A6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</w:p>
          <w:p w:rsidR="00033AE2" w:rsidRDefault="00033AE2" w:rsidP="00D937A6">
            <w:pPr>
              <w:tabs>
                <w:tab w:val="center" w:pos="6379"/>
              </w:tabs>
              <w:ind w:right="-2"/>
              <w:jc w:val="both"/>
              <w:rPr>
                <w:b/>
                <w:bCs/>
                <w:sz w:val="24"/>
                <w:szCs w:val="22"/>
              </w:rPr>
            </w:pPr>
            <w:r w:rsidRPr="005C0E2A">
              <w:rPr>
                <w:b/>
                <w:bCs/>
                <w:sz w:val="24"/>
                <w:szCs w:val="22"/>
              </w:rPr>
              <w:t>K</w:t>
            </w:r>
            <w:r w:rsidR="005C0E2A">
              <w:rPr>
                <w:b/>
                <w:bCs/>
                <w:sz w:val="24"/>
                <w:szCs w:val="22"/>
              </w:rPr>
              <w:t> </w:t>
            </w:r>
            <w:r w:rsidRPr="005C0E2A">
              <w:rPr>
                <w:b/>
                <w:bCs/>
                <w:sz w:val="24"/>
                <w:szCs w:val="22"/>
              </w:rPr>
              <w:t>procesu</w:t>
            </w:r>
          </w:p>
          <w:p w:rsidR="005C0E2A" w:rsidRPr="005C0E2A" w:rsidRDefault="005C0E2A" w:rsidP="00D937A6">
            <w:pPr>
              <w:tabs>
                <w:tab w:val="center" w:pos="6379"/>
              </w:tabs>
              <w:ind w:right="-2"/>
              <w:jc w:val="both"/>
              <w:rPr>
                <w:b/>
                <w:bCs/>
                <w:sz w:val="24"/>
                <w:szCs w:val="22"/>
              </w:rPr>
            </w:pPr>
          </w:p>
          <w:p w:rsidR="00033AE2" w:rsidRPr="005C0E2A" w:rsidRDefault="00033AE2" w:rsidP="005C0E2A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  <w:r w:rsidRPr="005C0E2A">
              <w:rPr>
                <w:bCs/>
                <w:sz w:val="24"/>
                <w:szCs w:val="22"/>
              </w:rPr>
              <w:t xml:space="preserve">Návrh zákona vyplýva z </w:t>
            </w:r>
            <w:r w:rsidRPr="005C0E2A">
              <w:rPr>
                <w:bCs/>
                <w:sz w:val="24"/>
                <w:szCs w:val="22"/>
              </w:rPr>
              <w:t>programové</w:t>
            </w:r>
            <w:r w:rsidRPr="005C0E2A">
              <w:rPr>
                <w:bCs/>
                <w:sz w:val="24"/>
                <w:szCs w:val="22"/>
              </w:rPr>
              <w:t>ho</w:t>
            </w:r>
            <w:r w:rsidRPr="005C0E2A">
              <w:rPr>
                <w:bCs/>
                <w:sz w:val="24"/>
                <w:szCs w:val="22"/>
              </w:rPr>
              <w:t xml:space="preserve"> vyhláseni</w:t>
            </w:r>
            <w:r w:rsidRPr="005C0E2A">
              <w:rPr>
                <w:bCs/>
                <w:sz w:val="24"/>
                <w:szCs w:val="22"/>
              </w:rPr>
              <w:t>a</w:t>
            </w:r>
            <w:r w:rsidRPr="005C0E2A">
              <w:rPr>
                <w:bCs/>
                <w:sz w:val="24"/>
                <w:szCs w:val="22"/>
              </w:rPr>
              <w:t xml:space="preserve"> vlády</w:t>
            </w:r>
            <w:r w:rsidRPr="005C0E2A">
              <w:rPr>
                <w:bCs/>
                <w:sz w:val="24"/>
                <w:szCs w:val="22"/>
              </w:rPr>
              <w:t>, ktoré bolo zverejnené</w:t>
            </w:r>
            <w:r w:rsidRPr="005C0E2A">
              <w:rPr>
                <w:bCs/>
                <w:sz w:val="24"/>
                <w:szCs w:val="22"/>
              </w:rPr>
              <w:t xml:space="preserve"> až 13.4.2016</w:t>
            </w:r>
            <w:r w:rsidRPr="005C0E2A">
              <w:rPr>
                <w:bCs/>
                <w:sz w:val="24"/>
                <w:szCs w:val="22"/>
              </w:rPr>
              <w:t xml:space="preserve">.  Nadväzne na uvedené bolo potrebné ihneď začať legislatívny proces, nakoľko </w:t>
            </w:r>
            <w:r w:rsidRPr="005C0E2A">
              <w:rPr>
                <w:bCs/>
                <w:sz w:val="24"/>
                <w:szCs w:val="22"/>
              </w:rPr>
              <w:t xml:space="preserve">Slovenská republika predsedá v II. polroku 2016 v Rade EÚ </w:t>
            </w:r>
          </w:p>
          <w:p w:rsidR="00033AE2" w:rsidRPr="00B46C1E" w:rsidRDefault="00033AE2" w:rsidP="00D937A6">
            <w:pPr>
              <w:tabs>
                <w:tab w:val="center" w:pos="6379"/>
              </w:tabs>
              <w:ind w:right="-2"/>
              <w:jc w:val="both"/>
              <w:rPr>
                <w:bCs/>
                <w:sz w:val="24"/>
                <w:szCs w:val="22"/>
              </w:rPr>
            </w:pPr>
          </w:p>
          <w:p w:rsidR="003872DC" w:rsidRDefault="003872DC" w:rsidP="007B71A4">
            <w:pPr>
              <w:rPr>
                <w:b/>
                <w:sz w:val="24"/>
                <w:szCs w:val="24"/>
              </w:rPr>
            </w:pPr>
          </w:p>
          <w:p w:rsidR="003872DC" w:rsidRPr="003872DC" w:rsidRDefault="003872DC" w:rsidP="007B71A4">
            <w:pPr>
              <w:rPr>
                <w:b/>
                <w:sz w:val="24"/>
                <w:szCs w:val="24"/>
              </w:rPr>
            </w:pPr>
            <w:r w:rsidRPr="003872DC">
              <w:rPr>
                <w:b/>
                <w:i/>
                <w:sz w:val="24"/>
                <w:szCs w:val="24"/>
                <w:lang w:eastAsia="en-US"/>
              </w:rPr>
              <w:t>Nesúhlasné stanovisko komisie neznamená zastavenie ďalšieho schvaľovacieho procesu.</w:t>
            </w:r>
          </w:p>
        </w:tc>
      </w:tr>
    </w:tbl>
    <w:p w:rsidR="003501A1" w:rsidRPr="00C549ED" w:rsidRDefault="003501A1" w:rsidP="003501A1">
      <w:pPr>
        <w:rPr>
          <w:b/>
          <w:sz w:val="24"/>
          <w:szCs w:val="24"/>
        </w:rPr>
      </w:pPr>
    </w:p>
    <w:p w:rsidR="003501A1" w:rsidRPr="00C549ED" w:rsidRDefault="003501A1" w:rsidP="003501A1">
      <w:pPr>
        <w:rPr>
          <w:b/>
          <w:sz w:val="24"/>
          <w:szCs w:val="24"/>
        </w:rPr>
      </w:pPr>
    </w:p>
    <w:p w:rsidR="00CB3623" w:rsidRPr="00C549ED" w:rsidRDefault="00CB3623">
      <w:pPr>
        <w:rPr>
          <w:sz w:val="24"/>
          <w:szCs w:val="24"/>
        </w:rPr>
      </w:pPr>
    </w:p>
    <w:sectPr w:rsidR="00CB3623" w:rsidRPr="00C549ED" w:rsidSect="004C60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4A" w:rsidRDefault="003D604A" w:rsidP="003501A1">
      <w:r>
        <w:separator/>
      </w:r>
    </w:p>
  </w:endnote>
  <w:endnote w:type="continuationSeparator" w:id="0">
    <w:p w:rsidR="003D604A" w:rsidRDefault="003D604A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4A" w:rsidRDefault="003D604A" w:rsidP="003501A1">
      <w:r>
        <w:separator/>
      </w:r>
    </w:p>
  </w:footnote>
  <w:footnote w:type="continuationSeparator" w:id="0">
    <w:p w:rsidR="003D604A" w:rsidRDefault="003D604A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3B44"/>
    <w:multiLevelType w:val="multilevel"/>
    <w:tmpl w:val="B5CA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33AE2"/>
    <w:rsid w:val="00036A60"/>
    <w:rsid w:val="000D40AB"/>
    <w:rsid w:val="000F1D6D"/>
    <w:rsid w:val="0011693A"/>
    <w:rsid w:val="00175FD8"/>
    <w:rsid w:val="00181A5D"/>
    <w:rsid w:val="001A1559"/>
    <w:rsid w:val="002D3A4E"/>
    <w:rsid w:val="003501A1"/>
    <w:rsid w:val="003872DC"/>
    <w:rsid w:val="00395098"/>
    <w:rsid w:val="003D604A"/>
    <w:rsid w:val="0045465B"/>
    <w:rsid w:val="0048037C"/>
    <w:rsid w:val="004C60B8"/>
    <w:rsid w:val="004C794A"/>
    <w:rsid w:val="004F6F1F"/>
    <w:rsid w:val="004F7D6F"/>
    <w:rsid w:val="00570B48"/>
    <w:rsid w:val="005B7A8D"/>
    <w:rsid w:val="005C0E2A"/>
    <w:rsid w:val="006C3B7D"/>
    <w:rsid w:val="00792575"/>
    <w:rsid w:val="00886554"/>
    <w:rsid w:val="009A4CF1"/>
    <w:rsid w:val="00A9073C"/>
    <w:rsid w:val="00AC2477"/>
    <w:rsid w:val="00B46C1E"/>
    <w:rsid w:val="00B65A86"/>
    <w:rsid w:val="00B93EA9"/>
    <w:rsid w:val="00BA1B9E"/>
    <w:rsid w:val="00BE21AE"/>
    <w:rsid w:val="00C32DEE"/>
    <w:rsid w:val="00C36EF5"/>
    <w:rsid w:val="00C549ED"/>
    <w:rsid w:val="00CB3623"/>
    <w:rsid w:val="00CB680A"/>
    <w:rsid w:val="00D13B6F"/>
    <w:rsid w:val="00D75D35"/>
    <w:rsid w:val="00D937A6"/>
    <w:rsid w:val="00DE2A12"/>
    <w:rsid w:val="00E65C5B"/>
    <w:rsid w:val="00EB59E3"/>
    <w:rsid w:val="00EF466C"/>
    <w:rsid w:val="00F22831"/>
    <w:rsid w:val="00F62771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rsid w:val="00181A5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rsid w:val="00181A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a.ivanicova@mfs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6E182-564C-4EDF-972C-B2230EB2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Ivanicova Eva</cp:lastModifiedBy>
  <cp:revision>3</cp:revision>
  <cp:lastPrinted>2016-07-04T12:33:00Z</cp:lastPrinted>
  <dcterms:created xsi:type="dcterms:W3CDTF">2016-07-04T09:54:00Z</dcterms:created>
  <dcterms:modified xsi:type="dcterms:W3CDTF">2016-07-04T12:44:00Z</dcterms:modified>
</cp:coreProperties>
</file>