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BC3CDD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BC3CDD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BC3CDD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C3CDD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C3CDD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BC3CDD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BC3CDD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14"/>
        <w:gridCol w:w="1320"/>
      </w:tblGrid>
      <w:tr w:rsidR="00BC3CDD" w:rsidRPr="00BC3CDD" w:rsidTr="00621DB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C3CDD" w:rsidRPr="00BC3CDD" w:rsidTr="0004601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C3CDD" w:rsidRDefault="00F35F4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C3CDD" w:rsidRDefault="00F35F4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7D5748" w:rsidRPr="00BC3CDD" w:rsidRDefault="00F35F4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:rsidR="007D5748" w:rsidRPr="00BC3CDD" w:rsidRDefault="00F35F4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shd w:val="clear" w:color="auto" w:fill="C0C0C0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shd w:val="clear" w:color="auto" w:fill="C0C0C0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BC3CDD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BC3CDD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C3CDD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C51FD4" w:rsidRPr="00BC3CDD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C51FD4" w:rsidRPr="00BC3CDD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C3CDD" w:rsidRDefault="003770F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35 855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C3CDD" w:rsidRDefault="003770F6" w:rsidP="007F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5 504 396</w:t>
            </w:r>
          </w:p>
        </w:tc>
        <w:tc>
          <w:tcPr>
            <w:tcW w:w="1214" w:type="dxa"/>
            <w:shd w:val="clear" w:color="auto" w:fill="C0C0C0"/>
            <w:noWrap/>
            <w:vAlign w:val="center"/>
          </w:tcPr>
          <w:p w:rsidR="007D5748" w:rsidRPr="00BC3CDD" w:rsidRDefault="003770F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7 228 113</w:t>
            </w:r>
          </w:p>
        </w:tc>
        <w:tc>
          <w:tcPr>
            <w:tcW w:w="1320" w:type="dxa"/>
            <w:shd w:val="clear" w:color="auto" w:fill="C0C0C0"/>
            <w:noWrap/>
            <w:vAlign w:val="center"/>
          </w:tcPr>
          <w:p w:rsidR="007D5748" w:rsidRPr="00BC3CDD" w:rsidRDefault="003770F6" w:rsidP="009D4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5 831 483</w:t>
            </w:r>
            <w:r w:rsidR="007D5748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BC4FD7" w:rsidP="00BC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:rsidR="00BC4FD7" w:rsidRPr="00BC3CDD" w:rsidRDefault="00BC4FD7" w:rsidP="00BC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03 Úrad vlády SR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BC4FD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2E1CE8" w:rsidP="009D4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247 463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866 025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870 395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C3CDD" w:rsidRDefault="002E1CE8" w:rsidP="009D4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247 463</w:t>
            </w:r>
          </w:p>
        </w:tc>
        <w:tc>
          <w:tcPr>
            <w:tcW w:w="1214" w:type="dxa"/>
            <w:noWrap/>
            <w:vAlign w:val="center"/>
          </w:tcPr>
          <w:p w:rsidR="007D5748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866 025</w:t>
            </w:r>
          </w:p>
        </w:tc>
        <w:tc>
          <w:tcPr>
            <w:tcW w:w="1320" w:type="dxa"/>
            <w:noWrap/>
            <w:vAlign w:val="center"/>
          </w:tcPr>
          <w:p w:rsidR="007D5748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870 395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91516" w:rsidRPr="00BC3CDD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 w:rsidR="00C91516"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  <w:p w:rsidR="00C51FD4" w:rsidRPr="00BC3CDD" w:rsidRDefault="00C91516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Program </w:t>
            </w:r>
            <w:r w:rsidR="004F526E"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06P -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Tvorba a implementácia politík</w:t>
            </w:r>
          </w:p>
        </w:tc>
        <w:tc>
          <w:tcPr>
            <w:tcW w:w="1267" w:type="dxa"/>
            <w:noWrap/>
            <w:vAlign w:val="center"/>
          </w:tcPr>
          <w:p w:rsidR="00C51FD4" w:rsidRPr="00BC3CDD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247 463</w:t>
            </w:r>
          </w:p>
        </w:tc>
        <w:tc>
          <w:tcPr>
            <w:tcW w:w="1214" w:type="dxa"/>
            <w:noWrap/>
            <w:vAlign w:val="center"/>
          </w:tcPr>
          <w:p w:rsidR="00C51FD4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866 025</w:t>
            </w:r>
          </w:p>
        </w:tc>
        <w:tc>
          <w:tcPr>
            <w:tcW w:w="1320" w:type="dxa"/>
            <w:noWrap/>
            <w:vAlign w:val="center"/>
          </w:tcPr>
          <w:p w:rsidR="00C51FD4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870 395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91516" w:rsidRPr="00BC3CDD" w:rsidRDefault="00C91516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91516" w:rsidRPr="00BC3CDD" w:rsidRDefault="00C91516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Spolufinancovanie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4FD7" w:rsidRPr="00BC3CDD" w:rsidRDefault="00BC4FD7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:rsidR="00BC4FD7" w:rsidRPr="00BC3CDD" w:rsidRDefault="00BC4FD7" w:rsidP="00BC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kapitola 12 Ministerstvo vnútra SR</w:t>
            </w:r>
            <w:r w:rsidR="008D7472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477 000</w:t>
            </w:r>
          </w:p>
        </w:tc>
        <w:tc>
          <w:tcPr>
            <w:tcW w:w="1214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404 000</w:t>
            </w:r>
          </w:p>
        </w:tc>
        <w:tc>
          <w:tcPr>
            <w:tcW w:w="1320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403 000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4FD7" w:rsidRPr="00BC3CDD" w:rsidRDefault="00BC4FD7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BC4FD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C4FD7" w:rsidRPr="00BC3CDD" w:rsidRDefault="00BC4FD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BC4FD7" w:rsidRPr="00BC3CDD" w:rsidRDefault="00BC4FD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BC4FD7" w:rsidRPr="00BC3CDD" w:rsidRDefault="00BC4FD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4FD7" w:rsidRPr="00BC3CDD" w:rsidRDefault="00BC4FD7" w:rsidP="00C9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 w:rsidR="00C91516"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ŠR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477 000</w:t>
            </w:r>
          </w:p>
        </w:tc>
        <w:tc>
          <w:tcPr>
            <w:tcW w:w="1214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404 000</w:t>
            </w:r>
          </w:p>
        </w:tc>
        <w:tc>
          <w:tcPr>
            <w:tcW w:w="1320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403 000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91516" w:rsidRPr="00BC3CDD" w:rsidRDefault="00C91516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Rozpočtové prostriedky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4FD7" w:rsidRPr="00BC3CDD" w:rsidRDefault="00BC4FD7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 (prostriedky ESF) (85 %)</w:t>
            </w:r>
          </w:p>
          <w:p w:rsidR="00C91516" w:rsidRPr="00BC3CDD" w:rsidRDefault="00C91516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Program OE9</w:t>
            </w:r>
            <w:r w:rsidR="004F526E"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01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- OP Efektívna verejná   </w:t>
            </w:r>
          </w:p>
          <w:p w:rsidR="00C91516" w:rsidRPr="00BC3CDD" w:rsidRDefault="00C91516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správa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405 450</w:t>
            </w:r>
          </w:p>
        </w:tc>
        <w:tc>
          <w:tcPr>
            <w:tcW w:w="1214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343 400</w:t>
            </w:r>
          </w:p>
        </w:tc>
        <w:tc>
          <w:tcPr>
            <w:tcW w:w="1320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342 550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4FD7" w:rsidRPr="00BC3CDD" w:rsidRDefault="00BC4FD7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 (15%)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71 550</w:t>
            </w:r>
          </w:p>
        </w:tc>
        <w:tc>
          <w:tcPr>
            <w:tcW w:w="1214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60 600</w:t>
            </w:r>
          </w:p>
        </w:tc>
        <w:tc>
          <w:tcPr>
            <w:tcW w:w="1320" w:type="dxa"/>
            <w:noWrap/>
            <w:vAlign w:val="center"/>
          </w:tcPr>
          <w:p w:rsidR="00BC4FD7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60 450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53D56" w:rsidRPr="00BC3CDD" w:rsidRDefault="00B53D56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</w:t>
            </w:r>
          </w:p>
          <w:p w:rsidR="00B53D56" w:rsidRPr="00BC3CDD" w:rsidRDefault="00C91516" w:rsidP="0001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kapitola </w:t>
            </w:r>
            <w:r w:rsidR="00011C9C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016405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financií SR</w:t>
            </w:r>
            <w:r w:rsidR="008D7472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4D12D8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**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35 855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7F5C8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proofErr w:type="spellEnd"/>
          </w:p>
        </w:tc>
        <w:tc>
          <w:tcPr>
            <w:tcW w:w="1320" w:type="dxa"/>
            <w:noWrap/>
            <w:vAlign w:val="center"/>
          </w:tcPr>
          <w:p w:rsidR="00B53D56" w:rsidRPr="00BC3CDD" w:rsidRDefault="002E1CE8" w:rsidP="002E1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53D56" w:rsidRPr="00BC3CDD" w:rsidRDefault="00B53D56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53D56" w:rsidRPr="00BC3CDD" w:rsidRDefault="00B53D56" w:rsidP="00C91516">
            <w:pPr>
              <w:pStyle w:val="Odsekzoznamu"/>
              <w:numPr>
                <w:ilvl w:val="0"/>
                <w:numId w:val="9"/>
              </w:numPr>
              <w:rPr>
                <w:b/>
                <w:i/>
              </w:rPr>
            </w:pPr>
            <w:r w:rsidRPr="00BC3CDD">
              <w:rPr>
                <w:b/>
                <w:i/>
              </w:rPr>
              <w:t xml:space="preserve">vplyv na </w:t>
            </w:r>
            <w:r w:rsidR="00C91516" w:rsidRPr="00BC3CDD">
              <w:rPr>
                <w:b/>
                <w:i/>
              </w:rPr>
              <w:t>ŠR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35 855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proofErr w:type="spellEnd"/>
          </w:p>
        </w:tc>
        <w:tc>
          <w:tcPr>
            <w:tcW w:w="1214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  <w:proofErr w:type="spellEnd"/>
          </w:p>
        </w:tc>
        <w:tc>
          <w:tcPr>
            <w:tcW w:w="1320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91516" w:rsidRPr="00BC3CDD" w:rsidRDefault="00C91516" w:rsidP="00B53D56">
            <w:pPr>
              <w:pStyle w:val="Odsekzoznamu"/>
              <w:ind w:left="420"/>
              <w:rPr>
                <w:bCs/>
                <w:i/>
                <w:iCs/>
              </w:rPr>
            </w:pPr>
            <w:r w:rsidRPr="00BC3CDD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C91516" w:rsidRPr="00BC3CDD" w:rsidRDefault="00C915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53D56" w:rsidRPr="00BC3CDD" w:rsidRDefault="00B53D56" w:rsidP="00B53D56">
            <w:pPr>
              <w:pStyle w:val="Odsekzoznamu"/>
              <w:ind w:left="420"/>
              <w:rPr>
                <w:bCs/>
                <w:i/>
                <w:iCs/>
              </w:rPr>
            </w:pPr>
            <w:r w:rsidRPr="00BC3CDD">
              <w:rPr>
                <w:bCs/>
                <w:i/>
                <w:iCs/>
              </w:rPr>
              <w:t>EÚ zdroje  (85 %)</w:t>
            </w:r>
          </w:p>
          <w:p w:rsidR="008D7472" w:rsidRPr="00BC3CDD" w:rsidRDefault="008D7472" w:rsidP="00016405">
            <w:pPr>
              <w:pStyle w:val="Odsekzoznamu"/>
              <w:ind w:left="420"/>
              <w:rPr>
                <w:b/>
                <w:i/>
              </w:rPr>
            </w:pPr>
            <w:r w:rsidRPr="00BC3CDD">
              <w:rPr>
                <w:b/>
                <w:bCs/>
                <w:i/>
                <w:iCs/>
              </w:rPr>
              <w:t xml:space="preserve">Program </w:t>
            </w:r>
            <w:r w:rsidR="00016405" w:rsidRPr="00BC3CDD">
              <w:rPr>
                <w:b/>
                <w:bCs/>
                <w:i/>
                <w:iCs/>
              </w:rPr>
              <w:t>OEJ - Informačná spoločnosť 2014 - 2020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30 477</w:t>
            </w:r>
            <w:r w:rsidR="00B53D56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1 700 000</w:t>
            </w:r>
          </w:p>
        </w:tc>
        <w:tc>
          <w:tcPr>
            <w:tcW w:w="1214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1 700 000</w:t>
            </w:r>
          </w:p>
        </w:tc>
        <w:tc>
          <w:tcPr>
            <w:tcW w:w="1320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  <w:r w:rsidR="00524A37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53D56" w:rsidRPr="00BC3CDD" w:rsidRDefault="00B53D56" w:rsidP="00B53D56">
            <w:pPr>
              <w:pStyle w:val="Odsekzoznamu"/>
              <w:ind w:left="420"/>
              <w:rPr>
                <w:b/>
                <w:i/>
              </w:rPr>
            </w:pPr>
            <w:r w:rsidRPr="00BC3CDD">
              <w:rPr>
                <w:bCs/>
                <w:i/>
                <w:iCs/>
              </w:rPr>
              <w:t>Spolufinancovanie (15%)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5 378</w:t>
            </w:r>
          </w:p>
        </w:tc>
        <w:tc>
          <w:tcPr>
            <w:tcW w:w="1267" w:type="dxa"/>
            <w:noWrap/>
            <w:vAlign w:val="center"/>
          </w:tcPr>
          <w:p w:rsidR="00B53D56" w:rsidRPr="00BC3CDD" w:rsidRDefault="00B53D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214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320" w:type="dxa"/>
            <w:noWrap/>
            <w:vAlign w:val="center"/>
          </w:tcPr>
          <w:p w:rsidR="00B53D56" w:rsidRPr="00BC3CDD" w:rsidRDefault="002E1CE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90 000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:rsidR="00D3015C" w:rsidRPr="00BC3CDD" w:rsidRDefault="00D3015C" w:rsidP="006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kap</w:t>
            </w:r>
            <w:r w:rsidR="006C24A3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itoly ŠR (vrátane kapitoly </w:t>
            </w: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</w:t>
            </w:r>
            <w:r w:rsidR="006C24A3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,12, 15</w:t>
            </w: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9631C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2 779 933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F646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94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4036B9" w:rsidP="006C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2 779 933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4036B9" w:rsidP="006C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943E9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4036B9" w:rsidP="006C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2 779 933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4036B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3 958 088</w:t>
            </w:r>
          </w:p>
        </w:tc>
      </w:tr>
      <w:tr w:rsidR="00BC3CDD" w:rsidRPr="00BC3CDD" w:rsidTr="0004601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  <w:r w:rsidR="00D3015C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  <w:r w:rsidR="004E0A36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53D56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4E0A36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A92DBE" w:rsidP="0065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</w:t>
            </w:r>
            <w:r w:rsidR="004E0A36"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A92DBE" w:rsidP="0065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</w:t>
            </w:r>
            <w:r w:rsidR="004E0A36"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A92DBE" w:rsidP="00653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23</w:t>
            </w:r>
            <w:r w:rsidR="004E0A36"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A92DBE" w:rsidP="006C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2 885 601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CF78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4 390 963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CF78FA" w:rsidP="0047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4 390 963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A92DB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A92DBE" w:rsidP="0047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2 885 601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CF78FA" w:rsidP="0047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4 390 963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CF78FA" w:rsidP="00476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4 390 963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3015C" w:rsidRPr="00BC3CDD" w:rsidRDefault="00CF78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35 855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3015C" w:rsidRPr="00BC3CDD" w:rsidRDefault="003770F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5 256 933</w:t>
            </w:r>
          </w:p>
        </w:tc>
        <w:tc>
          <w:tcPr>
            <w:tcW w:w="1214" w:type="dxa"/>
            <w:shd w:val="clear" w:color="auto" w:fill="C0C0C0"/>
            <w:noWrap/>
            <w:vAlign w:val="center"/>
          </w:tcPr>
          <w:p w:rsidR="00D3015C" w:rsidRPr="00BC3CDD" w:rsidRDefault="00126BD7" w:rsidP="0004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6 362 088</w:t>
            </w:r>
          </w:p>
        </w:tc>
        <w:tc>
          <w:tcPr>
            <w:tcW w:w="1320" w:type="dxa"/>
            <w:shd w:val="clear" w:color="auto" w:fill="C0C0C0"/>
            <w:noWrap/>
            <w:vAlign w:val="center"/>
          </w:tcPr>
          <w:p w:rsidR="00D3015C" w:rsidRPr="00BC3CDD" w:rsidRDefault="00126BD7" w:rsidP="00DC6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4 961 088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15C" w:rsidRPr="00BC3CDD" w:rsidRDefault="00D3015C" w:rsidP="0070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:rsidR="00701DD9" w:rsidRPr="00BC3CDD" w:rsidRDefault="00701DD9" w:rsidP="006C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kapitoly ŠR(vrátane kapitoly 03</w:t>
            </w:r>
            <w:r w:rsidR="006C24A3"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,12,15</w:t>
            </w: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15C" w:rsidRPr="00BC3CDD" w:rsidRDefault="00701DD9" w:rsidP="00046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3 958 0</w:t>
            </w:r>
            <w:r w:rsidR="00DF6469"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1214" w:type="dxa"/>
            <w:noWrap/>
            <w:vAlign w:val="center"/>
          </w:tcPr>
          <w:p w:rsidR="00D3015C" w:rsidRPr="00BC3CDD" w:rsidRDefault="00DF646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3 958 088</w:t>
            </w:r>
          </w:p>
        </w:tc>
        <w:tc>
          <w:tcPr>
            <w:tcW w:w="1320" w:type="dxa"/>
            <w:noWrap/>
            <w:vAlign w:val="center"/>
          </w:tcPr>
          <w:p w:rsidR="00D3015C" w:rsidRPr="00BC3CDD" w:rsidRDefault="00DF6469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3 958 088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D7472" w:rsidRPr="00BC3CDD" w:rsidRDefault="008D7472" w:rsidP="0070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Prostriedky EU (OP EVS, OP II)</w:t>
            </w:r>
          </w:p>
        </w:tc>
        <w:tc>
          <w:tcPr>
            <w:tcW w:w="1267" w:type="dxa"/>
            <w:noWrap/>
            <w:vAlign w:val="center"/>
          </w:tcPr>
          <w:p w:rsidR="008D7472" w:rsidRPr="00BC3CDD" w:rsidRDefault="00CF78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35 855</w:t>
            </w:r>
          </w:p>
        </w:tc>
        <w:tc>
          <w:tcPr>
            <w:tcW w:w="1267" w:type="dxa"/>
            <w:noWrap/>
            <w:vAlign w:val="center"/>
          </w:tcPr>
          <w:p w:rsidR="008D7472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2 410 200</w:t>
            </w:r>
          </w:p>
        </w:tc>
        <w:tc>
          <w:tcPr>
            <w:tcW w:w="1214" w:type="dxa"/>
            <w:noWrap/>
            <w:vAlign w:val="center"/>
          </w:tcPr>
          <w:p w:rsidR="008D7472" w:rsidRPr="00BC3CDD" w:rsidRDefault="00DC679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1 046 025</w:t>
            </w:r>
          </w:p>
        </w:tc>
        <w:tc>
          <w:tcPr>
            <w:tcW w:w="1320" w:type="dxa"/>
            <w:noWrap/>
            <w:vAlign w:val="center"/>
          </w:tcPr>
          <w:p w:rsidR="008D7472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210 600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173DA7" w:rsidRPr="00BC3CDD" w:rsidRDefault="00D3015C" w:rsidP="00476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D3015C" w:rsidRPr="00BC3CDD" w:rsidRDefault="008D74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C3CDD" w:rsidRPr="00BC3CDD" w:rsidTr="00046014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D3015C" w:rsidRPr="00BC3CDD" w:rsidRDefault="00D3015C" w:rsidP="0070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  <w:p w:rsidR="00701DD9" w:rsidRPr="00BC3CDD" w:rsidRDefault="004769F5" w:rsidP="0037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Kapitola 03</w:t>
            </w:r>
            <w:r w:rsidR="003770F6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Úrad vlády SR (Rada</w:t>
            </w:r>
            <w:r w:rsidR="00701DD9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 OŠSVS</w:t>
            </w:r>
            <w:r w:rsidR="00046014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, CISŠS </w:t>
            </w:r>
            <w:r w:rsidR="00CC4A3B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 w:rsidR="003770F6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10-12/2019</w:t>
            </w:r>
            <w:r w:rsidR="00701DD9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3015C" w:rsidRPr="00BC3CDD" w:rsidRDefault="00D3015C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D3015C" w:rsidRPr="00BC3CDD" w:rsidRDefault="003770F6" w:rsidP="006C2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247 463</w:t>
            </w:r>
          </w:p>
        </w:tc>
        <w:tc>
          <w:tcPr>
            <w:tcW w:w="1214" w:type="dxa"/>
            <w:shd w:val="clear" w:color="auto" w:fill="A6A6A6" w:themeFill="background1" w:themeFillShade="A6"/>
            <w:noWrap/>
            <w:vAlign w:val="center"/>
          </w:tcPr>
          <w:p w:rsidR="00D3015C" w:rsidRPr="00BC3CDD" w:rsidRDefault="003770F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866 025</w:t>
            </w:r>
          </w:p>
        </w:tc>
        <w:tc>
          <w:tcPr>
            <w:tcW w:w="1320" w:type="dxa"/>
            <w:shd w:val="clear" w:color="auto" w:fill="A6A6A6" w:themeFill="background1" w:themeFillShade="A6"/>
            <w:noWrap/>
            <w:vAlign w:val="center"/>
          </w:tcPr>
          <w:p w:rsidR="00D3015C" w:rsidRPr="00BC3CDD" w:rsidRDefault="003770F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870 395</w:t>
            </w:r>
          </w:p>
        </w:tc>
      </w:tr>
    </w:tbl>
    <w:bookmarkEnd w:id="0"/>
    <w:p w:rsidR="0035142E" w:rsidRPr="00BC3CDD" w:rsidRDefault="008D7472" w:rsidP="008D74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3CDD">
        <w:rPr>
          <w:b/>
          <w:bCs/>
        </w:rPr>
        <w:t>*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Úrad vlády SR </w:t>
      </w:r>
      <w:r w:rsidR="002451AB" w:rsidRPr="00BC3CDD">
        <w:rPr>
          <w:rFonts w:ascii="Times New Roman" w:hAnsi="Times New Roman" w:cs="Times New Roman"/>
          <w:b/>
          <w:bCs/>
          <w:sz w:val="20"/>
          <w:szCs w:val="20"/>
        </w:rPr>
        <w:t>ako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prijímateľ prostriedkov</w:t>
      </w:r>
      <w:r w:rsidR="009750A2"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EU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z OP EVS v rámci projektu Hodnotiace, testovacie a metodické centrum pre ľudské zdroje.</w:t>
      </w:r>
      <w:r w:rsidR="004D00EC"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466E0" w:rsidRPr="00BC3CDD" w:rsidRDefault="004D12D8" w:rsidP="008D747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3CDD">
        <w:rPr>
          <w:rFonts w:ascii="Times New Roman" w:hAnsi="Times New Roman" w:cs="Times New Roman"/>
          <w:bCs/>
          <w:sz w:val="20"/>
          <w:szCs w:val="20"/>
        </w:rPr>
        <w:t>**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Úrad vlády SR</w:t>
      </w:r>
      <w:r w:rsidR="00126BD7"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(NASES)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51AB" w:rsidRPr="00BC3CDD">
        <w:rPr>
          <w:rFonts w:ascii="Times New Roman" w:hAnsi="Times New Roman" w:cs="Times New Roman"/>
          <w:b/>
          <w:bCs/>
          <w:sz w:val="20"/>
          <w:szCs w:val="20"/>
        </w:rPr>
        <w:t>ako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 prijímateľ prostriedkov </w:t>
      </w:r>
      <w:r w:rsidR="009750A2" w:rsidRPr="00BC3CDD">
        <w:rPr>
          <w:rFonts w:ascii="Times New Roman" w:hAnsi="Times New Roman" w:cs="Times New Roman"/>
          <w:b/>
          <w:bCs/>
          <w:sz w:val="20"/>
          <w:szCs w:val="20"/>
        </w:rPr>
        <w:t xml:space="preserve">EU </w:t>
      </w:r>
      <w:r w:rsidRPr="00BC3CDD">
        <w:rPr>
          <w:rFonts w:ascii="Times New Roman" w:hAnsi="Times New Roman" w:cs="Times New Roman"/>
          <w:b/>
          <w:bCs/>
          <w:sz w:val="20"/>
          <w:szCs w:val="20"/>
        </w:rPr>
        <w:t>z OP II v rámci projektu Centrálny informačný systém štátnej služby</w:t>
      </w:r>
      <w:r w:rsidR="00A466E0" w:rsidRPr="00BC3CDD">
        <w:rPr>
          <w:rFonts w:ascii="Times New Roman" w:hAnsi="Times New Roman" w:cs="Times New Roman"/>
          <w:b/>
          <w:bCs/>
          <w:sz w:val="20"/>
          <w:szCs w:val="20"/>
        </w:rPr>
        <w:t>. Náklady na prevádzku po ukončení projektu sú vyčíslené v kapitole 03 Úrad vlády SR</w:t>
      </w:r>
      <w:r w:rsidR="004D00EC" w:rsidRPr="00BC3CD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963A3" w:rsidRPr="00BC3CDD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BC3CDD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BC3CDD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621DBF" w:rsidRPr="00BC3CDD" w:rsidRDefault="00621DBF" w:rsidP="00621D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1.</w:t>
      </w:r>
      <w:r w:rsidRPr="00BC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bCs/>
          <w:sz w:val="24"/>
          <w:szCs w:val="24"/>
        </w:rPr>
        <w:t>Úrad vlády</w:t>
      </w:r>
      <w:r w:rsidR="008770B6" w:rsidRPr="00BC3CDD">
        <w:rPr>
          <w:rFonts w:ascii="Times New Roman" w:hAnsi="Times New Roman" w:cs="Times New Roman"/>
          <w:bCs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žiada o navýšenie finančných prostriedkov kapitoly</w:t>
      </w:r>
      <w:r w:rsidR="004D12D8" w:rsidRPr="00BC3CDD">
        <w:rPr>
          <w:rFonts w:ascii="Times New Roman" w:hAnsi="Times New Roman" w:cs="Times New Roman"/>
          <w:bCs/>
          <w:sz w:val="24"/>
          <w:szCs w:val="24"/>
        </w:rPr>
        <w:t xml:space="preserve"> a o navýšenie limitu počtu zamestnancov kapitoly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, za účelom zabezpečenia jeho zákonných kompetencií a riadneho plnenia úloh štátnej správy na úseku štátnej </w:t>
      </w:r>
      <w:r w:rsidR="008770B6" w:rsidRPr="00BC3CDD">
        <w:rPr>
          <w:rFonts w:ascii="Times New Roman" w:hAnsi="Times New Roman" w:cs="Times New Roman"/>
          <w:bCs/>
          <w:sz w:val="24"/>
          <w:szCs w:val="24"/>
        </w:rPr>
        <w:t xml:space="preserve">služby a verejnej služby, a to </w:t>
      </w:r>
      <w:r w:rsidRPr="00BC3CDD">
        <w:rPr>
          <w:rFonts w:ascii="Times New Roman" w:hAnsi="Times New Roman" w:cs="Times New Roman"/>
          <w:bCs/>
          <w:sz w:val="24"/>
          <w:szCs w:val="24"/>
        </w:rPr>
        <w:t>na podklade vyčíslených vplyvov na rozpočet verejnej správy v tejto analýze</w:t>
      </w:r>
      <w:r w:rsidR="00920AD7" w:rsidRPr="00BC3CDD">
        <w:rPr>
          <w:rFonts w:ascii="Times New Roman" w:hAnsi="Times New Roman" w:cs="Times New Roman"/>
          <w:bCs/>
          <w:sz w:val="24"/>
          <w:szCs w:val="24"/>
        </w:rPr>
        <w:t>.</w:t>
      </w:r>
      <w:r w:rsidR="0035142E" w:rsidRPr="00BC3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42E" w:rsidRPr="00BC3CDD">
        <w:rPr>
          <w:rFonts w:ascii="Times New Roman" w:hAnsi="Times New Roman" w:cs="Times New Roman"/>
          <w:sz w:val="24"/>
          <w:szCs w:val="24"/>
        </w:rPr>
        <w:t xml:space="preserve">Vyčíslenie výdavkov na rok 2017 zohľadňuje účinnosť návrhu zákona o štátnej službe od 1.6.2017, ako aj posun účinnosti ustanovení zákona týkajúcich sa </w:t>
      </w:r>
      <w:r w:rsidR="004E6AEF" w:rsidRPr="00BC3CDD">
        <w:rPr>
          <w:rFonts w:ascii="Times New Roman" w:hAnsi="Times New Roman" w:cs="Times New Roman"/>
          <w:sz w:val="24"/>
          <w:szCs w:val="24"/>
        </w:rPr>
        <w:t xml:space="preserve">pôsobnosti </w:t>
      </w:r>
      <w:r w:rsidR="0035142E" w:rsidRPr="00BC3CDD">
        <w:rPr>
          <w:rFonts w:ascii="Times New Roman" w:hAnsi="Times New Roman" w:cs="Times New Roman"/>
          <w:sz w:val="24"/>
          <w:szCs w:val="24"/>
        </w:rPr>
        <w:t>Rady pre štátnu službu od 1.1.2018.</w:t>
      </w:r>
    </w:p>
    <w:p w:rsidR="0035142E" w:rsidRPr="00BC3CDD" w:rsidRDefault="00621DBF" w:rsidP="00621D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3CDD">
        <w:rPr>
          <w:rFonts w:ascii="Times New Roman" w:hAnsi="Times New Roman" w:cs="Times New Roman"/>
          <w:sz w:val="24"/>
          <w:szCs w:val="24"/>
        </w:rPr>
        <w:t xml:space="preserve">2. Čo sa týka  dopadov uvedených v tejto analýze, ktoré môžu mať vplyv na výdavky jednotlivých kapitol, </w:t>
      </w:r>
      <w:r w:rsidR="002B4F54" w:rsidRPr="00BC3CDD">
        <w:rPr>
          <w:rFonts w:ascii="Times New Roman" w:hAnsi="Times New Roman" w:cs="Times New Roman"/>
          <w:sz w:val="24"/>
          <w:szCs w:val="24"/>
        </w:rPr>
        <w:t xml:space="preserve">prípadné zvýšené výdavky si jednotlivé rozpočtové kapitoly </w:t>
      </w:r>
      <w:r w:rsidR="00F12A31" w:rsidRPr="00BC3CDD">
        <w:rPr>
          <w:rFonts w:ascii="Times New Roman" w:hAnsi="Times New Roman" w:cs="Times New Roman"/>
          <w:sz w:val="24"/>
          <w:szCs w:val="24"/>
        </w:rPr>
        <w:t>zabezpečia v rámci schválených limitov výdavkov jednotlivých kapitol štátneho rozpočtu na príslušný rozpočtový rok</w:t>
      </w:r>
      <w:r w:rsidR="002B4F54" w:rsidRPr="00BC3CDD">
        <w:rPr>
          <w:rFonts w:ascii="Times New Roman" w:hAnsi="Times New Roman" w:cs="Times New Roman"/>
          <w:sz w:val="24"/>
          <w:szCs w:val="24"/>
        </w:rPr>
        <w:t>.</w:t>
      </w:r>
      <w:r w:rsidR="004D12D8" w:rsidRPr="00BC3CDD">
        <w:rPr>
          <w:rFonts w:ascii="Times New Roman" w:hAnsi="Times New Roman" w:cs="Times New Roman"/>
          <w:sz w:val="24"/>
          <w:szCs w:val="24"/>
        </w:rPr>
        <w:t xml:space="preserve"> Uvedené vyčíslenie výdavkov je odhadované za všetky rozpočtové kapitoly súhrnne, nakoľko</w:t>
      </w:r>
      <w:r w:rsidR="003E7639" w:rsidRPr="00BC3CDD">
        <w:rPr>
          <w:rFonts w:ascii="Times New Roman" w:hAnsi="Times New Roman" w:cs="Times New Roman"/>
          <w:sz w:val="24"/>
          <w:szCs w:val="24"/>
        </w:rPr>
        <w:t xml:space="preserve"> predpokladané</w:t>
      </w:r>
      <w:r w:rsidR="004D12D8" w:rsidRPr="00BC3CDD">
        <w:rPr>
          <w:rFonts w:ascii="Times New Roman" w:hAnsi="Times New Roman" w:cs="Times New Roman"/>
          <w:sz w:val="24"/>
          <w:szCs w:val="24"/>
        </w:rPr>
        <w:t xml:space="preserve"> výdavky nie je možné kvantifikovať</w:t>
      </w:r>
      <w:r w:rsidR="003E7639" w:rsidRPr="00BC3CDD">
        <w:rPr>
          <w:rFonts w:ascii="Times New Roman" w:hAnsi="Times New Roman" w:cs="Times New Roman"/>
          <w:sz w:val="24"/>
          <w:szCs w:val="24"/>
        </w:rPr>
        <w:t xml:space="preserve"> jednotlivo</w:t>
      </w:r>
      <w:r w:rsidR="004D12D8" w:rsidRPr="00BC3CDD">
        <w:rPr>
          <w:rFonts w:ascii="Times New Roman" w:hAnsi="Times New Roman" w:cs="Times New Roman"/>
          <w:sz w:val="24"/>
          <w:szCs w:val="24"/>
        </w:rPr>
        <w:t>.</w:t>
      </w:r>
      <w:r w:rsidR="0035142E" w:rsidRP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BF" w:rsidRPr="00BC3CDD" w:rsidRDefault="00621DBF" w:rsidP="00621D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3. Výdavky na vybudovanie a prevádzku Centrálneho informačného systému</w:t>
      </w:r>
      <w:r w:rsidR="004D00EC" w:rsidRPr="00BC3CDD">
        <w:rPr>
          <w:rFonts w:ascii="Times New Roman" w:hAnsi="Times New Roman" w:cs="Times New Roman"/>
          <w:sz w:val="24"/>
          <w:szCs w:val="24"/>
        </w:rPr>
        <w:t xml:space="preserve"> štátnej služby </w:t>
      </w:r>
      <w:r w:rsidR="00F12A31" w:rsidRPr="00BC3CDD">
        <w:rPr>
          <w:rFonts w:ascii="Times New Roman" w:hAnsi="Times New Roman" w:cs="Times New Roman"/>
          <w:sz w:val="24"/>
          <w:szCs w:val="24"/>
        </w:rPr>
        <w:t>by mali byť financované</w:t>
      </w:r>
      <w:r w:rsidR="004D00EC" w:rsidRPr="00BC3CDD">
        <w:rPr>
          <w:rFonts w:ascii="Times New Roman" w:hAnsi="Times New Roman" w:cs="Times New Roman"/>
          <w:sz w:val="24"/>
          <w:szCs w:val="24"/>
        </w:rPr>
        <w:t xml:space="preserve"> z </w:t>
      </w:r>
      <w:r w:rsidRPr="00BC3CDD">
        <w:rPr>
          <w:rFonts w:ascii="Times New Roman" w:hAnsi="Times New Roman" w:cs="Times New Roman"/>
          <w:sz w:val="24"/>
          <w:szCs w:val="24"/>
        </w:rPr>
        <w:t>finančných prostriedkov štrukturálnych fondov Európskej únie v rámci Operačného programu Integrovaná infraštruktúra.</w:t>
      </w:r>
    </w:p>
    <w:p w:rsidR="007D5748" w:rsidRPr="00BC3CDD" w:rsidRDefault="00621DBF" w:rsidP="00621D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4. Výdavky na vybudovanie a prevádzku Hodnotiaceho</w:t>
      </w:r>
      <w:r w:rsidR="00BC3807" w:rsidRPr="00BC3CDD">
        <w:rPr>
          <w:rFonts w:ascii="Times New Roman" w:hAnsi="Times New Roman" w:cs="Times New Roman"/>
          <w:sz w:val="24"/>
          <w:szCs w:val="24"/>
        </w:rPr>
        <w:t>, testovacieho a metodického</w:t>
      </w:r>
      <w:r w:rsidRPr="00BC3CDD">
        <w:rPr>
          <w:rFonts w:ascii="Times New Roman" w:hAnsi="Times New Roman" w:cs="Times New Roman"/>
          <w:sz w:val="24"/>
          <w:szCs w:val="24"/>
        </w:rPr>
        <w:t xml:space="preserve"> centra</w:t>
      </w:r>
      <w:r w:rsidR="00BC3807" w:rsidRPr="00BC3CDD">
        <w:rPr>
          <w:rFonts w:ascii="Times New Roman" w:hAnsi="Times New Roman" w:cs="Times New Roman"/>
          <w:sz w:val="24"/>
          <w:szCs w:val="24"/>
        </w:rPr>
        <w:t xml:space="preserve"> pre ľudské zdroje (ďalej len „Hodnotiace centrum“)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F12A31" w:rsidRPr="00BC3CDD">
        <w:rPr>
          <w:rFonts w:ascii="Times New Roman" w:hAnsi="Times New Roman" w:cs="Times New Roman"/>
          <w:sz w:val="24"/>
          <w:szCs w:val="24"/>
        </w:rPr>
        <w:t>by mali byť financované</w:t>
      </w:r>
      <w:r w:rsidRPr="00BC3CDD">
        <w:rPr>
          <w:rFonts w:ascii="Times New Roman" w:hAnsi="Times New Roman" w:cs="Times New Roman"/>
          <w:sz w:val="24"/>
          <w:szCs w:val="24"/>
        </w:rPr>
        <w:t xml:space="preserve"> z finančných prostriedkov štrukturálnych fondov Európskej únie v rámci Operačného programu Efektívna verejná správa.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BC3CDD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1DBF" w:rsidRPr="00BC3CDD" w:rsidRDefault="00621DBF" w:rsidP="00621D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Návrh nového zákona o štátnej službe </w:t>
      </w:r>
      <w:r w:rsidR="00331E42" w:rsidRPr="00BC3CDD">
        <w:rPr>
          <w:rFonts w:ascii="Times New Roman" w:hAnsi="Times New Roman" w:cs="Times New Roman"/>
          <w:sz w:val="24"/>
          <w:szCs w:val="24"/>
        </w:rPr>
        <w:t xml:space="preserve">a o zmene a doplnení niektorých zákonov (ďalej len „ nový zákon o štátnej službe“) </w:t>
      </w:r>
      <w:r w:rsidRPr="00BC3CDD">
        <w:rPr>
          <w:rFonts w:ascii="Times New Roman" w:hAnsi="Times New Roman" w:cs="Times New Roman"/>
          <w:sz w:val="24"/>
          <w:szCs w:val="24"/>
        </w:rPr>
        <w:t>predstavuje novú a reformovanú právnu úpravu v oblasti</w:t>
      </w:r>
      <w:r w:rsidR="0096217C" w:rsidRPr="00BC3CDD">
        <w:rPr>
          <w:rFonts w:ascii="Times New Roman" w:hAnsi="Times New Roman" w:cs="Times New Roman"/>
          <w:sz w:val="24"/>
          <w:szCs w:val="24"/>
        </w:rPr>
        <w:t xml:space="preserve"> štátnozamestnaneckých vzťahov.</w:t>
      </w:r>
    </w:p>
    <w:p w:rsidR="00621DBF" w:rsidRPr="00BC3CDD" w:rsidRDefault="00621DBF" w:rsidP="00E0249E">
      <w:pPr>
        <w:jc w:val="both"/>
        <w:rPr>
          <w:rStyle w:val="FontStyle51"/>
          <w:rFonts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ab/>
        <w:t xml:space="preserve">Cieľom nového zákona o štátnej službe je zabezpečiť reformu štátnej služby v súlade s  princípmi štátnej služby a súčasne eliminovať nedostatky a problémy identifikované prostredníctvom </w:t>
      </w:r>
      <w:r w:rsidR="0096217C" w:rsidRPr="00BC3CDD">
        <w:rPr>
          <w:rFonts w:ascii="Times New Roman" w:hAnsi="Times New Roman" w:cs="Times New Roman"/>
          <w:sz w:val="24"/>
          <w:szCs w:val="24"/>
        </w:rPr>
        <w:t>odporúčaní R</w:t>
      </w:r>
      <w:r w:rsidR="00E0249E" w:rsidRPr="00BC3CDD">
        <w:rPr>
          <w:rFonts w:ascii="Times New Roman" w:hAnsi="Times New Roman" w:cs="Times New Roman"/>
          <w:sz w:val="24"/>
          <w:szCs w:val="24"/>
        </w:rPr>
        <w:t xml:space="preserve">ady </w:t>
      </w:r>
      <w:r w:rsidR="00FB0F7A" w:rsidRPr="00BC3CDD">
        <w:rPr>
          <w:rFonts w:ascii="Times New Roman" w:hAnsi="Times New Roman" w:cs="Times New Roman"/>
          <w:sz w:val="24"/>
          <w:szCs w:val="24"/>
        </w:rPr>
        <w:t>EÚ</w:t>
      </w:r>
      <w:r w:rsidR="00E0249E" w:rsidRPr="00BC3CDD">
        <w:rPr>
          <w:rFonts w:ascii="Times New Roman" w:hAnsi="Times New Roman" w:cs="Times New Roman"/>
          <w:sz w:val="24"/>
          <w:szCs w:val="24"/>
        </w:rPr>
        <w:t xml:space="preserve"> a</w:t>
      </w:r>
      <w:r w:rsidRPr="00BC3CDD">
        <w:rPr>
          <w:rFonts w:ascii="Times New Roman" w:hAnsi="Times New Roman" w:cs="Times New Roman"/>
          <w:sz w:val="24"/>
          <w:szCs w:val="24"/>
        </w:rPr>
        <w:t xml:space="preserve"> odporúčaní uvedených v Pozičnom dokumente Európskej komisii pre Slovenskú republiku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k vypracovaniu Partnerskej dohody na </w:t>
      </w:r>
      <w:r w:rsidR="00E82343" w:rsidRPr="00BC3CDD">
        <w:rPr>
          <w:rFonts w:ascii="Times New Roman" w:hAnsi="Times New Roman" w:cs="Times New Roman"/>
          <w:bCs/>
          <w:sz w:val="24"/>
          <w:szCs w:val="24"/>
        </w:rPr>
        <w:t xml:space="preserve">Slovensku na roky 2014 – 2020.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BC3CDD">
        <w:rPr>
          <w:rFonts w:ascii="Times New Roman" w:hAnsi="Times New Roman" w:cs="Times New Roman"/>
          <w:sz w:val="24"/>
          <w:szCs w:val="24"/>
        </w:rPr>
        <w:t xml:space="preserve">Pozičného dokumentu Európskej komisie pre Slovenskú republiku na obdobie 2014 – 2020, ktorý usmerňuje prípravu systému európskych štrukturálnych a investičných fondov v Slovenskej republike, vyplýva, že 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>„</w:t>
      </w:r>
      <w:r w:rsidRPr="00BC3CDD">
        <w:rPr>
          <w:rStyle w:val="FontStyle53"/>
          <w:rFonts w:cs="Times New Roman"/>
          <w:b w:val="0"/>
          <w:bCs/>
          <w:sz w:val="24"/>
          <w:szCs w:val="24"/>
        </w:rPr>
        <w:t xml:space="preserve">verejná správa </w:t>
      </w:r>
      <w:r w:rsidRPr="00BC3CDD">
        <w:rPr>
          <w:rStyle w:val="FontStyle51"/>
          <w:rFonts w:cs="Times New Roman"/>
          <w:sz w:val="24"/>
          <w:szCs w:val="24"/>
        </w:rPr>
        <w:t>je charakterizovaná nekvalitným riadením ľudských zdrojov, vysokou fluktuáciou zamestnancov (často spojenou s politickým cyklom) a nedostatoč</w:t>
      </w:r>
      <w:r w:rsidR="00E82343" w:rsidRPr="00BC3CDD">
        <w:rPr>
          <w:rStyle w:val="FontStyle51"/>
          <w:rFonts w:cs="Times New Roman"/>
          <w:sz w:val="24"/>
          <w:szCs w:val="24"/>
        </w:rPr>
        <w:t xml:space="preserve">nými analytickými kapacitami“. </w:t>
      </w:r>
    </w:p>
    <w:p w:rsidR="00621DBF" w:rsidRPr="00BC3CDD" w:rsidRDefault="00621DBF" w:rsidP="00E82343">
      <w:pPr>
        <w:autoSpaceDE w:val="0"/>
        <w:autoSpaceDN w:val="0"/>
        <w:adjustRightInd w:val="0"/>
        <w:ind w:firstLine="708"/>
        <w:jc w:val="both"/>
        <w:rPr>
          <w:rStyle w:val="FontStyle51"/>
          <w:rFonts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 nadväznosti aj na záväzky Slovenskej republiky vyplývajúce z Partnerskej dohody na roky 2014 - 2020, vyplýva povinnosť Slovenskej republiky v oblasti verejnej správy  splniť tzv. predbežné podmienky (ex </w:t>
      </w:r>
      <w:proofErr w:type="spellStart"/>
      <w:r w:rsidRPr="00BC3CDD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DD">
        <w:rPr>
          <w:rFonts w:ascii="Times New Roman" w:hAnsi="Times New Roman" w:cs="Times New Roman"/>
          <w:sz w:val="24"/>
          <w:szCs w:val="24"/>
        </w:rPr>
        <w:t>kondicionality</w:t>
      </w:r>
      <w:proofErr w:type="spellEnd"/>
      <w:r w:rsidRPr="00BC3C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1DBF" w:rsidRPr="00BC3CDD" w:rsidRDefault="00621DBF" w:rsidP="00E823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Style w:val="FontStyle51"/>
          <w:rFonts w:cs="Times New Roman"/>
          <w:sz w:val="24"/>
          <w:szCs w:val="24"/>
        </w:rPr>
        <w:lastRenderedPageBreak/>
        <w:tab/>
        <w:t>Z predbežného hodnotenia Európskej komisie z 11. marca 2015 vyplýva tiež odporúčanie</w:t>
      </w:r>
      <w:r w:rsidRPr="00BC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bCs/>
          <w:sz w:val="24"/>
          <w:szCs w:val="24"/>
        </w:rPr>
        <w:t>„</w:t>
      </w:r>
      <w:r w:rsidRPr="00BC3CDD">
        <w:rPr>
          <w:rFonts w:ascii="Times New Roman" w:hAnsi="Times New Roman" w:cs="Times New Roman"/>
          <w:i/>
          <w:sz w:val="24"/>
          <w:szCs w:val="24"/>
        </w:rPr>
        <w:t>prijať opatrenia na zvýšenie nezávislosti verejnej služby, a to aj zmenou zákona o štátnej službe</w:t>
      </w:r>
      <w:r w:rsidRPr="00BC3CDD">
        <w:rPr>
          <w:rFonts w:ascii="Times New Roman" w:hAnsi="Times New Roman" w:cs="Times New Roman"/>
          <w:sz w:val="24"/>
          <w:szCs w:val="24"/>
        </w:rPr>
        <w:t xml:space="preserve">.“   Z odporúčaní Rady EÚ pre Slovensko vyplýva aj </w:t>
      </w:r>
      <w:r w:rsidRPr="00BC3CDD">
        <w:rPr>
          <w:rFonts w:ascii="Times New Roman" w:hAnsi="Times New Roman" w:cs="Times New Roman"/>
          <w:i/>
          <w:sz w:val="24"/>
          <w:szCs w:val="24"/>
        </w:rPr>
        <w:t>potreba posilniť kapacitu centrálneho útvaru vlády</w:t>
      </w:r>
      <w:r w:rsidRPr="00BC3CDD">
        <w:rPr>
          <w:rFonts w:ascii="Times New Roman" w:hAnsi="Times New Roman" w:cs="Times New Roman"/>
          <w:sz w:val="24"/>
          <w:szCs w:val="24"/>
        </w:rPr>
        <w:t>, ktorý sa zaoberá štátnou správou a návrhmi politiky riadenia ľudských zdrojov, monitorovaním a hodnotením strateg</w:t>
      </w:r>
      <w:r w:rsidR="00E82343" w:rsidRPr="00BC3CDD">
        <w:rPr>
          <w:rFonts w:ascii="Times New Roman" w:hAnsi="Times New Roman" w:cs="Times New Roman"/>
          <w:sz w:val="24"/>
          <w:szCs w:val="24"/>
        </w:rPr>
        <w:t>ických a manažérskych činností.</w:t>
      </w:r>
    </w:p>
    <w:p w:rsidR="00621DBF" w:rsidRPr="00BC3CDD" w:rsidRDefault="00621DBF" w:rsidP="00E82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Návrh nového zákona o štátnej službe z hľadiska vecnej príslušnosti bude implementovať Úrad vlády</w:t>
      </w:r>
      <w:r w:rsidR="00FB0F7A" w:rsidRPr="00BC3CDD">
        <w:rPr>
          <w:rFonts w:ascii="Times New Roman" w:hAnsi="Times New Roman" w:cs="Times New Roman"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sz w:val="24"/>
          <w:szCs w:val="24"/>
        </w:rPr>
        <w:t>,  ktorý sa od 1. novembra 2013, zákonom č. 313/2013 Z. z., ktorým sa mení a dopĺňa zákon č. 575/2001 Z. z. o organizácii činnosti vlády a organizácii ústrednej štátnej správy v znení neskorších predpisov č. 575/2001 Z. z., stal ústredným orgánom štátnej správy aj v oblasti štátnozamestnaneckých vzťahov a právnych vzťahov pri v</w:t>
      </w:r>
      <w:r w:rsidR="00E82343" w:rsidRPr="00BC3CDD">
        <w:rPr>
          <w:rFonts w:ascii="Times New Roman" w:hAnsi="Times New Roman" w:cs="Times New Roman"/>
          <w:sz w:val="24"/>
          <w:szCs w:val="24"/>
        </w:rPr>
        <w:t>ýkone práce vo verejnom záujme.</w:t>
      </w:r>
    </w:p>
    <w:p w:rsidR="00621DBF" w:rsidRPr="00BC3CDD" w:rsidRDefault="00331E42" w:rsidP="005917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Nový zákon o štátnej službe</w:t>
      </w:r>
      <w:r w:rsidR="00621DBF" w:rsidRPr="00BC3CDD">
        <w:rPr>
          <w:rFonts w:ascii="Times New Roman" w:hAnsi="Times New Roman" w:cs="Times New Roman"/>
          <w:sz w:val="24"/>
          <w:szCs w:val="24"/>
        </w:rPr>
        <w:t xml:space="preserve"> zavádza rad nových opatrení za účelom zvýšenia nezávislosti štátnej služby v Slovenskej republike ako aj z dôvodu naplnenia odporúčaní Európskej komisie týkajúce sa reformy verejnej správy. Z hľadiska vplyvov na rozpočet verejnej správy b</w:t>
      </w:r>
      <w:r w:rsidR="005917B4" w:rsidRPr="00BC3CDD">
        <w:rPr>
          <w:rFonts w:ascii="Times New Roman" w:hAnsi="Times New Roman" w:cs="Times New Roman"/>
          <w:sz w:val="24"/>
          <w:szCs w:val="24"/>
        </w:rPr>
        <w:t>oli identifikované nasledujúce:</w:t>
      </w: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zriadenie Rady pre štátnu službu,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zavedenie nových zákonných kompetencií Úradu vlády</w:t>
      </w:r>
      <w:r w:rsidR="009D5768" w:rsidRPr="00BC3CDD">
        <w:rPr>
          <w:rFonts w:ascii="Times New Roman" w:hAnsi="Times New Roman" w:cs="Times New Roman"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sz w:val="24"/>
          <w:szCs w:val="24"/>
        </w:rPr>
        <w:t xml:space="preserve"> v oblasti štátnozamestnaneckých vzťahov</w:t>
      </w:r>
      <w:r w:rsidR="000E67A3" w:rsidRPr="00BC3CDD">
        <w:rPr>
          <w:rFonts w:ascii="Times New Roman" w:hAnsi="Times New Roman" w:cs="Times New Roman"/>
          <w:sz w:val="24"/>
          <w:szCs w:val="24"/>
        </w:rPr>
        <w:t xml:space="preserve"> (posilnenie odboru štátnej služby a verejnej služby</w:t>
      </w:r>
      <w:r w:rsidRPr="00BC3CDD">
        <w:rPr>
          <w:rFonts w:ascii="Times New Roman" w:hAnsi="Times New Roman" w:cs="Times New Roman"/>
          <w:sz w:val="24"/>
          <w:szCs w:val="24"/>
        </w:rPr>
        <w:t>,</w:t>
      </w:r>
      <w:r w:rsidR="000E67A3" w:rsidRPr="00BC3CDD">
        <w:rPr>
          <w:rFonts w:ascii="Times New Roman" w:hAnsi="Times New Roman" w:cs="Times New Roman"/>
          <w:sz w:val="24"/>
          <w:szCs w:val="24"/>
        </w:rPr>
        <w:t xml:space="preserve"> zriadenie Hodnotiaceho centra),</w:t>
      </w:r>
      <w:r w:rsidR="00AC26B1" w:rsidRP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určenie kontrolnej pôsobnosti Úradu vlády</w:t>
      </w:r>
      <w:r w:rsidR="009D5768" w:rsidRPr="00BC3CDD">
        <w:rPr>
          <w:rFonts w:ascii="Times New Roman" w:hAnsi="Times New Roman" w:cs="Times New Roman"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sz w:val="24"/>
          <w:szCs w:val="24"/>
        </w:rPr>
        <w:t xml:space="preserve"> v oblasti štátnozamestnaneckých vzťahov,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zavedenie príplatku za výkon činnosti mentora, </w:t>
      </w:r>
    </w:p>
    <w:p w:rsidR="00621DBF" w:rsidRPr="00BC3CDD" w:rsidRDefault="00621DBF" w:rsidP="00621DBF">
      <w:pPr>
        <w:pStyle w:val="Textkomentra"/>
        <w:rPr>
          <w:sz w:val="24"/>
          <w:szCs w:val="24"/>
          <w:lang w:val="sk-SK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zavedenie </w:t>
      </w:r>
      <w:r w:rsidR="0003564E" w:rsidRPr="00BC3CDD">
        <w:rPr>
          <w:rFonts w:ascii="Times New Roman" w:hAnsi="Times New Roman" w:cs="Times New Roman"/>
          <w:sz w:val="24"/>
          <w:szCs w:val="24"/>
        </w:rPr>
        <w:t>príplatku k náhrade príjmu pri dočasnej pracovnej neschopnosti</w:t>
      </w:r>
      <w:r w:rsidRPr="00BC3CDD">
        <w:rPr>
          <w:rFonts w:ascii="Times New Roman" w:hAnsi="Times New Roman" w:cs="Times New Roman"/>
          <w:sz w:val="24"/>
          <w:szCs w:val="24"/>
        </w:rPr>
        <w:t>,</w:t>
      </w:r>
    </w:p>
    <w:p w:rsidR="005917B4" w:rsidRPr="00BC3CDD" w:rsidRDefault="005917B4" w:rsidP="00BC3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zavedenie odstupného</w:t>
      </w:r>
      <w:r w:rsidRPr="00BC3CDD">
        <w:rPr>
          <w:rFonts w:ascii="Times New Roman" w:hAnsi="Times New Roman" w:cs="Times New Roman"/>
          <w:sz w:val="24"/>
          <w:szCs w:val="24"/>
        </w:rPr>
        <w:t xml:space="preserve"> pre odborníka, ktorý je dočasne potrebný na plnenie úloh štátnej služby, 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zrušenie 1. platovej triedy (referent) a 2. platovej triedy (samostatný referent), zavedenie nových platových tried a im pri</w:t>
      </w:r>
      <w:r w:rsidR="005917B4" w:rsidRPr="00BC3CDD">
        <w:rPr>
          <w:rFonts w:ascii="Times New Roman" w:hAnsi="Times New Roman" w:cs="Times New Roman"/>
          <w:bCs/>
          <w:sz w:val="24"/>
          <w:szCs w:val="24"/>
        </w:rPr>
        <w:t>slúchajúcich platových taríf</w:t>
      </w:r>
      <w:r w:rsidR="0003564E" w:rsidRPr="00BC3CDD">
        <w:rPr>
          <w:rFonts w:ascii="Times New Roman" w:hAnsi="Times New Roman" w:cs="Times New Roman"/>
          <w:bCs/>
          <w:sz w:val="24"/>
          <w:szCs w:val="24"/>
        </w:rPr>
        <w:t>,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zrušenie rozdielového príplatku a zrušenie obmedzenia započítania služobnej praxe,     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zavedenie služobného hodnotenia,</w:t>
      </w:r>
    </w:p>
    <w:p w:rsidR="009D5768" w:rsidRPr="00BC3CDD" w:rsidRDefault="009D5768" w:rsidP="009D57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zriadenie Centrálneho informačného systému štátnej služby,  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zmena percentuálnej sadzby paušálnej náhrady na pokrytie nevyhnutných výdavkov za služby a iných osobných výdavkov súvisiacich s vykonávaním funkcie,</w:t>
      </w:r>
    </w:p>
    <w:p w:rsidR="00621DBF" w:rsidRPr="00BC3CDD" w:rsidRDefault="00621DBF" w:rsidP="00621DBF">
      <w:pPr>
        <w:pStyle w:val="Odsekzoznamu"/>
        <w:rPr>
          <w:lang w:eastAsia="en-US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 zmena percentuálnej sadzby príplatku za zmennosť,</w:t>
      </w:r>
    </w:p>
    <w:p w:rsidR="00621DBF" w:rsidRPr="00BC3CDD" w:rsidRDefault="00621DBF" w:rsidP="00621DBF">
      <w:pPr>
        <w:pStyle w:val="Odsekzoznamu"/>
        <w:rPr>
          <w:lang w:eastAsia="en-US"/>
        </w:rPr>
      </w:pPr>
    </w:p>
    <w:p w:rsidR="00621DBF" w:rsidRPr="00BC3CDD" w:rsidRDefault="00621DBF" w:rsidP="00621D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>zmena percentuálnej sadzby náhrady za pohotovosť pri zabezpečovaní opatrení pre obdobie krízovej situácie,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ustanovenie povinnosti absolvovať školenie zamerané na osvojenie si metód riadeného osobného </w:t>
      </w:r>
      <w:r w:rsidR="0012675E" w:rsidRPr="00BC3CDD">
        <w:rPr>
          <w:rFonts w:ascii="Times New Roman" w:hAnsi="Times New Roman" w:cs="Times New Roman"/>
          <w:sz w:val="24"/>
          <w:szCs w:val="24"/>
        </w:rPr>
        <w:t>roz</w:t>
      </w:r>
      <w:r w:rsidRPr="00BC3CDD">
        <w:rPr>
          <w:rFonts w:ascii="Times New Roman" w:hAnsi="Times New Roman" w:cs="Times New Roman"/>
          <w:sz w:val="24"/>
          <w:szCs w:val="24"/>
        </w:rPr>
        <w:t>hovoru a jeho vyhodnotenia pre člena výberovej komisie, ktorý vedie osobný pohovor,</w:t>
      </w:r>
    </w:p>
    <w:p w:rsidR="005917B4" w:rsidRPr="00BC3CDD" w:rsidRDefault="005917B4" w:rsidP="005917B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5748" w:rsidRPr="00BC3CDD" w:rsidRDefault="00621DBF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stanovenie povinnosti vyčlenenia prostriedkov pre zabezpečenie kontinuálneho vzdelávania</w:t>
      </w:r>
      <w:r w:rsidR="00C021B6" w:rsidRPr="00BC3CDD">
        <w:rPr>
          <w:rFonts w:ascii="Times New Roman" w:hAnsi="Times New Roman" w:cs="Times New Roman"/>
          <w:sz w:val="24"/>
          <w:szCs w:val="24"/>
        </w:rPr>
        <w:t>,</w:t>
      </w:r>
    </w:p>
    <w:p w:rsidR="00E1068D" w:rsidRPr="00BC3CDD" w:rsidRDefault="00E1068D" w:rsidP="00E106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68D" w:rsidRPr="00BC3CDD" w:rsidRDefault="00E1068D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zavedenie povinno</w:t>
      </w:r>
      <w:r w:rsidR="009D5768" w:rsidRPr="00BC3CDD">
        <w:rPr>
          <w:rFonts w:ascii="Times New Roman" w:hAnsi="Times New Roman" w:cs="Times New Roman"/>
          <w:sz w:val="24"/>
          <w:szCs w:val="24"/>
        </w:rPr>
        <w:t xml:space="preserve">sti pre služobné úrady </w:t>
      </w:r>
      <w:r w:rsidR="000E67A3" w:rsidRPr="00BC3CDD">
        <w:rPr>
          <w:rFonts w:ascii="Times New Roman" w:hAnsi="Times New Roman" w:cs="Times New Roman"/>
          <w:sz w:val="24"/>
          <w:szCs w:val="24"/>
        </w:rPr>
        <w:t xml:space="preserve">určiť </w:t>
      </w:r>
      <w:r w:rsidRPr="00BC3CDD">
        <w:rPr>
          <w:rFonts w:ascii="Times New Roman" w:hAnsi="Times New Roman" w:cs="Times New Roman"/>
          <w:sz w:val="24"/>
          <w:szCs w:val="24"/>
        </w:rPr>
        <w:t>štátnozamestnane</w:t>
      </w:r>
      <w:r w:rsidR="00077928" w:rsidRPr="00BC3CDD">
        <w:rPr>
          <w:rFonts w:ascii="Times New Roman" w:hAnsi="Times New Roman" w:cs="Times New Roman"/>
          <w:sz w:val="24"/>
          <w:szCs w:val="24"/>
        </w:rPr>
        <w:t>cké miesta vhodné pre absolventov,</w:t>
      </w:r>
    </w:p>
    <w:p w:rsidR="00C021B6" w:rsidRPr="00BC3CDD" w:rsidRDefault="00C021B6" w:rsidP="00C021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21B6" w:rsidRPr="00BC3CDD" w:rsidRDefault="00C021B6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stanovenie vekovej hranice 65 rokov, pri dosiahnutí ktorej dochádza ku skončeniu štátnozamestnaneckého pomeru štátneho zamestnanca</w:t>
      </w:r>
      <w:r w:rsidR="009D5768" w:rsidRPr="00BC3CDD">
        <w:rPr>
          <w:rFonts w:ascii="Times New Roman" w:hAnsi="Times New Roman" w:cs="Times New Roman"/>
          <w:sz w:val="24"/>
          <w:szCs w:val="24"/>
        </w:rPr>
        <w:t xml:space="preserve"> zo zákona</w:t>
      </w:r>
      <w:r w:rsidRPr="00BC3CDD">
        <w:rPr>
          <w:rFonts w:ascii="Times New Roman" w:hAnsi="Times New Roman" w:cs="Times New Roman"/>
          <w:sz w:val="24"/>
          <w:szCs w:val="24"/>
        </w:rPr>
        <w:t>,</w:t>
      </w:r>
    </w:p>
    <w:p w:rsidR="00C021B6" w:rsidRPr="00BC3CDD" w:rsidRDefault="00C021B6" w:rsidP="00C021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068D" w:rsidRPr="00BC3CDD" w:rsidRDefault="00C021B6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zavedenie nového druhu služobného voľna po </w:t>
      </w:r>
      <w:r w:rsidR="000E68E6" w:rsidRPr="00BC3CDD">
        <w:rPr>
          <w:rFonts w:ascii="Times New Roman" w:hAnsi="Times New Roman" w:cs="Times New Roman"/>
          <w:sz w:val="24"/>
          <w:szCs w:val="24"/>
        </w:rPr>
        <w:t>10</w:t>
      </w:r>
      <w:r w:rsidRPr="00BC3CDD">
        <w:rPr>
          <w:rFonts w:ascii="Times New Roman" w:hAnsi="Times New Roman" w:cs="Times New Roman"/>
          <w:sz w:val="24"/>
          <w:szCs w:val="24"/>
        </w:rPr>
        <w:t xml:space="preserve"> rokoch u príslušného služobného úradu</w:t>
      </w:r>
      <w:r w:rsidR="009D5768" w:rsidRPr="00BC3CDD">
        <w:rPr>
          <w:rFonts w:ascii="Times New Roman" w:hAnsi="Times New Roman" w:cs="Times New Roman"/>
          <w:sz w:val="24"/>
          <w:szCs w:val="24"/>
        </w:rPr>
        <w:t xml:space="preserve"> na obdobie maximálne 6 mesiacov</w:t>
      </w:r>
      <w:r w:rsidRPr="00BC3CDD">
        <w:rPr>
          <w:rFonts w:ascii="Times New Roman" w:hAnsi="Times New Roman" w:cs="Times New Roman"/>
          <w:sz w:val="24"/>
          <w:szCs w:val="24"/>
        </w:rPr>
        <w:t>.</w:t>
      </w:r>
    </w:p>
    <w:p w:rsidR="00C021B6" w:rsidRPr="00BC3CDD" w:rsidRDefault="00C021B6" w:rsidP="00C021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21B6" w:rsidRPr="00BC3CDD" w:rsidRDefault="00C021B6" w:rsidP="005917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zavedenie novej diferenciácie dĺžky výpovednej doby a odstupného v závislosti od dĺžky trvania</w:t>
      </w:r>
      <w:r w:rsidR="00AC26B1" w:rsidRPr="00BC3CDD">
        <w:rPr>
          <w:rFonts w:ascii="Times New Roman" w:hAnsi="Times New Roman" w:cs="Times New Roman"/>
          <w:sz w:val="24"/>
          <w:szCs w:val="24"/>
        </w:rPr>
        <w:t xml:space="preserve"> štátnozamestnaneckého pomeru.</w:t>
      </w:r>
      <w:r w:rsidRPr="00BC3C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142E" w:rsidRPr="00BC3CDD" w:rsidRDefault="0035142E" w:rsidP="003514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DBF" w:rsidRPr="00BC3CDD" w:rsidRDefault="00621DBF" w:rsidP="0062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F5474B"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F5474B"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F5474B"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BC3CD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086866" w:rsidRPr="00BC3CDD" w:rsidRDefault="00086866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24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312"/>
      </w:tblGrid>
      <w:tr w:rsidR="00BC3CDD" w:rsidRPr="00BC3CDD" w:rsidTr="009779C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714" w:type="dxa"/>
            <w:gridSpan w:val="4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 (EUR)</w:t>
            </w:r>
          </w:p>
        </w:tc>
      </w:tr>
      <w:tr w:rsidR="00BC3CDD" w:rsidRPr="00BC3CDD" w:rsidTr="009779C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Zvýšenie počtu štátnozamestnaneckých miest s vybavením (kapitola 03 Úrad vlády SR) (Rada pre štátnu službu, spolu 11 ŠZ 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509 346,40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453 716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Zvýšenie počtu štátnozamestnaneckých miest s vybavením (kapitola 03 Úrad vlády SR) odbor štátnej služby a verejnej služby UV SR, spolu 12 ŠZ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247 462,40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356 678,40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356 678,40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Kapitola 12 Ministerstvo vnútra SR</w:t>
            </w:r>
          </w:p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(OP EVS – Hodnotiace centrum s vybavením, prijímateľ Úrad vlády SR, 5 ŠZ)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477 000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404 000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403 000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Príplatok za výkon činnosti mentora, 10 % alebo 15 % z platovej tarify u cca 3900 ŠZ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637 548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1 092 939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1 092 939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Zrušenie 1. a 2. platovej triedy, preradenie do novej 3. platovej triedy, 345 ŠZ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47 256,10 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81 010,50   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81 010,50   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Započítanie služobnej praxe nad 32 rokov (zvýšenie o 1 % z príslušnej platovej triedy) cca 3110 ŠZ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609 313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1 044 536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1 044 536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Kapitola 15 Ministerstvo financií SR</w:t>
            </w:r>
          </w:p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(OP Integrovaná infraštruktúra)</w:t>
            </w:r>
          </w:p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Zriadenie Centrálneho informačného systému štátnej služby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35 855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2 000 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000</w:t>
            </w:r>
            <w:proofErr w:type="spellEnd"/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2 000 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000</w:t>
            </w:r>
            <w:proofErr w:type="spellEnd"/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600 000 +</w:t>
            </w:r>
          </w:p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60 000*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Zavedenie odstupného pre odborníka dočasne potrebného na plnenie úloh v závislosti od novej  diferenciácie </w:t>
            </w: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dĺžky výpovednej doby a odstupného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94 465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161 940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161 940</w:t>
            </w:r>
          </w:p>
        </w:tc>
      </w:tr>
      <w:tr w:rsidR="00BC3CDD" w:rsidRPr="00BC3CDD" w:rsidTr="009779CF">
        <w:trPr>
          <w:trHeight w:val="70"/>
        </w:trPr>
        <w:tc>
          <w:tcPr>
            <w:tcW w:w="4530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 xml:space="preserve">zavedenie novej diferenciácie dĺžky výpovednej doby a odstupného v závislosti od dĺžky trvania štátnozamestnaneckého pomeru cca 50 ŠZ/rok 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97 233</w:t>
            </w:r>
          </w:p>
        </w:tc>
        <w:tc>
          <w:tcPr>
            <w:tcW w:w="1134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166 647</w:t>
            </w:r>
          </w:p>
        </w:tc>
        <w:tc>
          <w:tcPr>
            <w:tcW w:w="1312" w:type="dxa"/>
          </w:tcPr>
          <w:p w:rsidR="00AF00EB" w:rsidRPr="00BC3CDD" w:rsidRDefault="00AF00EB" w:rsidP="00977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166 647</w:t>
            </w:r>
          </w:p>
        </w:tc>
      </w:tr>
    </w:tbl>
    <w:p w:rsidR="00AF00EB" w:rsidRPr="00BC3CDD" w:rsidRDefault="00AF00EB" w:rsidP="00AF00EB">
      <w:pPr>
        <w:rPr>
          <w:rFonts w:ascii="Times New Roman" w:hAnsi="Times New Roman" w:cs="Times New Roman"/>
          <w:sz w:val="18"/>
          <w:szCs w:val="18"/>
        </w:rPr>
      </w:pPr>
      <w:r w:rsidRPr="00BC3CDD">
        <w:rPr>
          <w:rFonts w:ascii="Times New Roman" w:hAnsi="Times New Roman" w:cs="Times New Roman"/>
          <w:sz w:val="18"/>
          <w:szCs w:val="18"/>
        </w:rPr>
        <w:t xml:space="preserve">* prevádzkové náklady CISŠS 10/2019-12/2019 </w:t>
      </w: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BC3CDD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21B6" w:rsidRPr="00BC3CDD" w:rsidRDefault="00C021B6" w:rsidP="00C021B6">
      <w:pPr>
        <w:pStyle w:val="Zkladntext"/>
        <w:tabs>
          <w:tab w:val="num" w:pos="1080"/>
        </w:tabs>
        <w:spacing w:line="276" w:lineRule="auto"/>
        <w:jc w:val="both"/>
        <w:rPr>
          <w:b/>
          <w:bCs/>
        </w:rPr>
      </w:pPr>
      <w:r w:rsidRPr="00BC3CDD">
        <w:rPr>
          <w:b/>
          <w:bCs/>
        </w:rPr>
        <w:t xml:space="preserve">Ad a) </w:t>
      </w:r>
      <w:r w:rsidRPr="00BC3CDD">
        <w:rPr>
          <w:b/>
        </w:rPr>
        <w:t>zriadenie Rady pre štátnu službu</w:t>
      </w:r>
    </w:p>
    <w:p w:rsidR="00C021B6" w:rsidRPr="00BC3CDD" w:rsidRDefault="00331E42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Novým z</w:t>
      </w:r>
      <w:r w:rsidR="00C021B6" w:rsidRPr="00BC3CDD">
        <w:rPr>
          <w:rFonts w:ascii="Times New Roman" w:hAnsi="Times New Roman" w:cs="Times New Roman"/>
          <w:sz w:val="24"/>
          <w:szCs w:val="24"/>
        </w:rPr>
        <w:t>ákonom o štátnej službe sa zriaďuje Rada pre štátnu službu (ďalej len „Rada“) ako nezávislý koordinačný a monitorovací orgán na ochranu princípov štátnej služby. Rada má piatich členov, ktorých volí a odvoláva Národná rada SR.  Funkčné obdobie členov je 7 ročné. Rada ako nový orgán bude súčasťou rozpočtovej kapitoly Úradu vlády</w:t>
      </w:r>
      <w:r w:rsidRPr="00BC3CDD">
        <w:rPr>
          <w:rFonts w:ascii="Times New Roman" w:hAnsi="Times New Roman" w:cs="Times New Roman"/>
          <w:sz w:val="24"/>
          <w:szCs w:val="24"/>
        </w:rPr>
        <w:t xml:space="preserve"> SR</w:t>
      </w:r>
      <w:r w:rsidR="00C021B6" w:rsidRPr="00BC3CDD">
        <w:rPr>
          <w:rFonts w:ascii="Times New Roman" w:hAnsi="Times New Roman" w:cs="Times New Roman"/>
          <w:sz w:val="24"/>
          <w:szCs w:val="24"/>
        </w:rPr>
        <w:t>, ktorý bude zabezpečovať organizačné, technické, personálne a f</w:t>
      </w:r>
      <w:r w:rsidR="00152CAF" w:rsidRPr="00BC3CDD">
        <w:rPr>
          <w:rFonts w:ascii="Times New Roman" w:hAnsi="Times New Roman" w:cs="Times New Roman"/>
          <w:sz w:val="24"/>
          <w:szCs w:val="24"/>
        </w:rPr>
        <w:t>inančné podmienky jej činnosti.</w:t>
      </w:r>
    </w:p>
    <w:p w:rsidR="00384B01" w:rsidRPr="00BC3CDD" w:rsidRDefault="00384B01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Účinnosť návrhu zákona o štátnej službe týkajúca sa </w:t>
      </w:r>
      <w:r w:rsidR="004E6AEF" w:rsidRPr="00BC3CDD">
        <w:rPr>
          <w:rFonts w:ascii="Times New Roman" w:hAnsi="Times New Roman" w:cs="Times New Roman"/>
          <w:sz w:val="24"/>
          <w:szCs w:val="24"/>
        </w:rPr>
        <w:t>pôsobnosti</w:t>
      </w:r>
      <w:r w:rsidR="00BC3CDD">
        <w:rPr>
          <w:rFonts w:ascii="Times New Roman" w:hAnsi="Times New Roman" w:cs="Times New Roman"/>
          <w:sz w:val="24"/>
          <w:szCs w:val="24"/>
        </w:rPr>
        <w:t xml:space="preserve"> Rady je odložená od</w:t>
      </w:r>
      <w:r w:rsidRPr="00BC3CDD">
        <w:rPr>
          <w:rFonts w:ascii="Times New Roman" w:hAnsi="Times New Roman" w:cs="Times New Roman"/>
          <w:sz w:val="24"/>
          <w:szCs w:val="24"/>
        </w:rPr>
        <w:t xml:space="preserve"> 1.1.2018, preto náklady uvedené na jej činnosť zahŕňajú </w:t>
      </w:r>
      <w:r w:rsidR="004C5700" w:rsidRPr="00BC3CDD">
        <w:rPr>
          <w:rFonts w:ascii="Times New Roman" w:hAnsi="Times New Roman" w:cs="Times New Roman"/>
          <w:sz w:val="24"/>
          <w:szCs w:val="24"/>
        </w:rPr>
        <w:t xml:space="preserve">iba </w:t>
      </w:r>
      <w:r w:rsidRPr="00BC3CDD">
        <w:rPr>
          <w:rFonts w:ascii="Times New Roman" w:hAnsi="Times New Roman" w:cs="Times New Roman"/>
          <w:sz w:val="24"/>
          <w:szCs w:val="24"/>
        </w:rPr>
        <w:t>roky 2018 a 2019.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Členovia Rady</w:t>
      </w:r>
      <w:r w:rsidRPr="00BC3CDD">
        <w:rPr>
          <w:rFonts w:ascii="Times New Roman" w:hAnsi="Times New Roman" w:cs="Times New Roman"/>
          <w:sz w:val="24"/>
          <w:szCs w:val="24"/>
        </w:rPr>
        <w:t xml:space="preserve"> sú v štátnozamestnaneckom pomere ako štátni zamestnanci vo verejnej funkcii.</w:t>
      </w:r>
    </w:p>
    <w:p w:rsidR="00C021B6" w:rsidRPr="00BC3CDD" w:rsidRDefault="00C021B6" w:rsidP="00C021B6">
      <w:pPr>
        <w:pStyle w:val="Zkladntext"/>
        <w:tabs>
          <w:tab w:val="num" w:pos="1080"/>
        </w:tabs>
        <w:spacing w:line="276" w:lineRule="auto"/>
        <w:jc w:val="both"/>
        <w:rPr>
          <w:bCs/>
        </w:rPr>
      </w:pPr>
      <w:r w:rsidRPr="00BC3CDD">
        <w:t xml:space="preserve">Nový </w:t>
      </w:r>
      <w:r w:rsidRPr="00BC3CDD">
        <w:rPr>
          <w:bCs/>
        </w:rPr>
        <w:t>zákon o štátnej službe navrhuje platové pomery členov Rady upraviť rovnako ako platové pomery poslanca Národnej rady SR. Výnimku tv</w:t>
      </w:r>
      <w:r w:rsidR="008B44C9" w:rsidRPr="00BC3CDD">
        <w:rPr>
          <w:bCs/>
        </w:rPr>
        <w:t xml:space="preserve">oria paušálne náhrady </w:t>
      </w:r>
      <w:r w:rsidR="000E68E6" w:rsidRPr="00BC3CDD">
        <w:rPr>
          <w:bCs/>
        </w:rPr>
        <w:t xml:space="preserve">členov </w:t>
      </w:r>
      <w:r w:rsidR="008B44C9" w:rsidRPr="00BC3CDD">
        <w:rPr>
          <w:bCs/>
        </w:rPr>
        <w:t>R</w:t>
      </w:r>
      <w:r w:rsidRPr="00BC3CDD">
        <w:rPr>
          <w:bCs/>
        </w:rPr>
        <w:t xml:space="preserve">ady, </w:t>
      </w:r>
      <w:r w:rsidR="000E68E6" w:rsidRPr="00BC3CDD">
        <w:rPr>
          <w:bCs/>
        </w:rPr>
        <w:t>pri ktorých</w:t>
      </w:r>
      <w:r w:rsidRPr="00BC3CDD">
        <w:rPr>
          <w:bCs/>
        </w:rPr>
        <w:t xml:space="preserve"> sa budú pre paušálne náhrady uplatňovať príslušné ustanovenia </w:t>
      </w:r>
      <w:r w:rsidR="00331E42" w:rsidRPr="00BC3CDD">
        <w:rPr>
          <w:bCs/>
        </w:rPr>
        <w:t xml:space="preserve">nového </w:t>
      </w:r>
      <w:r w:rsidRPr="00BC3CDD">
        <w:rPr>
          <w:bCs/>
        </w:rPr>
        <w:t xml:space="preserve">zákona o štátnej službe.  </w:t>
      </w:r>
    </w:p>
    <w:p w:rsidR="00C021B6" w:rsidRPr="00BC3CDD" w:rsidRDefault="00C021B6" w:rsidP="00C021B6">
      <w:pPr>
        <w:pStyle w:val="Normlnywebov"/>
        <w:spacing w:line="276" w:lineRule="auto"/>
        <w:jc w:val="both"/>
      </w:pPr>
      <w:r w:rsidRPr="00BC3CDD">
        <w:t xml:space="preserve">Zákonom č. 500/2010 Z. z. z  2. decembra 2010 bol zmenený a doplnený zákon NR SR č. 120/1993 Z. z. o platových pomeroch niektorých ústavných činiteľov Slovenskej republiky v znení neskorších predpisov (ďalej len „zákon č. 120/1993 Z. z.). Plat poslanca je upravený v § 2 ods. 1 a), podľa ktorého ide o trojnásobok priemernej nominálnej mesačnej mzdy zamestnanca v hospodárstve Slovenskej republiky za predchádzajúci kalendárny rok.  Pre rok 2012 </w:t>
      </w:r>
      <w:r w:rsidR="00F61442" w:rsidRPr="00BC3CDD">
        <w:t xml:space="preserve">a nasledujúce roky </w:t>
      </w:r>
      <w:r w:rsidRPr="00BC3CDD">
        <w:t xml:space="preserve">je zachovaný na úrovni roku 2011 (§ 29h zákona 120/1993 Z. z). V zmysle § 2 ods. 2 zákona č. 120/1993 Z. z. </w:t>
      </w:r>
      <w:r w:rsidR="0073144F" w:rsidRPr="00BC3CDD">
        <w:t xml:space="preserve">(v znení zákona č. 500/2010 Z. z.) </w:t>
      </w:r>
      <w:r w:rsidRPr="00BC3CDD">
        <w:t xml:space="preserve">je táto suma znížená o 15 %, to znamená, že pri zaokrúhlení na celé euro nahor sa jedná o sumu </w:t>
      </w:r>
      <w:r w:rsidRPr="00BC3CDD">
        <w:rPr>
          <w:rStyle w:val="Siln"/>
          <w:bCs/>
        </w:rPr>
        <w:t>1 961 eur.</w:t>
      </w:r>
      <w:r w:rsidRPr="00BC3CDD">
        <w:t xml:space="preserve"> </w:t>
      </w:r>
    </w:p>
    <w:p w:rsidR="00C021B6" w:rsidRPr="00BC3CDD" w:rsidRDefault="000E68E6" w:rsidP="00C021B6">
      <w:pPr>
        <w:pStyle w:val="Normlnywebov"/>
        <w:spacing w:line="276" w:lineRule="auto"/>
        <w:jc w:val="both"/>
      </w:pPr>
      <w:r w:rsidRPr="00BC3CDD">
        <w:t xml:space="preserve">Členovia </w:t>
      </w:r>
      <w:r w:rsidR="00C021B6" w:rsidRPr="00BC3CDD">
        <w:t xml:space="preserve">Rady </w:t>
      </w:r>
      <w:r w:rsidRPr="00BC3CDD">
        <w:t>budú</w:t>
      </w:r>
      <w:r w:rsidR="00C021B6" w:rsidRPr="00BC3CDD">
        <w:t xml:space="preserve"> mať nárok na mesačnú  paušálnu náhradu podľa</w:t>
      </w:r>
      <w:r w:rsidR="00331E42" w:rsidRPr="00BC3CDD">
        <w:t xml:space="preserve"> nového</w:t>
      </w:r>
      <w:r w:rsidR="00C021B6" w:rsidRPr="00BC3CDD">
        <w:t xml:space="preserve"> zákona o štátnej službe vo výške </w:t>
      </w:r>
      <w:r w:rsidRPr="00BC3CDD">
        <w:t>121</w:t>
      </w:r>
      <w:r w:rsidR="00C021B6" w:rsidRPr="00BC3CDD">
        <w:t xml:space="preserve"> % z  platovej tarify </w:t>
      </w:r>
      <w:r w:rsidR="0003564E" w:rsidRPr="00BC3CDD">
        <w:t>9</w:t>
      </w:r>
      <w:r w:rsidR="00E72A77" w:rsidRPr="00BC3CDD">
        <w:t xml:space="preserve"> platovej triedy t.j. </w:t>
      </w:r>
      <w:r w:rsidR="0003564E" w:rsidRPr="00BC3CDD">
        <w:t xml:space="preserve">121 </w:t>
      </w:r>
      <w:r w:rsidR="00E72A77" w:rsidRPr="00BC3CDD">
        <w:t>% z </w:t>
      </w:r>
      <w:r w:rsidR="0003564E" w:rsidRPr="00BC3CDD">
        <w:t xml:space="preserve">1015,50 </w:t>
      </w:r>
      <w:r w:rsidR="00C021B6" w:rsidRPr="00BC3CDD">
        <w:t xml:space="preserve">eur = </w:t>
      </w:r>
      <w:r w:rsidR="0003564E" w:rsidRPr="00BC3CDD">
        <w:rPr>
          <w:b/>
        </w:rPr>
        <w:t>1 229</w:t>
      </w:r>
      <w:r w:rsidR="00C021B6" w:rsidRPr="00BC3CDD">
        <w:rPr>
          <w:b/>
        </w:rPr>
        <w:t xml:space="preserve"> eur</w:t>
      </w:r>
      <w:r w:rsidR="00276B39" w:rsidRPr="00BC3CDD">
        <w:rPr>
          <w:b/>
        </w:rPr>
        <w:t xml:space="preserve"> </w:t>
      </w:r>
      <w:r w:rsidR="00276B39" w:rsidRPr="00BC3CDD">
        <w:t>(po zaokrúhlení)</w:t>
      </w:r>
      <w:r w:rsidR="00C021B6" w:rsidRPr="00BC3CDD">
        <w:rPr>
          <w:b/>
        </w:rPr>
        <w:t>.</w:t>
      </w:r>
      <w:r w:rsidR="00301E81" w:rsidRPr="00BC3CDD">
        <w:rPr>
          <w:b/>
        </w:rPr>
        <w:t xml:space="preserve"> 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>Nový zákon o štátnej službe priznáva Rade pomerne veľký rozsah nových kompetencií. V tejto súvislosti je potrebné zabezpečiť činnosť Rady odborným personálom.</w:t>
      </w:r>
    </w:p>
    <w:p w:rsidR="00C021B6" w:rsidRPr="00BC3CDD" w:rsidRDefault="00C021B6" w:rsidP="00C021B6">
      <w:pPr>
        <w:pStyle w:val="Normlnywebov"/>
        <w:spacing w:line="276" w:lineRule="auto"/>
        <w:jc w:val="both"/>
      </w:pPr>
      <w:r w:rsidRPr="00BC3CDD">
        <w:rPr>
          <w:b/>
        </w:rPr>
        <w:t>Odborní zamestnanci Rady</w:t>
      </w:r>
      <w:r w:rsidRPr="00BC3CDD">
        <w:t xml:space="preserve">, ktorí budú zabezpečovať činnosti pre Radu, budú v štátnozamestnaneckom pomere podľa </w:t>
      </w:r>
      <w:r w:rsidR="00331E42" w:rsidRPr="00BC3CDD">
        <w:t xml:space="preserve">nového </w:t>
      </w:r>
      <w:r w:rsidRPr="00BC3CDD">
        <w:t>zákona o štátnej službe. Ich platové pomery navrhujeme podľa nového zákona o štátnej službe.</w:t>
      </w:r>
    </w:p>
    <w:p w:rsidR="00C021B6" w:rsidRPr="00BC3CDD" w:rsidRDefault="00C021B6" w:rsidP="00C021B6">
      <w:pPr>
        <w:pStyle w:val="Normlnywebov"/>
        <w:spacing w:line="276" w:lineRule="auto"/>
        <w:jc w:val="both"/>
        <w:rPr>
          <w:b/>
        </w:rPr>
      </w:pPr>
      <w:r w:rsidRPr="00BC3CDD">
        <w:t xml:space="preserve">Celkovo je potrebných </w:t>
      </w:r>
      <w:r w:rsidRPr="00BC3CDD">
        <w:rPr>
          <w:b/>
        </w:rPr>
        <w:t>6 odborných zamestnancov</w:t>
      </w:r>
      <w:r w:rsidRPr="00BC3CDD">
        <w:t xml:space="preserve">. Týmto štátnym zamestnancom sa navrhuje plat vo výške </w:t>
      </w:r>
      <w:r w:rsidR="00947949" w:rsidRPr="00BC3CDD">
        <w:rPr>
          <w:b/>
        </w:rPr>
        <w:t>1 3</w:t>
      </w:r>
      <w:r w:rsidRPr="00BC3CDD">
        <w:rPr>
          <w:b/>
        </w:rPr>
        <w:t>00 eur/mesiac</w:t>
      </w:r>
      <w:r w:rsidR="002B4F54" w:rsidRPr="00BC3CDD">
        <w:rPr>
          <w:b/>
        </w:rPr>
        <w:t>.</w:t>
      </w:r>
      <w:r w:rsidR="0045063D" w:rsidRPr="00BC3CDD">
        <w:rPr>
          <w:b/>
        </w:rPr>
        <w:t xml:space="preserve"> </w:t>
      </w:r>
    </w:p>
    <w:p w:rsidR="00116EBB" w:rsidRPr="00BC3CDD" w:rsidRDefault="00116EBB" w:rsidP="00C021B6">
      <w:pPr>
        <w:pStyle w:val="Normlnywebov"/>
        <w:spacing w:line="276" w:lineRule="auto"/>
        <w:jc w:val="both"/>
      </w:pPr>
      <w:r w:rsidRPr="00BC3CDD">
        <w:t xml:space="preserve">Vzhľadom na skutočnosť, že Rada je novým orgánom, ktorý je potrebné vybudovať od začiatku, bude potrebné zabezpečiť priestorové, materiálne a technické potreby, finančné náklady na bežné výdavky a kapitálové výdavky sú iba odhadované. </w:t>
      </w: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792"/>
        <w:gridCol w:w="1134"/>
        <w:gridCol w:w="1134"/>
        <w:gridCol w:w="1417"/>
        <w:gridCol w:w="1418"/>
        <w:gridCol w:w="1950"/>
      </w:tblGrid>
      <w:tr w:rsidR="00BC3CDD" w:rsidRPr="00BC3CDD" w:rsidTr="0003564E">
        <w:trPr>
          <w:trHeight w:val="336"/>
        </w:trPr>
        <w:tc>
          <w:tcPr>
            <w:tcW w:w="1443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ind w:firstLine="360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Pozícia</w:t>
            </w:r>
          </w:p>
        </w:tc>
        <w:tc>
          <w:tcPr>
            <w:tcW w:w="792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počet</w:t>
            </w:r>
          </w:p>
        </w:tc>
        <w:tc>
          <w:tcPr>
            <w:tcW w:w="1134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Hrubá mzda</w:t>
            </w:r>
          </w:p>
        </w:tc>
        <w:tc>
          <w:tcPr>
            <w:tcW w:w="1134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Poistné 34,95%</w:t>
            </w:r>
          </w:p>
        </w:tc>
        <w:tc>
          <w:tcPr>
            <w:tcW w:w="1417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Cena práce /        osoba/mesiac</w:t>
            </w:r>
          </w:p>
        </w:tc>
        <w:tc>
          <w:tcPr>
            <w:tcW w:w="1418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Cena práce/  osoby/mesiac</w:t>
            </w:r>
          </w:p>
        </w:tc>
        <w:tc>
          <w:tcPr>
            <w:tcW w:w="1950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Osobné výdavky za 12 mesiacov (EUR)</w:t>
            </w:r>
          </w:p>
        </w:tc>
      </w:tr>
      <w:tr w:rsidR="00BC3CDD" w:rsidRPr="00BC3CDD" w:rsidTr="0003564E">
        <w:trPr>
          <w:trHeight w:val="336"/>
        </w:trPr>
        <w:tc>
          <w:tcPr>
            <w:tcW w:w="1443" w:type="dxa"/>
            <w:shd w:val="pct15" w:color="auto" w:fill="auto"/>
            <w:hideMark/>
          </w:tcPr>
          <w:p w:rsidR="00C021B6" w:rsidRPr="00BC3CDD" w:rsidRDefault="0003564E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Členovia </w:t>
            </w:r>
            <w:r w:rsidR="00C021B6" w:rsidRPr="00BC3CDD">
              <w:rPr>
                <w:sz w:val="20"/>
                <w:szCs w:val="20"/>
              </w:rPr>
              <w:t xml:space="preserve"> Rady</w:t>
            </w:r>
          </w:p>
        </w:tc>
        <w:tc>
          <w:tcPr>
            <w:tcW w:w="792" w:type="dxa"/>
            <w:hideMark/>
          </w:tcPr>
          <w:p w:rsidR="00C021B6" w:rsidRPr="00BC3CDD" w:rsidRDefault="0003564E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C021B6" w:rsidRPr="00BC3CDD" w:rsidRDefault="00C021B6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   1961</w:t>
            </w:r>
          </w:p>
        </w:tc>
        <w:tc>
          <w:tcPr>
            <w:tcW w:w="1134" w:type="dxa"/>
            <w:hideMark/>
          </w:tcPr>
          <w:p w:rsidR="00C021B6" w:rsidRPr="00BC3CDD" w:rsidRDefault="00CD204D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  </w:t>
            </w:r>
            <w:r w:rsidR="00C021B6" w:rsidRPr="00BC3CDD">
              <w:rPr>
                <w:sz w:val="20"/>
                <w:szCs w:val="20"/>
              </w:rPr>
              <w:t xml:space="preserve">685, 37 </w:t>
            </w:r>
          </w:p>
        </w:tc>
        <w:tc>
          <w:tcPr>
            <w:tcW w:w="1417" w:type="dxa"/>
            <w:hideMark/>
          </w:tcPr>
          <w:p w:rsidR="00C021B6" w:rsidRPr="00BC3CDD" w:rsidRDefault="00C021B6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2 646, 37</w:t>
            </w:r>
          </w:p>
        </w:tc>
        <w:tc>
          <w:tcPr>
            <w:tcW w:w="1418" w:type="dxa"/>
            <w:hideMark/>
          </w:tcPr>
          <w:p w:rsidR="00C021B6" w:rsidRPr="00BC3CDD" w:rsidRDefault="0003564E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13 231,85</w:t>
            </w:r>
          </w:p>
        </w:tc>
        <w:tc>
          <w:tcPr>
            <w:tcW w:w="1950" w:type="dxa"/>
            <w:hideMark/>
          </w:tcPr>
          <w:p w:rsidR="00C021B6" w:rsidRPr="00BC3CDD" w:rsidRDefault="007B11BD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158 782,20</w:t>
            </w:r>
          </w:p>
        </w:tc>
      </w:tr>
      <w:tr w:rsidR="00BC3CDD" w:rsidRPr="00BC3CDD" w:rsidTr="0003564E">
        <w:trPr>
          <w:trHeight w:val="336"/>
        </w:trPr>
        <w:tc>
          <w:tcPr>
            <w:tcW w:w="1443" w:type="dxa"/>
            <w:shd w:val="pct15" w:color="auto" w:fill="auto"/>
          </w:tcPr>
          <w:p w:rsidR="00C021B6" w:rsidRPr="00BC3CDD" w:rsidRDefault="0003564E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Paušálne náhrady</w:t>
            </w:r>
          </w:p>
        </w:tc>
        <w:tc>
          <w:tcPr>
            <w:tcW w:w="792" w:type="dxa"/>
          </w:tcPr>
          <w:p w:rsidR="00C021B6" w:rsidRPr="00BC3CDD" w:rsidRDefault="00116EBB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5 x</w:t>
            </w:r>
          </w:p>
        </w:tc>
        <w:tc>
          <w:tcPr>
            <w:tcW w:w="1134" w:type="dxa"/>
          </w:tcPr>
          <w:p w:rsidR="00C021B6" w:rsidRPr="00BC3CDD" w:rsidRDefault="007B11BD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1229</w:t>
            </w:r>
          </w:p>
        </w:tc>
        <w:tc>
          <w:tcPr>
            <w:tcW w:w="1134" w:type="dxa"/>
          </w:tcPr>
          <w:p w:rsidR="00C021B6" w:rsidRPr="00BC3CDD" w:rsidRDefault="00C021B6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021B6" w:rsidRPr="00BC3CDD" w:rsidRDefault="00C021B6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021B6" w:rsidRPr="00BC3CDD" w:rsidRDefault="00C021B6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C021B6" w:rsidRPr="00BC3CDD" w:rsidRDefault="007B11BD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73 740</w:t>
            </w:r>
          </w:p>
        </w:tc>
      </w:tr>
      <w:tr w:rsidR="00BC3CDD" w:rsidRPr="00BC3CDD" w:rsidTr="0003564E">
        <w:trPr>
          <w:trHeight w:val="336"/>
        </w:trPr>
        <w:tc>
          <w:tcPr>
            <w:tcW w:w="1443" w:type="dxa"/>
            <w:shd w:val="pct15" w:color="auto" w:fill="auto"/>
          </w:tcPr>
          <w:p w:rsidR="00C021B6" w:rsidRPr="00BC3CDD" w:rsidRDefault="00C021B6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Zamestnanci Rady</w:t>
            </w:r>
          </w:p>
        </w:tc>
        <w:tc>
          <w:tcPr>
            <w:tcW w:w="792" w:type="dxa"/>
          </w:tcPr>
          <w:p w:rsidR="00C021B6" w:rsidRPr="00BC3CDD" w:rsidRDefault="00C021B6" w:rsidP="007B11BD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21B6" w:rsidRPr="00BC3CDD" w:rsidRDefault="00831832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1 3</w:t>
            </w:r>
            <w:r w:rsidR="00C021B6" w:rsidRPr="00BC3CD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021B6" w:rsidRPr="00BC3CDD" w:rsidRDefault="00831832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454,35</w:t>
            </w:r>
          </w:p>
        </w:tc>
        <w:tc>
          <w:tcPr>
            <w:tcW w:w="1417" w:type="dxa"/>
          </w:tcPr>
          <w:p w:rsidR="00C021B6" w:rsidRPr="00BC3CDD" w:rsidRDefault="00831832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1 754,35</w:t>
            </w:r>
          </w:p>
        </w:tc>
        <w:tc>
          <w:tcPr>
            <w:tcW w:w="1418" w:type="dxa"/>
          </w:tcPr>
          <w:p w:rsidR="00C021B6" w:rsidRPr="00BC3CDD" w:rsidRDefault="00831832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10 526,10</w:t>
            </w:r>
          </w:p>
        </w:tc>
        <w:tc>
          <w:tcPr>
            <w:tcW w:w="1950" w:type="dxa"/>
          </w:tcPr>
          <w:p w:rsidR="00C021B6" w:rsidRPr="00BC3CDD" w:rsidRDefault="00831832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126 313,20</w:t>
            </w:r>
          </w:p>
        </w:tc>
      </w:tr>
      <w:tr w:rsidR="00BC3CDD" w:rsidRPr="00BC3CDD" w:rsidTr="0003564E">
        <w:trPr>
          <w:trHeight w:val="336"/>
        </w:trPr>
        <w:tc>
          <w:tcPr>
            <w:tcW w:w="1443" w:type="dxa"/>
            <w:shd w:val="pct15" w:color="auto" w:fill="auto"/>
            <w:hideMark/>
          </w:tcPr>
          <w:p w:rsidR="00C021B6" w:rsidRPr="00BC3CDD" w:rsidRDefault="00C021B6" w:rsidP="009D5768">
            <w:pPr>
              <w:pStyle w:val="Normlnywebov"/>
              <w:ind w:firstLine="360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792" w:type="dxa"/>
            <w:hideMark/>
          </w:tcPr>
          <w:p w:rsidR="00C021B6" w:rsidRPr="00BC3CDD" w:rsidRDefault="00C021B6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C021B6" w:rsidRPr="00BC3CDD" w:rsidRDefault="007B11BD" w:rsidP="00514828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285 000</w:t>
            </w:r>
          </w:p>
        </w:tc>
        <w:tc>
          <w:tcPr>
            <w:tcW w:w="1134" w:type="dxa"/>
            <w:hideMark/>
          </w:tcPr>
          <w:p w:rsidR="00C021B6" w:rsidRPr="00BC3CDD" w:rsidRDefault="00831832" w:rsidP="00CD204D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73 835,40</w:t>
            </w:r>
          </w:p>
        </w:tc>
        <w:tc>
          <w:tcPr>
            <w:tcW w:w="1417" w:type="dxa"/>
            <w:hideMark/>
          </w:tcPr>
          <w:p w:rsidR="00C021B6" w:rsidRPr="00BC3CDD" w:rsidRDefault="00C021B6" w:rsidP="00CD204D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hideMark/>
          </w:tcPr>
          <w:p w:rsidR="00C021B6" w:rsidRPr="00BC3CDD" w:rsidRDefault="00C021B6" w:rsidP="00CD204D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950" w:type="dxa"/>
            <w:hideMark/>
          </w:tcPr>
          <w:p w:rsidR="00C021B6" w:rsidRPr="00BC3CDD" w:rsidRDefault="007B11BD" w:rsidP="00162B00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358 835,40</w:t>
            </w:r>
          </w:p>
        </w:tc>
      </w:tr>
    </w:tbl>
    <w:tbl>
      <w:tblPr>
        <w:tblStyle w:val="Mriekatabuky"/>
        <w:tblpPr w:leftFromText="141" w:rightFromText="141" w:vertAnchor="text" w:horzAnchor="margin" w:tblpY="1734"/>
        <w:tblW w:w="974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3"/>
        <w:gridCol w:w="1701"/>
      </w:tblGrid>
      <w:tr w:rsidR="00BC3CDD" w:rsidRPr="00BC3CDD" w:rsidTr="00116EBB">
        <w:trPr>
          <w:trHeight w:val="330"/>
        </w:trPr>
        <w:tc>
          <w:tcPr>
            <w:tcW w:w="2518" w:type="dxa"/>
            <w:shd w:val="clear" w:color="auto" w:fill="BFBFBF" w:themeFill="background1" w:themeFillShade="BF"/>
          </w:tcPr>
          <w:p w:rsidR="00384B01" w:rsidRPr="00BC3CDD" w:rsidRDefault="00384B01" w:rsidP="00116EBB">
            <w:pPr>
              <w:pStyle w:val="Normlnywebov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4B01" w:rsidRPr="00BC3CDD" w:rsidRDefault="00384B01" w:rsidP="00116EBB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osoba/12 mesiacov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4B01" w:rsidRPr="00BC3CDD" w:rsidRDefault="00384B01" w:rsidP="00116EBB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11 osôb/                12 mesiacov (EUR) rok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4B01" w:rsidRPr="00BC3CDD" w:rsidRDefault="00384B01" w:rsidP="00116EBB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11 osôb/                12 mesiacov (EUR) rok 2018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84B01" w:rsidRPr="00BC3CDD" w:rsidRDefault="00384B01" w:rsidP="00116EBB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11 osôb/              12 mesiacov (EUR) rok 2019</w:t>
            </w:r>
          </w:p>
        </w:tc>
      </w:tr>
      <w:tr w:rsidR="00BC3CDD" w:rsidRPr="00BC3CDD" w:rsidTr="00116EBB">
        <w:trPr>
          <w:trHeight w:val="330"/>
        </w:trPr>
        <w:tc>
          <w:tcPr>
            <w:tcW w:w="2518" w:type="dxa"/>
            <w:shd w:val="pct15" w:color="auto" w:fill="auto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Materiálno technické vybavenie kancelárie, kuchynka (430 eur)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1 200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13 630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Materiálno technické vybavenie zasadacej miestnosti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15 000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Pravidelné mesačné náklady (130 eur/osoba)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1 560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17 160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17 160</w:t>
            </w: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Dopravné náklady -výdavky na služobné cesty*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4 120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45 320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45 320</w:t>
            </w: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Náklady na vzdelávacie aktivity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2 891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31 801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31 801</w:t>
            </w: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Dátové a komunikačné vybavenie zasadacej miestnosti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5 000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 xml:space="preserve">Dátové, komunikačné vybavenie a výpočtová technika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2 000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22 000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</w:tr>
      <w:tr w:rsidR="00BC3CDD" w:rsidRPr="00BC3CDD" w:rsidTr="00116EBB">
        <w:trPr>
          <w:trHeight w:val="559"/>
        </w:trPr>
        <w:tc>
          <w:tcPr>
            <w:tcW w:w="2518" w:type="dxa"/>
            <w:shd w:val="pct15" w:color="auto" w:fill="auto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lastRenderedPageBreak/>
              <w:t>prevádzkové náklady (toner 600 eur/rok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600</w:t>
            </w:r>
          </w:p>
        </w:tc>
      </w:tr>
      <w:tr w:rsidR="00BC3CDD" w:rsidRPr="00BC3CDD" w:rsidTr="00116EBB">
        <w:trPr>
          <w:trHeight w:val="330"/>
        </w:trPr>
        <w:tc>
          <w:tcPr>
            <w:tcW w:w="2518" w:type="dxa"/>
            <w:shd w:val="pct15" w:color="auto" w:fill="auto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843" w:type="dxa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150 511</w:t>
            </w:r>
          </w:p>
        </w:tc>
        <w:tc>
          <w:tcPr>
            <w:tcW w:w="1701" w:type="dxa"/>
          </w:tcPr>
          <w:p w:rsidR="00384B01" w:rsidRPr="00BC3CDD" w:rsidRDefault="00384B01" w:rsidP="00116EBB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94 881</w:t>
            </w:r>
          </w:p>
        </w:tc>
      </w:tr>
    </w:tbl>
    <w:p w:rsidR="00C021B6" w:rsidRPr="00BC3CDD" w:rsidRDefault="00C021B6" w:rsidP="00C021B6">
      <w:pPr>
        <w:spacing w:line="19" w:lineRule="atLeast"/>
        <w:rPr>
          <w:rFonts w:ascii="Times New Roman" w:hAnsi="Times New Roman" w:cs="Times New Roman"/>
          <w:b/>
          <w:sz w:val="20"/>
          <w:szCs w:val="20"/>
        </w:rPr>
      </w:pPr>
      <w:r w:rsidRPr="00BC3CDD">
        <w:rPr>
          <w:rFonts w:ascii="Times New Roman" w:hAnsi="Times New Roman" w:cs="Times New Roman"/>
          <w:b/>
          <w:sz w:val="20"/>
          <w:szCs w:val="20"/>
        </w:rPr>
        <w:t>*</w:t>
      </w:r>
      <w:r w:rsidRPr="00BC3CDD">
        <w:rPr>
          <w:rFonts w:ascii="Times New Roman" w:hAnsi="Times New Roman" w:cs="Times New Roman"/>
          <w:sz w:val="20"/>
          <w:szCs w:val="20"/>
        </w:rPr>
        <w:t xml:space="preserve"> Služobná cesta v priemere </w:t>
      </w:r>
      <w:r w:rsidR="00777EB4" w:rsidRPr="00BC3CDD">
        <w:rPr>
          <w:rFonts w:ascii="Times New Roman" w:hAnsi="Times New Roman" w:cs="Times New Roman"/>
          <w:sz w:val="20"/>
          <w:szCs w:val="20"/>
        </w:rPr>
        <w:t>8/rok (4 x tuzemská, 4 x zahraničná)</w:t>
      </w:r>
    </w:p>
    <w:p w:rsidR="00C021B6" w:rsidRPr="00BC3CDD" w:rsidRDefault="00C021B6" w:rsidP="00C021B6">
      <w:pPr>
        <w:pStyle w:val="Normlnywebov"/>
        <w:spacing w:line="276" w:lineRule="auto"/>
        <w:jc w:val="both"/>
        <w:rPr>
          <w:b/>
        </w:rPr>
      </w:pPr>
      <w:r w:rsidRPr="00BC3CDD">
        <w:rPr>
          <w:b/>
        </w:rPr>
        <w:t>Ad b) zavedenie nových zákonných kompetencií Úradu vlády</w:t>
      </w:r>
      <w:r w:rsidR="000C6792" w:rsidRPr="00BC3CDD">
        <w:rPr>
          <w:b/>
        </w:rPr>
        <w:t xml:space="preserve"> SR</w:t>
      </w:r>
      <w:r w:rsidRPr="00BC3CDD">
        <w:rPr>
          <w:b/>
        </w:rPr>
        <w:t xml:space="preserve"> v oblasti štátnozamestnaneckých vzťahov</w:t>
      </w:r>
      <w:r w:rsidR="00B113A9" w:rsidRPr="00BC3CDD">
        <w:rPr>
          <w:b/>
        </w:rPr>
        <w:t xml:space="preserve"> (posilnenie odboru štátnej služby a verejnej služby, zriadenie Hodnotiaceho centra)</w:t>
      </w:r>
      <w:r w:rsidRPr="00BC3CDD">
        <w:rPr>
          <w:b/>
        </w:rPr>
        <w:t>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Podľa navrhovanej právnej úpravy sa zvyšujú kompetencie a pôsobnosť Úradu vlády</w:t>
      </w:r>
      <w:r w:rsidR="00331E42" w:rsidRPr="00BC3CDD">
        <w:rPr>
          <w:rFonts w:ascii="Times New Roman" w:hAnsi="Times New Roman" w:cs="Times New Roman"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sz w:val="24"/>
          <w:szCs w:val="24"/>
        </w:rPr>
        <w:t xml:space="preserve"> najmä v oblasti výko</w:t>
      </w:r>
      <w:r w:rsidR="00116EBB" w:rsidRPr="00BC3CDD">
        <w:rPr>
          <w:rFonts w:ascii="Times New Roman" w:hAnsi="Times New Roman" w:cs="Times New Roman"/>
          <w:sz w:val="24"/>
          <w:szCs w:val="24"/>
        </w:rPr>
        <w:t>nu kontrolnej pôsobnosti</w:t>
      </w:r>
      <w:r w:rsidRPr="00BC3CDD">
        <w:rPr>
          <w:rFonts w:ascii="Times New Roman" w:hAnsi="Times New Roman" w:cs="Times New Roman"/>
          <w:sz w:val="24"/>
          <w:szCs w:val="24"/>
        </w:rPr>
        <w:t>, pri novozavedených inštitútoch ako je prešetrenie výpovede  a disciplinárna zodpovednosť štátneho zamestnanca, vyhlasovanie prvej časti hromadného výberového konania  ako aj v súvislosti so zavedením Centrálneho informačného systému štátnej služby.</w:t>
      </w:r>
    </w:p>
    <w:p w:rsidR="004D3A01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 tejto súvislosti sa zavádza povinnosť výberového konania vedúcich štátnych zamestnancov na najvyšších pozíciách prostredníctvom Hodnotiaceho centra.</w:t>
      </w:r>
    </w:p>
    <w:p w:rsidR="000C6792" w:rsidRPr="00BC3CDD" w:rsidRDefault="000C6792" w:rsidP="00C021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CDD">
        <w:rPr>
          <w:rFonts w:ascii="Times New Roman" w:hAnsi="Times New Roman" w:cs="Times New Roman"/>
          <w:b/>
          <w:sz w:val="24"/>
          <w:szCs w:val="24"/>
          <w:u w:val="single"/>
        </w:rPr>
        <w:t>1. Posilnenie odboru štátnej služby a verejnej služby Úradu vlády SR:</w:t>
      </w:r>
    </w:p>
    <w:p w:rsidR="00282A1C" w:rsidRPr="00BC3CDD" w:rsidRDefault="00282A1C" w:rsidP="00282A1C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 nadväznosti na vyššie uvedené, definovanie nových zákonných kompetencií Úradu vlády SR má priamy vplyv na nárast ďalšej agendy Úradu vlády SR. Z tohto dôvodu  je potrebné personál</w:t>
      </w:r>
      <w:r w:rsidR="00331E42" w:rsidRPr="00BC3CDD">
        <w:rPr>
          <w:rFonts w:ascii="Times New Roman" w:hAnsi="Times New Roman" w:cs="Times New Roman"/>
          <w:sz w:val="24"/>
          <w:szCs w:val="24"/>
        </w:rPr>
        <w:t>ne posilniť odbor štátnej služby a verejnej služby</w:t>
      </w:r>
      <w:r w:rsidRPr="00BC3CDD">
        <w:rPr>
          <w:rFonts w:ascii="Times New Roman" w:hAnsi="Times New Roman" w:cs="Times New Roman"/>
          <w:sz w:val="24"/>
          <w:szCs w:val="24"/>
        </w:rPr>
        <w:t xml:space="preserve"> Úradu vlády SR </w:t>
      </w:r>
      <w:r w:rsidR="005464E0" w:rsidRPr="00BC3CDD">
        <w:rPr>
          <w:rFonts w:ascii="Times New Roman" w:hAnsi="Times New Roman" w:cs="Times New Roman"/>
          <w:b/>
          <w:sz w:val="24"/>
          <w:szCs w:val="24"/>
        </w:rPr>
        <w:t>o </w:t>
      </w:r>
      <w:r w:rsidR="004E6AEF" w:rsidRPr="00BC3CDD">
        <w:rPr>
          <w:rFonts w:ascii="Times New Roman" w:hAnsi="Times New Roman" w:cs="Times New Roman"/>
          <w:b/>
          <w:sz w:val="24"/>
          <w:szCs w:val="24"/>
        </w:rPr>
        <w:t>12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štátnych zamestnancov</w:t>
      </w:r>
      <w:r w:rsidRPr="00BC3CDD">
        <w:rPr>
          <w:rFonts w:ascii="Times New Roman" w:hAnsi="Times New Roman" w:cs="Times New Roman"/>
          <w:sz w:val="24"/>
          <w:szCs w:val="24"/>
        </w:rPr>
        <w:t>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Týmto štátnym zamestnancom sa navrhuje plat vo výške </w:t>
      </w:r>
      <w:r w:rsidR="003C1A67" w:rsidRPr="00BC3CDD">
        <w:rPr>
          <w:rFonts w:ascii="Times New Roman" w:hAnsi="Times New Roman" w:cs="Times New Roman"/>
          <w:b/>
          <w:sz w:val="24"/>
          <w:szCs w:val="24"/>
        </w:rPr>
        <w:t>1 3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00 eur/mesiac.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93"/>
        <w:gridCol w:w="685"/>
        <w:gridCol w:w="1249"/>
        <w:gridCol w:w="1030"/>
        <w:gridCol w:w="1294"/>
        <w:gridCol w:w="1305"/>
        <w:gridCol w:w="1116"/>
        <w:gridCol w:w="1116"/>
      </w:tblGrid>
      <w:tr w:rsidR="00BC3CDD" w:rsidRPr="00BC3CDD" w:rsidTr="004E6AEF">
        <w:trPr>
          <w:trHeight w:val="330"/>
        </w:trPr>
        <w:tc>
          <w:tcPr>
            <w:tcW w:w="1643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ind w:firstLine="360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Pozícia</w:t>
            </w:r>
          </w:p>
        </w:tc>
        <w:tc>
          <w:tcPr>
            <w:tcW w:w="712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počet</w:t>
            </w:r>
          </w:p>
        </w:tc>
        <w:tc>
          <w:tcPr>
            <w:tcW w:w="1310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Hrubá mzda/osoba</w:t>
            </w:r>
          </w:p>
        </w:tc>
        <w:tc>
          <w:tcPr>
            <w:tcW w:w="1041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Poistné 34, 95%</w:t>
            </w:r>
          </w:p>
        </w:tc>
        <w:tc>
          <w:tcPr>
            <w:tcW w:w="1294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Cena práce/        osoba/mesiac</w:t>
            </w:r>
          </w:p>
        </w:tc>
        <w:tc>
          <w:tcPr>
            <w:tcW w:w="1305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Cena práce/  osoby/mesiac</w:t>
            </w:r>
          </w:p>
        </w:tc>
        <w:tc>
          <w:tcPr>
            <w:tcW w:w="1116" w:type="dxa"/>
            <w:shd w:val="clear" w:color="auto" w:fill="BFBFBF" w:themeFill="background1" w:themeFillShade="BF"/>
            <w:hideMark/>
          </w:tcPr>
          <w:p w:rsidR="004E6AEF" w:rsidRPr="00BC3CDD" w:rsidRDefault="004E6AEF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Osobné výdavky za 12 mesiacov (EUR)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4E6AEF" w:rsidRPr="00BC3CDD" w:rsidRDefault="004E6AEF" w:rsidP="009D5768">
            <w:pPr>
              <w:pStyle w:val="Normlnywebov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Osobné výdavky za 7 mesiacov (EUR)</w:t>
            </w:r>
          </w:p>
        </w:tc>
      </w:tr>
      <w:tr w:rsidR="00BC3CDD" w:rsidRPr="00BC3CDD" w:rsidTr="004E6AEF">
        <w:trPr>
          <w:trHeight w:val="330"/>
        </w:trPr>
        <w:tc>
          <w:tcPr>
            <w:tcW w:w="1643" w:type="dxa"/>
            <w:shd w:val="clear" w:color="auto" w:fill="D9D9D9" w:themeFill="background1" w:themeFillShade="D9"/>
            <w:hideMark/>
          </w:tcPr>
          <w:p w:rsidR="004E6AEF" w:rsidRPr="00BC3CDD" w:rsidRDefault="004E6AEF" w:rsidP="009D5768">
            <w:pPr>
              <w:pStyle w:val="Normlnywebov"/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 xml:space="preserve">Štátny  zamestnanec </w:t>
            </w:r>
            <w:proofErr w:type="spellStart"/>
            <w:r w:rsidRPr="00BC3CDD">
              <w:rPr>
                <w:b/>
                <w:sz w:val="20"/>
                <w:szCs w:val="20"/>
              </w:rPr>
              <w:t>OŠSaVS</w:t>
            </w:r>
            <w:proofErr w:type="spellEnd"/>
            <w:r w:rsidRPr="00BC3C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    1 300</w:t>
            </w:r>
          </w:p>
        </w:tc>
        <w:tc>
          <w:tcPr>
            <w:tcW w:w="1041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454,35</w:t>
            </w:r>
          </w:p>
        </w:tc>
        <w:tc>
          <w:tcPr>
            <w:tcW w:w="1294" w:type="dxa"/>
            <w:hideMark/>
          </w:tcPr>
          <w:p w:rsidR="004E6AEF" w:rsidRPr="00BC3CDD" w:rsidRDefault="004E6AEF" w:rsidP="003C1A67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1 754,35</w:t>
            </w:r>
          </w:p>
        </w:tc>
        <w:tc>
          <w:tcPr>
            <w:tcW w:w="1305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21 052,20</w:t>
            </w:r>
          </w:p>
        </w:tc>
        <w:tc>
          <w:tcPr>
            <w:tcW w:w="1116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252 626,40</w:t>
            </w:r>
          </w:p>
        </w:tc>
        <w:tc>
          <w:tcPr>
            <w:tcW w:w="867" w:type="dxa"/>
          </w:tcPr>
          <w:p w:rsidR="004E6AEF" w:rsidRPr="00BC3CDD" w:rsidRDefault="000C13FC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147 365,40</w:t>
            </w:r>
          </w:p>
        </w:tc>
      </w:tr>
      <w:tr w:rsidR="00BC3CDD" w:rsidRPr="00BC3CDD" w:rsidTr="004E6AEF">
        <w:trPr>
          <w:trHeight w:val="330"/>
        </w:trPr>
        <w:tc>
          <w:tcPr>
            <w:tcW w:w="1643" w:type="dxa"/>
            <w:shd w:val="clear" w:color="auto" w:fill="D9D9D9" w:themeFill="background1" w:themeFillShade="D9"/>
            <w:hideMark/>
          </w:tcPr>
          <w:p w:rsidR="004E6AEF" w:rsidRPr="00BC3CDD" w:rsidRDefault="004E6AEF" w:rsidP="004E6AEF">
            <w:pPr>
              <w:pStyle w:val="Normlnywebov"/>
              <w:ind w:firstLine="360"/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Spolu          (12 mesiacov)</w:t>
            </w:r>
          </w:p>
        </w:tc>
        <w:tc>
          <w:tcPr>
            <w:tcW w:w="712" w:type="dxa"/>
            <w:hideMark/>
          </w:tcPr>
          <w:p w:rsidR="004E6AEF" w:rsidRPr="00BC3CDD" w:rsidRDefault="004E6AEF" w:rsidP="00C07E42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 12  </w:t>
            </w:r>
          </w:p>
        </w:tc>
        <w:tc>
          <w:tcPr>
            <w:tcW w:w="1310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187 200</w:t>
            </w:r>
          </w:p>
        </w:tc>
        <w:tc>
          <w:tcPr>
            <w:tcW w:w="1041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65 426,40</w:t>
            </w:r>
          </w:p>
        </w:tc>
        <w:tc>
          <w:tcPr>
            <w:tcW w:w="1294" w:type="dxa"/>
            <w:hideMark/>
          </w:tcPr>
          <w:p w:rsidR="004E6AEF" w:rsidRPr="00BC3CDD" w:rsidRDefault="004E6AEF" w:rsidP="003C1A67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hideMark/>
          </w:tcPr>
          <w:p w:rsidR="004E6AEF" w:rsidRPr="00BC3CDD" w:rsidRDefault="004E6AEF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hideMark/>
          </w:tcPr>
          <w:p w:rsidR="004E6AEF" w:rsidRPr="00BC3CDD" w:rsidRDefault="004E6AEF" w:rsidP="005464E0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252 626,40</w:t>
            </w:r>
          </w:p>
        </w:tc>
        <w:tc>
          <w:tcPr>
            <w:tcW w:w="867" w:type="dxa"/>
          </w:tcPr>
          <w:p w:rsidR="004E6AEF" w:rsidRPr="00BC3CDD" w:rsidRDefault="000C13FC" w:rsidP="005464E0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-</w:t>
            </w:r>
          </w:p>
        </w:tc>
      </w:tr>
      <w:tr w:rsidR="00BC3CDD" w:rsidRPr="00BC3CDD" w:rsidTr="004E6AEF">
        <w:trPr>
          <w:trHeight w:val="330"/>
        </w:trPr>
        <w:tc>
          <w:tcPr>
            <w:tcW w:w="1643" w:type="dxa"/>
            <w:shd w:val="clear" w:color="auto" w:fill="D9D9D9" w:themeFill="background1" w:themeFillShade="D9"/>
          </w:tcPr>
          <w:p w:rsidR="004E6AEF" w:rsidRPr="00BC3CDD" w:rsidRDefault="004E6AEF" w:rsidP="004E6AEF">
            <w:pPr>
              <w:pStyle w:val="Normlnywebov"/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Spolu            (6/2017-12/2017*            7 mesiacov)</w:t>
            </w:r>
          </w:p>
        </w:tc>
        <w:tc>
          <w:tcPr>
            <w:tcW w:w="712" w:type="dxa"/>
          </w:tcPr>
          <w:p w:rsidR="004E6AEF" w:rsidRPr="00BC3CDD" w:rsidRDefault="004E6AEF" w:rsidP="00C07E42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</w:tcPr>
          <w:p w:rsidR="004E6AEF" w:rsidRPr="00BC3CDD" w:rsidRDefault="004E6AEF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109 200</w:t>
            </w:r>
          </w:p>
        </w:tc>
        <w:tc>
          <w:tcPr>
            <w:tcW w:w="1041" w:type="dxa"/>
          </w:tcPr>
          <w:p w:rsidR="004E6AEF" w:rsidRPr="00BC3CDD" w:rsidRDefault="000C13FC" w:rsidP="003C1A67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38 165,4</w:t>
            </w:r>
          </w:p>
        </w:tc>
        <w:tc>
          <w:tcPr>
            <w:tcW w:w="1294" w:type="dxa"/>
          </w:tcPr>
          <w:p w:rsidR="004E6AEF" w:rsidRPr="00BC3CDD" w:rsidRDefault="000C13FC" w:rsidP="003C1A67">
            <w:pPr>
              <w:pStyle w:val="Normlnywebov"/>
              <w:ind w:firstLine="360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4E6AEF" w:rsidRPr="00BC3CDD" w:rsidRDefault="000C13FC" w:rsidP="003C1A67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4E6AEF" w:rsidRPr="00BC3CDD" w:rsidRDefault="004E6AEF" w:rsidP="005464E0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7" w:type="dxa"/>
          </w:tcPr>
          <w:p w:rsidR="004E6AEF" w:rsidRPr="00BC3CDD" w:rsidRDefault="000C13FC" w:rsidP="005464E0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147 365,40</w:t>
            </w:r>
          </w:p>
        </w:tc>
      </w:tr>
    </w:tbl>
    <w:p w:rsidR="00C021B6" w:rsidRPr="00BC3CDD" w:rsidRDefault="004E6AEF" w:rsidP="00C021B6">
      <w:pPr>
        <w:jc w:val="both"/>
        <w:rPr>
          <w:sz w:val="18"/>
          <w:szCs w:val="18"/>
        </w:rPr>
      </w:pPr>
      <w:r w:rsidRPr="00BC3CDD">
        <w:rPr>
          <w:sz w:val="18"/>
          <w:szCs w:val="18"/>
        </w:rPr>
        <w:t>*Účinnosť zákona o štátnej službe je od 1.6.2017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6"/>
        <w:gridCol w:w="1604"/>
        <w:gridCol w:w="1728"/>
        <w:gridCol w:w="1850"/>
        <w:gridCol w:w="1750"/>
      </w:tblGrid>
      <w:tr w:rsidR="00BC3CDD" w:rsidRPr="00BC3CDD" w:rsidTr="00D575E3">
        <w:trPr>
          <w:trHeight w:val="330"/>
        </w:trPr>
        <w:tc>
          <w:tcPr>
            <w:tcW w:w="2356" w:type="dxa"/>
            <w:shd w:val="clear" w:color="auto" w:fill="BFBFBF" w:themeFill="background1" w:themeFillShade="BF"/>
          </w:tcPr>
          <w:p w:rsidR="00AD287F" w:rsidRPr="00BC3CDD" w:rsidRDefault="00AD287F" w:rsidP="00964651">
            <w:pPr>
              <w:pStyle w:val="Normlnywebov"/>
              <w:rPr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BFBFBF" w:themeFill="background1" w:themeFillShade="BF"/>
          </w:tcPr>
          <w:p w:rsidR="00AD287F" w:rsidRPr="00BC3CDD" w:rsidRDefault="00AD287F" w:rsidP="00964651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osoba/12 mesiacov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:rsidR="00AD287F" w:rsidRPr="00BC3CDD" w:rsidRDefault="00AD287F" w:rsidP="004040A1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</w:t>
            </w:r>
            <w:r w:rsidR="004040A1" w:rsidRPr="00BC3CDD">
              <w:rPr>
                <w:sz w:val="20"/>
                <w:szCs w:val="20"/>
              </w:rPr>
              <w:t>2</w:t>
            </w:r>
            <w:r w:rsidRPr="00BC3CDD">
              <w:rPr>
                <w:sz w:val="20"/>
                <w:szCs w:val="20"/>
              </w:rPr>
              <w:t xml:space="preserve"> osôb/</w:t>
            </w:r>
            <w:r w:rsidR="009D3346" w:rsidRPr="00BC3CDD">
              <w:rPr>
                <w:sz w:val="20"/>
                <w:szCs w:val="20"/>
              </w:rPr>
              <w:t>7</w:t>
            </w:r>
            <w:r w:rsidRPr="00BC3CDD">
              <w:rPr>
                <w:sz w:val="20"/>
                <w:szCs w:val="20"/>
              </w:rPr>
              <w:t xml:space="preserve"> mesiacov (EUR)</w:t>
            </w:r>
            <w:r w:rsidR="00D575E3" w:rsidRPr="00BC3CDD">
              <w:rPr>
                <w:sz w:val="20"/>
                <w:szCs w:val="20"/>
              </w:rPr>
              <w:t xml:space="preserve"> </w:t>
            </w:r>
            <w:r w:rsidR="004040A1" w:rsidRPr="00BC3CDD">
              <w:rPr>
                <w:sz w:val="20"/>
                <w:szCs w:val="20"/>
              </w:rPr>
              <w:t>6/</w:t>
            </w:r>
            <w:r w:rsidRPr="00BC3CDD">
              <w:rPr>
                <w:sz w:val="20"/>
                <w:szCs w:val="20"/>
              </w:rPr>
              <w:t>2017</w:t>
            </w:r>
            <w:r w:rsidR="004040A1" w:rsidRPr="00BC3CDD">
              <w:rPr>
                <w:sz w:val="20"/>
                <w:szCs w:val="20"/>
              </w:rPr>
              <w:t>-12/2017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 w:rsidR="00AD287F" w:rsidRPr="00BC3CDD" w:rsidRDefault="00AD287F" w:rsidP="004040A1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</w:t>
            </w:r>
            <w:r w:rsidR="004040A1" w:rsidRPr="00BC3CDD">
              <w:rPr>
                <w:sz w:val="20"/>
                <w:szCs w:val="20"/>
              </w:rPr>
              <w:t xml:space="preserve">2 </w:t>
            </w:r>
            <w:r w:rsidRPr="00BC3CDD">
              <w:rPr>
                <w:sz w:val="20"/>
                <w:szCs w:val="20"/>
              </w:rPr>
              <w:t>osôb/12 mesiacov (EUR)</w:t>
            </w:r>
            <w:r w:rsidR="00D575E3" w:rsidRPr="00BC3CDD">
              <w:rPr>
                <w:sz w:val="20"/>
                <w:szCs w:val="20"/>
              </w:rPr>
              <w:t xml:space="preserve"> </w:t>
            </w:r>
            <w:r w:rsidRPr="00BC3CDD">
              <w:rPr>
                <w:sz w:val="20"/>
                <w:szCs w:val="20"/>
              </w:rPr>
              <w:t>rok 2018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AD287F" w:rsidRPr="00BC3CDD" w:rsidRDefault="00AD287F" w:rsidP="004040A1">
            <w:pPr>
              <w:pStyle w:val="Normlnywebov"/>
              <w:jc w:val="center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</w:t>
            </w:r>
            <w:r w:rsidR="004040A1" w:rsidRPr="00BC3CDD">
              <w:rPr>
                <w:sz w:val="20"/>
                <w:szCs w:val="20"/>
              </w:rPr>
              <w:t>2</w:t>
            </w:r>
            <w:r w:rsidRPr="00BC3CDD">
              <w:rPr>
                <w:sz w:val="20"/>
                <w:szCs w:val="20"/>
              </w:rPr>
              <w:t xml:space="preserve"> osôb/12 mesiacov (EUR)</w:t>
            </w:r>
            <w:r w:rsidR="00D575E3" w:rsidRPr="00BC3CDD">
              <w:rPr>
                <w:sz w:val="20"/>
                <w:szCs w:val="20"/>
              </w:rPr>
              <w:t xml:space="preserve"> </w:t>
            </w:r>
            <w:r w:rsidRPr="00BC3CDD">
              <w:rPr>
                <w:sz w:val="20"/>
                <w:szCs w:val="20"/>
              </w:rPr>
              <w:t>rok 2019</w:t>
            </w:r>
          </w:p>
        </w:tc>
      </w:tr>
      <w:tr w:rsidR="00BC3CDD" w:rsidRPr="00BC3CDD" w:rsidTr="00AD287F">
        <w:trPr>
          <w:trHeight w:val="330"/>
        </w:trPr>
        <w:tc>
          <w:tcPr>
            <w:tcW w:w="2356" w:type="dxa"/>
            <w:shd w:val="pct15" w:color="auto" w:fill="auto"/>
            <w:hideMark/>
          </w:tcPr>
          <w:p w:rsidR="00AD287F" w:rsidRPr="00BC3CDD" w:rsidRDefault="00AD287F" w:rsidP="00AD287F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Materiálno technické vybavenie kancelárie, + kuchynka (1000 eur)</w:t>
            </w:r>
          </w:p>
        </w:tc>
        <w:tc>
          <w:tcPr>
            <w:tcW w:w="1604" w:type="dxa"/>
            <w:hideMark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1 200</w:t>
            </w:r>
          </w:p>
        </w:tc>
        <w:tc>
          <w:tcPr>
            <w:tcW w:w="1728" w:type="dxa"/>
            <w:hideMark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15 400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</w:tr>
      <w:tr w:rsidR="00BC3CDD" w:rsidRPr="00BC3CDD" w:rsidTr="00AD287F">
        <w:trPr>
          <w:trHeight w:val="559"/>
        </w:trPr>
        <w:tc>
          <w:tcPr>
            <w:tcW w:w="2356" w:type="dxa"/>
            <w:shd w:val="pct15" w:color="auto" w:fill="auto"/>
          </w:tcPr>
          <w:p w:rsidR="00AD287F" w:rsidRPr="00BC3CDD" w:rsidRDefault="00AD287F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Pravidelné mesačné náklady (130 eur/osoba)</w:t>
            </w:r>
          </w:p>
        </w:tc>
        <w:tc>
          <w:tcPr>
            <w:tcW w:w="1604" w:type="dxa"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1 560</w:t>
            </w:r>
          </w:p>
        </w:tc>
        <w:tc>
          <w:tcPr>
            <w:tcW w:w="1728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10 920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18 720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  <w:highlight w:val="yellow"/>
              </w:rPr>
            </w:pPr>
            <w:r w:rsidRPr="00BC3CDD">
              <w:rPr>
                <w:sz w:val="20"/>
                <w:szCs w:val="20"/>
              </w:rPr>
              <w:t>18 720</w:t>
            </w:r>
          </w:p>
        </w:tc>
      </w:tr>
      <w:tr w:rsidR="00BC3CDD" w:rsidRPr="00BC3CDD" w:rsidTr="00AD287F">
        <w:trPr>
          <w:trHeight w:val="559"/>
        </w:trPr>
        <w:tc>
          <w:tcPr>
            <w:tcW w:w="2356" w:type="dxa"/>
            <w:shd w:val="pct15" w:color="auto" w:fill="auto"/>
          </w:tcPr>
          <w:p w:rsidR="00AD287F" w:rsidRPr="00BC3CDD" w:rsidRDefault="00AD287F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 xml:space="preserve">Dopravné náklady -výdavky na služobné </w:t>
            </w:r>
            <w:r w:rsidRPr="00BC3CDD">
              <w:rPr>
                <w:b/>
                <w:sz w:val="20"/>
                <w:szCs w:val="20"/>
              </w:rPr>
              <w:lastRenderedPageBreak/>
              <w:t>cesty*</w:t>
            </w:r>
          </w:p>
        </w:tc>
        <w:tc>
          <w:tcPr>
            <w:tcW w:w="1604" w:type="dxa"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lastRenderedPageBreak/>
              <w:t>4 120</w:t>
            </w:r>
          </w:p>
        </w:tc>
        <w:tc>
          <w:tcPr>
            <w:tcW w:w="1728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28 840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49 440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  <w:highlight w:val="yellow"/>
              </w:rPr>
            </w:pPr>
            <w:r w:rsidRPr="00BC3CDD">
              <w:rPr>
                <w:sz w:val="20"/>
                <w:szCs w:val="20"/>
              </w:rPr>
              <w:t>49 440</w:t>
            </w:r>
          </w:p>
        </w:tc>
      </w:tr>
      <w:tr w:rsidR="00BC3CDD" w:rsidRPr="00BC3CDD" w:rsidTr="00AD287F">
        <w:trPr>
          <w:trHeight w:val="672"/>
        </w:trPr>
        <w:tc>
          <w:tcPr>
            <w:tcW w:w="2356" w:type="dxa"/>
            <w:shd w:val="pct15" w:color="auto" w:fill="auto"/>
          </w:tcPr>
          <w:p w:rsidR="00AD287F" w:rsidRPr="00BC3CDD" w:rsidRDefault="00AD287F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lastRenderedPageBreak/>
              <w:t>Náklady na vzdelávacie aktivity</w:t>
            </w:r>
          </w:p>
        </w:tc>
        <w:tc>
          <w:tcPr>
            <w:tcW w:w="1604" w:type="dxa"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2 891</w:t>
            </w:r>
          </w:p>
        </w:tc>
        <w:tc>
          <w:tcPr>
            <w:tcW w:w="1728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20 237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34 692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  <w:highlight w:val="yellow"/>
              </w:rPr>
            </w:pPr>
            <w:r w:rsidRPr="00BC3CDD">
              <w:rPr>
                <w:sz w:val="20"/>
                <w:szCs w:val="20"/>
              </w:rPr>
              <w:t>34 692</w:t>
            </w:r>
          </w:p>
        </w:tc>
      </w:tr>
      <w:tr w:rsidR="00BC3CDD" w:rsidRPr="00BC3CDD" w:rsidTr="00AD287F">
        <w:trPr>
          <w:trHeight w:val="559"/>
        </w:trPr>
        <w:tc>
          <w:tcPr>
            <w:tcW w:w="2356" w:type="dxa"/>
            <w:shd w:val="pct15" w:color="auto" w:fill="auto"/>
          </w:tcPr>
          <w:p w:rsidR="00AD287F" w:rsidRPr="00BC3CDD" w:rsidRDefault="00AD287F" w:rsidP="00AD287F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Dátové, komunikačné vybavenie a výpočtová technika,</w:t>
            </w:r>
          </w:p>
        </w:tc>
        <w:tc>
          <w:tcPr>
            <w:tcW w:w="1604" w:type="dxa"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 xml:space="preserve"> 2 000</w:t>
            </w:r>
          </w:p>
        </w:tc>
        <w:tc>
          <w:tcPr>
            <w:tcW w:w="1728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24 000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sz w:val="20"/>
                <w:szCs w:val="20"/>
                <w:highlight w:val="yellow"/>
              </w:rPr>
            </w:pPr>
            <w:r w:rsidRPr="00BC3CDD">
              <w:rPr>
                <w:sz w:val="20"/>
                <w:szCs w:val="20"/>
              </w:rPr>
              <w:t>-</w:t>
            </w:r>
          </w:p>
        </w:tc>
      </w:tr>
      <w:tr w:rsidR="00BC3CDD" w:rsidRPr="00BC3CDD" w:rsidTr="00AD287F">
        <w:trPr>
          <w:trHeight w:val="559"/>
        </w:trPr>
        <w:tc>
          <w:tcPr>
            <w:tcW w:w="2356" w:type="dxa"/>
            <w:shd w:val="pct15" w:color="auto" w:fill="auto"/>
          </w:tcPr>
          <w:p w:rsidR="00AD287F" w:rsidRPr="00BC3CDD" w:rsidRDefault="00AD287F" w:rsidP="0000344A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prevádzkové náklady (toner 1200 eur/rok)</w:t>
            </w:r>
          </w:p>
        </w:tc>
        <w:tc>
          <w:tcPr>
            <w:tcW w:w="1604" w:type="dxa"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AD287F" w:rsidRPr="00BC3CDD" w:rsidRDefault="009D3346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7 00</w:t>
            </w:r>
          </w:p>
        </w:tc>
        <w:tc>
          <w:tcPr>
            <w:tcW w:w="1850" w:type="dxa"/>
          </w:tcPr>
          <w:p w:rsidR="00AD287F" w:rsidRPr="00BC3CDD" w:rsidRDefault="006A5262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1 200</w:t>
            </w:r>
          </w:p>
        </w:tc>
        <w:tc>
          <w:tcPr>
            <w:tcW w:w="1750" w:type="dxa"/>
          </w:tcPr>
          <w:p w:rsidR="00AD287F" w:rsidRPr="00BC3CDD" w:rsidRDefault="006A5262" w:rsidP="00964651">
            <w:pPr>
              <w:pStyle w:val="Normlnywebov"/>
              <w:jc w:val="right"/>
              <w:rPr>
                <w:sz w:val="20"/>
                <w:szCs w:val="20"/>
              </w:rPr>
            </w:pPr>
            <w:r w:rsidRPr="00BC3CDD">
              <w:rPr>
                <w:sz w:val="20"/>
                <w:szCs w:val="20"/>
              </w:rPr>
              <w:t>1 200</w:t>
            </w:r>
          </w:p>
        </w:tc>
      </w:tr>
      <w:tr w:rsidR="00BC3CDD" w:rsidRPr="00BC3CDD" w:rsidTr="00AD287F">
        <w:trPr>
          <w:trHeight w:val="330"/>
        </w:trPr>
        <w:tc>
          <w:tcPr>
            <w:tcW w:w="2356" w:type="dxa"/>
            <w:shd w:val="pct15" w:color="auto" w:fill="auto"/>
            <w:hideMark/>
          </w:tcPr>
          <w:p w:rsidR="00AD287F" w:rsidRPr="00BC3CDD" w:rsidRDefault="00AD287F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604" w:type="dxa"/>
            <w:hideMark/>
          </w:tcPr>
          <w:p w:rsidR="00AD287F" w:rsidRPr="00BC3CDD" w:rsidRDefault="00AD287F" w:rsidP="00964651">
            <w:pPr>
              <w:pStyle w:val="Normlnywebov"/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hideMark/>
          </w:tcPr>
          <w:p w:rsidR="00AD287F" w:rsidRPr="00BC3CDD" w:rsidRDefault="004040A1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100 097</w:t>
            </w:r>
          </w:p>
        </w:tc>
        <w:tc>
          <w:tcPr>
            <w:tcW w:w="18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104 052</w:t>
            </w:r>
          </w:p>
        </w:tc>
        <w:tc>
          <w:tcPr>
            <w:tcW w:w="1750" w:type="dxa"/>
          </w:tcPr>
          <w:p w:rsidR="00AD287F" w:rsidRPr="00BC3CDD" w:rsidRDefault="004040A1" w:rsidP="00964651">
            <w:pPr>
              <w:pStyle w:val="Normlnywebov"/>
              <w:jc w:val="right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104 052</w:t>
            </w:r>
          </w:p>
        </w:tc>
      </w:tr>
    </w:tbl>
    <w:p w:rsidR="00906E11" w:rsidRPr="00BC3CDD" w:rsidRDefault="00906E11" w:rsidP="00906E11">
      <w:pPr>
        <w:spacing w:line="19" w:lineRule="atLeast"/>
        <w:rPr>
          <w:rFonts w:ascii="Times New Roman" w:hAnsi="Times New Roman" w:cs="Times New Roman"/>
          <w:b/>
          <w:sz w:val="20"/>
          <w:szCs w:val="20"/>
        </w:rPr>
      </w:pPr>
      <w:r w:rsidRPr="00BC3CDD">
        <w:rPr>
          <w:rFonts w:ascii="Times New Roman" w:hAnsi="Times New Roman" w:cs="Times New Roman"/>
          <w:b/>
          <w:sz w:val="20"/>
          <w:szCs w:val="20"/>
        </w:rPr>
        <w:t>*</w:t>
      </w:r>
      <w:r w:rsidRPr="00BC3CDD">
        <w:rPr>
          <w:rFonts w:ascii="Times New Roman" w:hAnsi="Times New Roman" w:cs="Times New Roman"/>
          <w:sz w:val="20"/>
          <w:szCs w:val="20"/>
        </w:rPr>
        <w:t xml:space="preserve"> Služobná cesta v priemere 8/rok (4 x tuzemská, 4 x zahraničná)</w:t>
      </w:r>
    </w:p>
    <w:p w:rsidR="00282A1C" w:rsidRPr="00BC3CDD" w:rsidRDefault="00282A1C" w:rsidP="00C021B6">
      <w:pPr>
        <w:jc w:val="both"/>
      </w:pPr>
    </w:p>
    <w:p w:rsidR="000C6792" w:rsidRPr="00BC3CDD" w:rsidRDefault="000C6792" w:rsidP="00C021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CDD">
        <w:rPr>
          <w:rFonts w:ascii="Times New Roman" w:hAnsi="Times New Roman" w:cs="Times New Roman"/>
          <w:b/>
          <w:sz w:val="24"/>
          <w:szCs w:val="24"/>
          <w:u w:val="single"/>
        </w:rPr>
        <w:t>2. Vybudovanie, prevádzka a personálne obsadenie Hodnotiaceho centra</w:t>
      </w:r>
    </w:p>
    <w:p w:rsidR="000C6792" w:rsidRPr="00BC3CDD" w:rsidRDefault="000C6792" w:rsidP="000C6792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 súvislosti s vybudovaním Hodnotiaceho centra a zabezpečením jeho činnosti je potrebné navýšiť počet štátnych zamestnancov Úradu vlády SR o ďalších </w:t>
      </w:r>
      <w:r w:rsidRPr="00BC3CDD">
        <w:rPr>
          <w:rFonts w:ascii="Times New Roman" w:hAnsi="Times New Roman" w:cs="Times New Roman"/>
          <w:b/>
          <w:sz w:val="24"/>
          <w:szCs w:val="24"/>
        </w:rPr>
        <w:t>5 zamestnancov.</w:t>
      </w:r>
    </w:p>
    <w:p w:rsidR="002E57DF" w:rsidRPr="00BC3CDD" w:rsidRDefault="00C021B6" w:rsidP="002E57DF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Vzhľadom na skutočnosť, že </w:t>
      </w:r>
      <w:r w:rsidRPr="00BC3CDD">
        <w:rPr>
          <w:rFonts w:ascii="Times New Roman" w:hAnsi="Times New Roman" w:cs="Times New Roman"/>
          <w:b/>
          <w:sz w:val="24"/>
          <w:szCs w:val="24"/>
        </w:rPr>
        <w:t>Hodnotiace centrum</w:t>
      </w:r>
      <w:r w:rsidRPr="00BC3CDD">
        <w:rPr>
          <w:rFonts w:ascii="Times New Roman" w:hAnsi="Times New Roman" w:cs="Times New Roman"/>
          <w:sz w:val="24"/>
          <w:szCs w:val="24"/>
        </w:rPr>
        <w:t xml:space="preserve"> je potrebné vybudovať od začiatku, bude potrebné zabezpečiť priestorové, materiálne a technické potreby, vzdelávanie štátnych zamestnancov a školenia poskytované pre zamestnancov služobných úradov. </w:t>
      </w:r>
      <w:r w:rsidR="00B61DCA" w:rsidRPr="00BC3CDD">
        <w:rPr>
          <w:rFonts w:ascii="Times New Roman" w:hAnsi="Times New Roman" w:cs="Times New Roman"/>
          <w:sz w:val="24"/>
          <w:szCs w:val="24"/>
        </w:rPr>
        <w:t xml:space="preserve">Zriadenie, vybavenie, personálne obsadenie a činnosť Hodnotiaceho centra </w:t>
      </w:r>
      <w:r w:rsidR="00651EED" w:rsidRPr="00BC3CDD">
        <w:rPr>
          <w:rFonts w:ascii="Times New Roman" w:hAnsi="Times New Roman" w:cs="Times New Roman"/>
          <w:sz w:val="24"/>
          <w:szCs w:val="24"/>
        </w:rPr>
        <w:t>by mali byť financované</w:t>
      </w:r>
      <w:r w:rsidR="00B61DCA" w:rsidRPr="00BC3CDD">
        <w:rPr>
          <w:rFonts w:ascii="Times New Roman" w:hAnsi="Times New Roman" w:cs="Times New Roman"/>
          <w:sz w:val="24"/>
          <w:szCs w:val="24"/>
        </w:rPr>
        <w:t xml:space="preserve"> z finančných prostriedkov štrukturálnych fondov Európskej únie v rámci Operačného programu Efektívna verejná správa.</w:t>
      </w:r>
      <w:r w:rsidR="000339C6" w:rsidRPr="00BC3CDD">
        <w:rPr>
          <w:noProof/>
          <w:sz w:val="20"/>
        </w:rPr>
        <w:t xml:space="preserve"> </w:t>
      </w:r>
      <w:r w:rsidR="000339C6" w:rsidRPr="00BC3CDD">
        <w:rPr>
          <w:rFonts w:ascii="Times New Roman" w:hAnsi="Times New Roman" w:cs="Times New Roman"/>
          <w:noProof/>
          <w:sz w:val="24"/>
          <w:szCs w:val="24"/>
        </w:rPr>
        <w:t xml:space="preserve">Aby bola aj naďalej zaistená kontinuita a úlohy Hodnotiaceho centra v kontexte administratívnej reformy v Slovenskej republike, </w:t>
      </w:r>
      <w:r w:rsidR="00161BA4" w:rsidRPr="00BC3CDD">
        <w:rPr>
          <w:rFonts w:ascii="Times New Roman" w:hAnsi="Times New Roman" w:cs="Times New Roman"/>
          <w:noProof/>
          <w:sz w:val="24"/>
          <w:szCs w:val="24"/>
        </w:rPr>
        <w:t xml:space="preserve">mali by byť vytvorené podmienky </w:t>
      </w:r>
      <w:r w:rsidR="000339C6" w:rsidRPr="00BC3CDD">
        <w:rPr>
          <w:rFonts w:ascii="Times New Roman" w:hAnsi="Times New Roman" w:cs="Times New Roman"/>
          <w:noProof/>
          <w:sz w:val="24"/>
          <w:szCs w:val="24"/>
        </w:rPr>
        <w:t>pre zabezpečenie jeho ďalšieho financovania z verejných zdrojov.</w:t>
      </w:r>
      <w:r w:rsidR="004C7898" w:rsidRPr="00BC3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57DF" w:rsidRPr="00BC3CDD">
        <w:rPr>
          <w:rFonts w:ascii="Times New Roman" w:hAnsi="Times New Roman" w:cs="Times New Roman"/>
          <w:noProof/>
          <w:sz w:val="24"/>
          <w:szCs w:val="24"/>
        </w:rPr>
        <w:t>Je predpoklad, že Úrad vlády SR si bude uplatňovať výdavky na ďalšiu prevádzku  Hodnotiaceho centra od 1.7.2019 v rámci priorít pri príprave rozpočtu verejnej správy na roky 2017 až 2019.</w:t>
      </w:r>
    </w:p>
    <w:p w:rsidR="002513A9" w:rsidRPr="00BC3CDD" w:rsidRDefault="002513A9" w:rsidP="00C021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CDD">
        <w:rPr>
          <w:rFonts w:ascii="Times New Roman" w:hAnsi="Times New Roman" w:cs="Times New Roman"/>
          <w:b/>
          <w:sz w:val="24"/>
          <w:szCs w:val="24"/>
          <w:u w:val="single"/>
        </w:rPr>
        <w:t>Indikatívny rozpočet</w:t>
      </w:r>
      <w:r w:rsidR="000A1F03" w:rsidRPr="00BC3CDD">
        <w:rPr>
          <w:rFonts w:ascii="Times New Roman" w:hAnsi="Times New Roman" w:cs="Times New Roman"/>
          <w:b/>
          <w:sz w:val="24"/>
          <w:szCs w:val="24"/>
          <w:u w:val="single"/>
        </w:rPr>
        <w:t xml:space="preserve"> Hodnotiaceho centra (HC)</w:t>
      </w:r>
      <w:r w:rsidR="002D475A" w:rsidRPr="00BC3C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(čas trvania projektu) </w:t>
      </w:r>
      <w:r w:rsidR="00755683" w:rsidRPr="00BC3CDD">
        <w:rPr>
          <w:rFonts w:ascii="Times New Roman" w:hAnsi="Times New Roman" w:cs="Times New Roman"/>
          <w:b/>
          <w:sz w:val="24"/>
          <w:szCs w:val="24"/>
          <w:u w:val="single"/>
        </w:rPr>
        <w:t>1/2017-12</w:t>
      </w:r>
      <w:r w:rsidR="002D475A" w:rsidRPr="00BC3CDD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 w:rsidRPr="00BC3C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Personálne obsadenie HC  450 000 eur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Zriadenie, vybavenie HC</w:t>
      </w:r>
      <w:r w:rsidRPr="00BC3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 xml:space="preserve">150 000 eur 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Metodická podpora HC 176 000 eur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Riadenie a implementácia, 170 000 eur 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Vzdelávacie a školiace aktivity 338 000 </w:t>
      </w:r>
      <w:r w:rsidR="00E82895" w:rsidRPr="00BC3CDD">
        <w:rPr>
          <w:rFonts w:ascii="Times New Roman" w:hAnsi="Times New Roman" w:cs="Times New Roman"/>
          <w:sz w:val="24"/>
          <w:szCs w:val="24"/>
        </w:rPr>
        <w:t xml:space="preserve">eur </w:t>
      </w:r>
    </w:p>
    <w:p w:rsidR="00D575E3" w:rsidRPr="00BC3CDD" w:rsidRDefault="00D575E3" w:rsidP="00D575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00"/>
        <w:gridCol w:w="1578"/>
        <w:gridCol w:w="1578"/>
        <w:gridCol w:w="1578"/>
        <w:gridCol w:w="1491"/>
      </w:tblGrid>
      <w:tr w:rsidR="00BC3CDD" w:rsidRPr="00BC3CDD" w:rsidTr="00D575E3">
        <w:tc>
          <w:tcPr>
            <w:tcW w:w="1700" w:type="dxa"/>
            <w:shd w:val="clear" w:color="auto" w:fill="BFBFBF" w:themeFill="background1" w:themeFillShade="BF"/>
          </w:tcPr>
          <w:p w:rsidR="00755683" w:rsidRPr="00BC3CDD" w:rsidRDefault="00755683" w:rsidP="00C021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BFBFBF" w:themeFill="background1" w:themeFillShade="BF"/>
          </w:tcPr>
          <w:p w:rsidR="00755683" w:rsidRPr="00BC3CDD" w:rsidRDefault="00755683" w:rsidP="003B3852">
            <w:pPr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:rsidR="00755683" w:rsidRPr="00BC3CDD" w:rsidRDefault="00755683" w:rsidP="003B3852">
            <w:pPr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:rsidR="00755683" w:rsidRPr="00BC3CDD" w:rsidRDefault="00755683" w:rsidP="003B3852">
            <w:pPr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755683" w:rsidRPr="00BC3CDD" w:rsidRDefault="00755683" w:rsidP="003B3852">
            <w:pPr>
              <w:jc w:val="center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2019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Personálne obsadenie HC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150 000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150 000</w:t>
            </w:r>
          </w:p>
        </w:tc>
        <w:tc>
          <w:tcPr>
            <w:tcW w:w="1491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150 000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Zriadenie, vybavenie HC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130 000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10 000</w:t>
            </w:r>
          </w:p>
        </w:tc>
        <w:tc>
          <w:tcPr>
            <w:tcW w:w="1491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10 000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Metodická podpora HC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59 000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59 000</w:t>
            </w:r>
          </w:p>
        </w:tc>
        <w:tc>
          <w:tcPr>
            <w:tcW w:w="1491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58 000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>Riadenie a implementácia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58 000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56 000</w:t>
            </w:r>
          </w:p>
        </w:tc>
        <w:tc>
          <w:tcPr>
            <w:tcW w:w="1491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56 000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0"/>
                <w:szCs w:val="20"/>
              </w:rPr>
            </w:pPr>
            <w:r w:rsidRPr="00BC3CDD">
              <w:rPr>
                <w:b/>
                <w:sz w:val="20"/>
                <w:szCs w:val="20"/>
              </w:rPr>
              <w:t xml:space="preserve">Vzdelávacie a školiace </w:t>
            </w:r>
            <w:r w:rsidRPr="00BC3CDD">
              <w:rPr>
                <w:b/>
                <w:sz w:val="20"/>
                <w:szCs w:val="20"/>
              </w:rPr>
              <w:lastRenderedPageBreak/>
              <w:t>aktivity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80 000</w:t>
            </w:r>
          </w:p>
        </w:tc>
        <w:tc>
          <w:tcPr>
            <w:tcW w:w="1578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129 000</w:t>
            </w:r>
          </w:p>
        </w:tc>
        <w:tc>
          <w:tcPr>
            <w:tcW w:w="1491" w:type="dxa"/>
          </w:tcPr>
          <w:p w:rsidR="00755683" w:rsidRPr="00BC3CDD" w:rsidRDefault="00755683" w:rsidP="00953CAF">
            <w:pPr>
              <w:jc w:val="right"/>
              <w:rPr>
                <w:sz w:val="24"/>
                <w:szCs w:val="24"/>
              </w:rPr>
            </w:pPr>
            <w:r w:rsidRPr="00BC3CDD">
              <w:rPr>
                <w:sz w:val="24"/>
                <w:szCs w:val="24"/>
              </w:rPr>
              <w:t>129 000</w:t>
            </w:r>
          </w:p>
        </w:tc>
      </w:tr>
      <w:tr w:rsidR="00BC3CDD" w:rsidRPr="00BC3CDD" w:rsidTr="00D575E3">
        <w:tc>
          <w:tcPr>
            <w:tcW w:w="1700" w:type="dxa"/>
            <w:shd w:val="clear" w:color="auto" w:fill="D9D9D9" w:themeFill="background1" w:themeFillShade="D9"/>
          </w:tcPr>
          <w:p w:rsidR="00755683" w:rsidRPr="00BC3CDD" w:rsidRDefault="00755683" w:rsidP="00C021B6">
            <w:pPr>
              <w:jc w:val="both"/>
              <w:rPr>
                <w:b/>
                <w:sz w:val="24"/>
                <w:szCs w:val="24"/>
              </w:rPr>
            </w:pPr>
            <w:r w:rsidRPr="00BC3CDD">
              <w:rPr>
                <w:b/>
                <w:sz w:val="24"/>
                <w:szCs w:val="24"/>
              </w:rPr>
              <w:lastRenderedPageBreak/>
              <w:t>Spolu</w:t>
            </w:r>
          </w:p>
        </w:tc>
        <w:tc>
          <w:tcPr>
            <w:tcW w:w="1578" w:type="dxa"/>
          </w:tcPr>
          <w:p w:rsidR="00755683" w:rsidRPr="00BC3CDD" w:rsidRDefault="0014716F" w:rsidP="00953CAF">
            <w:pPr>
              <w:jc w:val="right"/>
              <w:rPr>
                <w:b/>
                <w:sz w:val="24"/>
                <w:szCs w:val="24"/>
              </w:rPr>
            </w:pPr>
            <w:r w:rsidRPr="00BC3C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755683" w:rsidRPr="00BC3CDD" w:rsidRDefault="0014716F" w:rsidP="00953CAF">
            <w:pPr>
              <w:jc w:val="right"/>
              <w:rPr>
                <w:b/>
                <w:sz w:val="24"/>
                <w:szCs w:val="24"/>
              </w:rPr>
            </w:pPr>
            <w:r w:rsidRPr="00BC3CDD">
              <w:rPr>
                <w:b/>
                <w:sz w:val="24"/>
                <w:szCs w:val="24"/>
              </w:rPr>
              <w:t>477 0</w:t>
            </w:r>
            <w:r w:rsidR="00755683" w:rsidRPr="00BC3CD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78" w:type="dxa"/>
          </w:tcPr>
          <w:p w:rsidR="00755683" w:rsidRPr="00BC3CDD" w:rsidRDefault="0014716F" w:rsidP="00953CAF">
            <w:pPr>
              <w:jc w:val="right"/>
              <w:rPr>
                <w:b/>
                <w:sz w:val="24"/>
                <w:szCs w:val="24"/>
              </w:rPr>
            </w:pPr>
            <w:r w:rsidRPr="00BC3CDD">
              <w:rPr>
                <w:b/>
                <w:sz w:val="24"/>
                <w:szCs w:val="24"/>
              </w:rPr>
              <w:t>404 000</w:t>
            </w:r>
          </w:p>
        </w:tc>
        <w:tc>
          <w:tcPr>
            <w:tcW w:w="1491" w:type="dxa"/>
          </w:tcPr>
          <w:p w:rsidR="00755683" w:rsidRPr="00BC3CDD" w:rsidRDefault="0014716F" w:rsidP="00953CAF">
            <w:pPr>
              <w:jc w:val="right"/>
              <w:rPr>
                <w:b/>
                <w:sz w:val="24"/>
                <w:szCs w:val="24"/>
              </w:rPr>
            </w:pPr>
            <w:r w:rsidRPr="00BC3CDD">
              <w:rPr>
                <w:b/>
                <w:sz w:val="24"/>
                <w:szCs w:val="24"/>
              </w:rPr>
              <w:t>403 000</w:t>
            </w:r>
          </w:p>
        </w:tc>
      </w:tr>
    </w:tbl>
    <w:p w:rsidR="00755683" w:rsidRPr="00BC3CDD" w:rsidRDefault="00755683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A9" w:rsidRPr="00BC3CDD" w:rsidRDefault="002513A9" w:rsidP="00C021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 xml:space="preserve">Personálne obsadenie HC </w:t>
      </w:r>
      <w:r w:rsidR="00953CAF" w:rsidRPr="00BC3CDD">
        <w:rPr>
          <w:rFonts w:ascii="Times New Roman" w:hAnsi="Times New Roman" w:cs="Times New Roman"/>
          <w:b/>
          <w:sz w:val="24"/>
          <w:szCs w:val="24"/>
        </w:rPr>
        <w:t xml:space="preserve"> 450</w:t>
      </w:r>
      <w:r w:rsidR="007260E8" w:rsidRPr="00BC3CDD">
        <w:rPr>
          <w:rFonts w:ascii="Times New Roman" w:hAnsi="Times New Roman" w:cs="Times New Roman"/>
          <w:b/>
          <w:sz w:val="24"/>
          <w:szCs w:val="24"/>
        </w:rPr>
        <w:t> </w:t>
      </w:r>
      <w:r w:rsidR="00953CAF" w:rsidRPr="00BC3CDD">
        <w:rPr>
          <w:rFonts w:ascii="Times New Roman" w:hAnsi="Times New Roman" w:cs="Times New Roman"/>
          <w:b/>
          <w:sz w:val="24"/>
          <w:szCs w:val="24"/>
        </w:rPr>
        <w:t>000</w:t>
      </w:r>
      <w:r w:rsidR="007260E8" w:rsidRPr="00BC3CDD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953CAF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6A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87A" w:rsidRPr="00BC3CDD" w:rsidRDefault="002943BD" w:rsidP="0029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</w:t>
      </w:r>
      <w:r w:rsidR="00755683" w:rsidRPr="00BC3CDD">
        <w:rPr>
          <w:rFonts w:ascii="Times New Roman" w:hAnsi="Times New Roman" w:cs="Times New Roman"/>
          <w:sz w:val="24"/>
          <w:szCs w:val="24"/>
        </w:rPr>
        <w:t> </w:t>
      </w:r>
      <w:r w:rsidRPr="00BC3CDD">
        <w:rPr>
          <w:rFonts w:ascii="Times New Roman" w:hAnsi="Times New Roman" w:cs="Times New Roman"/>
          <w:sz w:val="24"/>
          <w:szCs w:val="24"/>
        </w:rPr>
        <w:t>tom:</w:t>
      </w:r>
      <w:r w:rsidR="00F3105F" w:rsidRP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87A" w:rsidRPr="00BC3CDD" w:rsidRDefault="002943BD" w:rsidP="00E0087A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C3CDD">
        <w:rPr>
          <w:rFonts w:ascii="Times New Roman" w:hAnsi="Times New Roman" w:cs="Times New Roman"/>
        </w:rPr>
        <w:t xml:space="preserve">Personálne obsadenie rok 2017 </w:t>
      </w:r>
      <w:r w:rsidRPr="00BC3CDD">
        <w:rPr>
          <w:rFonts w:ascii="Times New Roman" w:hAnsi="Times New Roman" w:cs="Times New Roman"/>
          <w:b/>
        </w:rPr>
        <w:t xml:space="preserve">150 000 eur </w:t>
      </w:r>
      <w:r w:rsidRPr="00BC3CDD">
        <w:rPr>
          <w:rFonts w:ascii="Times New Roman" w:hAnsi="Times New Roman" w:cs="Times New Roman"/>
          <w:i/>
        </w:rPr>
        <w:t xml:space="preserve">(v tom </w:t>
      </w:r>
      <w:r w:rsidR="00E0087A" w:rsidRPr="00BC3CDD">
        <w:rPr>
          <w:rFonts w:ascii="Times New Roman" w:hAnsi="Times New Roman" w:cs="Times New Roman"/>
          <w:i/>
        </w:rPr>
        <w:t xml:space="preserve">111 152 eur mzdy a </w:t>
      </w:r>
      <w:r w:rsidRPr="00BC3CDD">
        <w:rPr>
          <w:rFonts w:ascii="Times New Roman" w:hAnsi="Times New Roman" w:cs="Times New Roman"/>
          <w:i/>
        </w:rPr>
        <w:t>34,95% poistné</w:t>
      </w:r>
      <w:r w:rsidR="009B436B" w:rsidRPr="00BC3CDD">
        <w:rPr>
          <w:rFonts w:ascii="Times New Roman" w:hAnsi="Times New Roman" w:cs="Times New Roman"/>
          <w:i/>
        </w:rPr>
        <w:t xml:space="preserve"> </w:t>
      </w:r>
      <w:r w:rsidR="00E0087A" w:rsidRPr="00BC3CDD">
        <w:rPr>
          <w:rFonts w:ascii="Times New Roman" w:hAnsi="Times New Roman" w:cs="Times New Roman"/>
          <w:i/>
        </w:rPr>
        <w:t>38 848</w:t>
      </w:r>
      <w:r w:rsidRPr="00BC3CDD">
        <w:rPr>
          <w:rFonts w:ascii="Times New Roman" w:hAnsi="Times New Roman" w:cs="Times New Roman"/>
          <w:i/>
        </w:rPr>
        <w:t xml:space="preserve"> eur)</w:t>
      </w:r>
    </w:p>
    <w:p w:rsidR="002943BD" w:rsidRPr="00BC3CDD" w:rsidRDefault="002943BD" w:rsidP="00E0087A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C3CDD">
        <w:rPr>
          <w:rFonts w:ascii="Times New Roman" w:hAnsi="Times New Roman" w:cs="Times New Roman"/>
        </w:rPr>
        <w:t xml:space="preserve">Personálne obsadenie rok 2018 </w:t>
      </w:r>
      <w:r w:rsidRPr="00BC3CDD">
        <w:rPr>
          <w:rFonts w:ascii="Times New Roman" w:hAnsi="Times New Roman" w:cs="Times New Roman"/>
          <w:b/>
        </w:rPr>
        <w:t>150 000 eur</w:t>
      </w:r>
      <w:r w:rsidRPr="00BC3CDD">
        <w:rPr>
          <w:rFonts w:ascii="Times New Roman" w:hAnsi="Times New Roman" w:cs="Times New Roman"/>
          <w:b/>
          <w:i/>
        </w:rPr>
        <w:t xml:space="preserve"> </w:t>
      </w:r>
      <w:r w:rsidRPr="00BC3CDD">
        <w:rPr>
          <w:rFonts w:ascii="Times New Roman" w:hAnsi="Times New Roman" w:cs="Times New Roman"/>
          <w:i/>
        </w:rPr>
        <w:t>(</w:t>
      </w:r>
      <w:r w:rsidR="00E0087A" w:rsidRPr="00BC3CDD">
        <w:rPr>
          <w:rFonts w:ascii="Times New Roman" w:hAnsi="Times New Roman" w:cs="Times New Roman"/>
          <w:i/>
        </w:rPr>
        <w:t>v tom 111 152 eur mzdy a 34,95% poistné 38 848 eur</w:t>
      </w:r>
      <w:r w:rsidRPr="00BC3CDD">
        <w:rPr>
          <w:rFonts w:ascii="Times New Roman" w:hAnsi="Times New Roman" w:cs="Times New Roman"/>
          <w:i/>
        </w:rPr>
        <w:t>)</w:t>
      </w:r>
    </w:p>
    <w:p w:rsidR="007260E8" w:rsidRPr="00BC3CDD" w:rsidRDefault="002943BD" w:rsidP="0075568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BC3CDD">
        <w:rPr>
          <w:rFonts w:ascii="Times New Roman" w:hAnsi="Times New Roman" w:cs="Times New Roman"/>
        </w:rPr>
        <w:t xml:space="preserve">Personálne obsadenie rok </w:t>
      </w:r>
      <w:r w:rsidR="00755683" w:rsidRPr="00BC3CDD">
        <w:rPr>
          <w:rFonts w:ascii="Times New Roman" w:hAnsi="Times New Roman" w:cs="Times New Roman"/>
        </w:rPr>
        <w:t xml:space="preserve">2019 </w:t>
      </w:r>
      <w:r w:rsidR="00755683" w:rsidRPr="00BC3CDD">
        <w:rPr>
          <w:rFonts w:ascii="Times New Roman" w:hAnsi="Times New Roman" w:cs="Times New Roman"/>
          <w:b/>
        </w:rPr>
        <w:t>150</w:t>
      </w:r>
      <w:r w:rsidRPr="00BC3CDD">
        <w:rPr>
          <w:rFonts w:ascii="Times New Roman" w:hAnsi="Times New Roman" w:cs="Times New Roman"/>
          <w:b/>
        </w:rPr>
        <w:t xml:space="preserve"> 000 eur </w:t>
      </w:r>
      <w:r w:rsidR="00755683" w:rsidRPr="00BC3CDD">
        <w:rPr>
          <w:rFonts w:ascii="Times New Roman" w:hAnsi="Times New Roman" w:cs="Times New Roman"/>
          <w:i/>
        </w:rPr>
        <w:t>(v tom 111 152 eur mzdy a 34,95% poistné 38 848 eur)</w:t>
      </w:r>
    </w:p>
    <w:p w:rsidR="007459D8" w:rsidRPr="00BC3CDD" w:rsidRDefault="007459D8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c) určenie kontrolnej právomoci Úradu vlády</w:t>
      </w:r>
      <w:r w:rsidR="00152393" w:rsidRPr="00BC3CDD">
        <w:rPr>
          <w:rFonts w:ascii="Times New Roman" w:hAnsi="Times New Roman" w:cs="Times New Roman"/>
          <w:b/>
          <w:sz w:val="24"/>
          <w:szCs w:val="24"/>
        </w:rPr>
        <w:t xml:space="preserve"> SR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v oblast</w:t>
      </w:r>
      <w:r w:rsidR="008F1586" w:rsidRPr="00BC3CDD">
        <w:rPr>
          <w:rFonts w:ascii="Times New Roman" w:hAnsi="Times New Roman" w:cs="Times New Roman"/>
          <w:b/>
          <w:sz w:val="24"/>
          <w:szCs w:val="24"/>
        </w:rPr>
        <w:t>i štátnozamestnaneckých vzťahov</w:t>
      </w:r>
    </w:p>
    <w:p w:rsidR="00152393" w:rsidRPr="00BC3CDD" w:rsidRDefault="001433E0" w:rsidP="001433E0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CDD">
        <w:rPr>
          <w:rFonts w:ascii="Times New Roman" w:eastAsia="Calibri" w:hAnsi="Times New Roman" w:cs="Times New Roman"/>
          <w:sz w:val="24"/>
          <w:szCs w:val="24"/>
        </w:rPr>
        <w:t>Návrh zákona zavádza kontrolnú pôsobnosť Úradu vlády SR vo vzťahu k dodržiavaniu tohto zákona, všeobecne záväzných právnych predpisov vydaných na jeho vykonanie a služobných predpisov vykonáva v každom služobnom úrade úrad vlády. Nadriadený služobný úrad taktiež môže vykonať v služobnom úrade kontrolu dodržiavania zákona o štátnej službe. Nakoľko sa jedná o fakultatívnu možnosť pre služobné úrady, v tejto súvislosti služobným úradom nevznikajú zvýšené personálne ani iné výdavky spojené s touto činnosťou.</w:t>
      </w:r>
      <w:r w:rsidR="00BC3CDD">
        <w:rPr>
          <w:rFonts w:ascii="Times New Roman" w:eastAsia="Calibri" w:hAnsi="Times New Roman" w:cs="Times New Roman"/>
          <w:sz w:val="24"/>
          <w:szCs w:val="24"/>
        </w:rPr>
        <w:t xml:space="preserve"> Navyše podľa dostupných informácií niektoré služobné úrady už teraz vykonávajú kontrolu vo vzťahu k podriadeným organizáciám.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 xml:space="preserve">Ad d) zavedenie príplatku za výkon činnosti mentora 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Na uvedený príplatok má nárok štát</w:t>
      </w:r>
      <w:r w:rsidR="004963B5" w:rsidRPr="00BC3CDD">
        <w:rPr>
          <w:rFonts w:ascii="Times New Roman" w:hAnsi="Times New Roman" w:cs="Times New Roman"/>
          <w:sz w:val="24"/>
          <w:szCs w:val="24"/>
        </w:rPr>
        <w:t xml:space="preserve">ny zamestnanec, ktorý </w:t>
      </w:r>
      <w:r w:rsidR="004963B5" w:rsidRPr="00BC3CDD">
        <w:rPr>
          <w:rFonts w:ascii="Times New Roman" w:hAnsi="Times New Roman" w:cs="Times New Roman"/>
          <w:sz w:val="24"/>
          <w:szCs w:val="24"/>
        </w:rPr>
        <w:tab/>
        <w:t xml:space="preserve">vykonáva </w:t>
      </w:r>
      <w:r w:rsidRPr="00BC3CDD">
        <w:rPr>
          <w:rFonts w:ascii="Times New Roman" w:hAnsi="Times New Roman" w:cs="Times New Roman"/>
          <w:sz w:val="24"/>
          <w:szCs w:val="24"/>
        </w:rPr>
        <w:t>prípravu štátneho zamestnanca počas adaptačného vzdelávania, a to vo výške 10 % z</w:t>
      </w:r>
      <w:r w:rsidR="00152393" w:rsidRPr="00BC3CDD">
        <w:rPr>
          <w:rFonts w:ascii="Times New Roman" w:hAnsi="Times New Roman" w:cs="Times New Roman"/>
          <w:sz w:val="24"/>
          <w:szCs w:val="24"/>
        </w:rPr>
        <w:t>o svojej</w:t>
      </w:r>
      <w:r w:rsidRPr="00BC3CDD">
        <w:rPr>
          <w:rFonts w:ascii="Times New Roman" w:hAnsi="Times New Roman" w:cs="Times New Roman"/>
          <w:sz w:val="24"/>
          <w:szCs w:val="24"/>
        </w:rPr>
        <w:t xml:space="preserve"> príslušnej platovej tarify, ak pripravuje jedného štátneho zamestnanca, alebo vo výške 15 % z</w:t>
      </w:r>
      <w:r w:rsidR="00152393" w:rsidRPr="00BC3CDD">
        <w:rPr>
          <w:rFonts w:ascii="Times New Roman" w:hAnsi="Times New Roman" w:cs="Times New Roman"/>
          <w:sz w:val="24"/>
          <w:szCs w:val="24"/>
        </w:rPr>
        <w:t>o svojej</w:t>
      </w:r>
      <w:r w:rsidRPr="00BC3CDD">
        <w:rPr>
          <w:rFonts w:ascii="Times New Roman" w:hAnsi="Times New Roman" w:cs="Times New Roman"/>
          <w:sz w:val="24"/>
          <w:szCs w:val="24"/>
        </w:rPr>
        <w:t xml:space="preserve"> príslušnej platovej tarify, ak pripravuje súčasne dvoch a viacerých štátnych zamestnancov.</w:t>
      </w:r>
    </w:p>
    <w:p w:rsidR="00C021B6" w:rsidRPr="00BC3CDD" w:rsidRDefault="00C021B6" w:rsidP="00152393">
      <w:pPr>
        <w:pStyle w:val="Odsekzoznamu"/>
        <w:spacing w:line="276" w:lineRule="auto"/>
        <w:ind w:left="0"/>
        <w:jc w:val="both"/>
      </w:pPr>
      <w:r w:rsidRPr="00BC3CDD">
        <w:t>Príplatok za výkon činnosti mentora sa poskytuje štátnemu zamestnancovi za čas  prípravy štátneho zamestnanca počas adaptačného vzdelávania, ktorý trvá 3 mesiace a je totožný so skúšob</w:t>
      </w:r>
      <w:r w:rsidR="00152393" w:rsidRPr="00BC3CDD">
        <w:t>nou dobou štátneho zamestnanca.</w:t>
      </w:r>
    </w:p>
    <w:p w:rsidR="00152393" w:rsidRPr="00BC3CDD" w:rsidRDefault="00152393" w:rsidP="00152393">
      <w:pPr>
        <w:pStyle w:val="Odsekzoznamu"/>
        <w:spacing w:line="276" w:lineRule="auto"/>
        <w:ind w:left="0"/>
        <w:jc w:val="both"/>
      </w:pP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  údajov </w:t>
      </w:r>
      <w:r w:rsidR="00152393" w:rsidRPr="00BC3CDD">
        <w:rPr>
          <w:rFonts w:ascii="Times New Roman" w:hAnsi="Times New Roman" w:cs="Times New Roman"/>
          <w:bCs/>
          <w:sz w:val="24"/>
          <w:szCs w:val="24"/>
        </w:rPr>
        <w:t xml:space="preserve">zistených Úradom vlády SR </w:t>
      </w:r>
      <w:r w:rsidRPr="00BC3CDD">
        <w:rPr>
          <w:rFonts w:ascii="Times New Roman" w:hAnsi="Times New Roman" w:cs="Times New Roman"/>
          <w:bCs/>
          <w:sz w:val="24"/>
          <w:szCs w:val="24"/>
        </w:rPr>
        <w:t>vyplýva</w:t>
      </w:r>
      <w:r w:rsidRPr="00BC3CDD">
        <w:rPr>
          <w:rFonts w:ascii="Times New Roman" w:hAnsi="Times New Roman" w:cs="Times New Roman"/>
          <w:sz w:val="24"/>
          <w:szCs w:val="24"/>
        </w:rPr>
        <w:t>, že za rok 20</w:t>
      </w:r>
      <w:r w:rsidR="00152393" w:rsidRPr="00BC3CDD">
        <w:rPr>
          <w:rFonts w:ascii="Times New Roman" w:hAnsi="Times New Roman" w:cs="Times New Roman"/>
          <w:sz w:val="24"/>
          <w:szCs w:val="24"/>
        </w:rPr>
        <w:t>15</w:t>
      </w:r>
      <w:r w:rsidRPr="00BC3CDD">
        <w:rPr>
          <w:rFonts w:ascii="Times New Roman" w:hAnsi="Times New Roman" w:cs="Times New Roman"/>
          <w:sz w:val="24"/>
          <w:szCs w:val="24"/>
        </w:rPr>
        <w:t xml:space="preserve"> bolo do št</w:t>
      </w:r>
      <w:r w:rsidR="00152393" w:rsidRPr="00BC3CDD">
        <w:rPr>
          <w:rFonts w:ascii="Times New Roman" w:hAnsi="Times New Roman" w:cs="Times New Roman"/>
          <w:sz w:val="24"/>
          <w:szCs w:val="24"/>
        </w:rPr>
        <w:t>átnej služby prijatých celkovo 6 790</w:t>
      </w:r>
      <w:r w:rsidRPr="00BC3CDD">
        <w:rPr>
          <w:rFonts w:ascii="Times New Roman" w:hAnsi="Times New Roman" w:cs="Times New Roman"/>
          <w:sz w:val="24"/>
          <w:szCs w:val="24"/>
        </w:rPr>
        <w:t xml:space="preserve"> štátnych zamestnancov.</w:t>
      </w:r>
      <w:r w:rsidR="00471554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300E9E" w:rsidRPr="00BC3CDD">
        <w:rPr>
          <w:rFonts w:ascii="Times New Roman" w:hAnsi="Times New Roman" w:cs="Times New Roman"/>
          <w:sz w:val="24"/>
          <w:szCs w:val="24"/>
        </w:rPr>
        <w:t>Nakoľko jeden mentor môže mentorovať aj 2 a viac štátnych zamestnancov súčasne, p</w:t>
      </w:r>
      <w:r w:rsidR="00471554" w:rsidRPr="00BC3CDD">
        <w:rPr>
          <w:rFonts w:ascii="Times New Roman" w:hAnsi="Times New Roman" w:cs="Times New Roman"/>
          <w:sz w:val="24"/>
          <w:szCs w:val="24"/>
        </w:rPr>
        <w:t xml:space="preserve">redpokladaný vplyv je odhadovaný na 3 900 </w:t>
      </w:r>
      <w:r w:rsidR="00300E9E" w:rsidRPr="00BC3CDD">
        <w:rPr>
          <w:rFonts w:ascii="Times New Roman" w:hAnsi="Times New Roman" w:cs="Times New Roman"/>
          <w:sz w:val="24"/>
          <w:szCs w:val="24"/>
        </w:rPr>
        <w:t>osôb.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Vplyv zavedenia tohto inštitútu na štátny rozpočet </w:t>
      </w:r>
      <w:r w:rsidR="00331E42" w:rsidRPr="00BC3CDD">
        <w:rPr>
          <w:rFonts w:ascii="Times New Roman" w:hAnsi="Times New Roman" w:cs="Times New Roman"/>
          <w:sz w:val="24"/>
          <w:szCs w:val="24"/>
        </w:rPr>
        <w:t xml:space="preserve">by mohol predstavovať </w:t>
      </w:r>
      <w:r w:rsidR="0018589F" w:rsidRPr="00BC3CDD">
        <w:rPr>
          <w:rFonts w:ascii="Times New Roman" w:hAnsi="Times New Roman" w:cs="Times New Roman"/>
          <w:sz w:val="24"/>
          <w:szCs w:val="24"/>
        </w:rPr>
        <w:t xml:space="preserve">na rok 2017 sumu </w:t>
      </w:r>
      <w:r w:rsidR="0018589F" w:rsidRPr="00BC3CDD">
        <w:rPr>
          <w:rFonts w:ascii="Times New Roman" w:hAnsi="Times New Roman" w:cs="Times New Roman"/>
          <w:b/>
          <w:sz w:val="24"/>
          <w:szCs w:val="24"/>
        </w:rPr>
        <w:t>637 54</w:t>
      </w:r>
      <w:r w:rsidR="006D0608" w:rsidRPr="00BC3CDD">
        <w:rPr>
          <w:rFonts w:ascii="Times New Roman" w:hAnsi="Times New Roman" w:cs="Times New Roman"/>
          <w:b/>
          <w:sz w:val="24"/>
          <w:szCs w:val="24"/>
        </w:rPr>
        <w:t>8</w:t>
      </w:r>
      <w:r w:rsidR="0018589F" w:rsidRPr="00BC3CDD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18589F" w:rsidRPr="00BC3CDD">
        <w:rPr>
          <w:rFonts w:ascii="Times New Roman" w:hAnsi="Times New Roman" w:cs="Times New Roman"/>
          <w:sz w:val="24"/>
          <w:szCs w:val="24"/>
        </w:rPr>
        <w:t xml:space="preserve"> (v tom</w:t>
      </w:r>
      <w:r w:rsidR="006D0608" w:rsidRPr="00BC3CDD">
        <w:rPr>
          <w:rFonts w:ascii="Times New Roman" w:hAnsi="Times New Roman" w:cs="Times New Roman"/>
          <w:sz w:val="24"/>
          <w:szCs w:val="24"/>
        </w:rPr>
        <w:t xml:space="preserve"> 472 432,8 eur hrubá mzda a poistné (34,95%) 165 115,26 eur) a na nasledujúce roky 2018 a 2019 sumu </w:t>
      </w:r>
      <w:r w:rsidR="008D2E71" w:rsidRPr="00BC3CDD">
        <w:rPr>
          <w:rFonts w:ascii="Times New Roman" w:hAnsi="Times New Roman" w:cs="Times New Roman"/>
          <w:b/>
          <w:sz w:val="24"/>
          <w:szCs w:val="24"/>
        </w:rPr>
        <w:t>1 092 939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Pr="00BC3CDD">
        <w:rPr>
          <w:rFonts w:ascii="Times New Roman" w:hAnsi="Times New Roman" w:cs="Times New Roman"/>
          <w:sz w:val="24"/>
          <w:szCs w:val="24"/>
        </w:rPr>
        <w:t xml:space="preserve"> na </w:t>
      </w:r>
      <w:r w:rsidR="00331E42" w:rsidRPr="00BC3CDD">
        <w:rPr>
          <w:rFonts w:ascii="Times New Roman" w:hAnsi="Times New Roman" w:cs="Times New Roman"/>
          <w:sz w:val="24"/>
          <w:szCs w:val="24"/>
        </w:rPr>
        <w:t>1</w:t>
      </w:r>
      <w:r w:rsidRPr="00BC3CDD">
        <w:rPr>
          <w:rFonts w:ascii="Times New Roman" w:hAnsi="Times New Roman" w:cs="Times New Roman"/>
          <w:sz w:val="24"/>
          <w:szCs w:val="24"/>
        </w:rPr>
        <w:t xml:space="preserve"> rok</w:t>
      </w:r>
      <w:r w:rsidR="0018589F" w:rsidRPr="00BC3CDD">
        <w:rPr>
          <w:rFonts w:ascii="Times New Roman" w:hAnsi="Times New Roman" w:cs="Times New Roman"/>
          <w:sz w:val="24"/>
          <w:szCs w:val="24"/>
        </w:rPr>
        <w:t>.</w:t>
      </w:r>
      <w:r w:rsidRPr="00BC3CDD">
        <w:rPr>
          <w:rFonts w:ascii="Times New Roman" w:hAnsi="Times New Roman" w:cs="Times New Roman"/>
          <w:sz w:val="24"/>
          <w:szCs w:val="24"/>
        </w:rPr>
        <w:t xml:space="preserve"> Táto suma predstavuje súhrn hrubej mzdy - </w:t>
      </w:r>
      <w:r w:rsidR="008D2E71" w:rsidRPr="00BC3CDD">
        <w:rPr>
          <w:rFonts w:ascii="Times New Roman" w:hAnsi="Times New Roman" w:cs="Times New Roman"/>
          <w:sz w:val="24"/>
          <w:szCs w:val="24"/>
        </w:rPr>
        <w:t xml:space="preserve">809 884,8 eur </w:t>
      </w:r>
      <w:r w:rsidR="000339C6" w:rsidRPr="00BC3CDD">
        <w:rPr>
          <w:rFonts w:ascii="Times New Roman" w:hAnsi="Times New Roman" w:cs="Times New Roman"/>
          <w:sz w:val="24"/>
          <w:szCs w:val="24"/>
        </w:rPr>
        <w:t xml:space="preserve"> a </w:t>
      </w:r>
      <w:r w:rsidRPr="00BC3CDD">
        <w:rPr>
          <w:rFonts w:ascii="Times New Roman" w:hAnsi="Times New Roman" w:cs="Times New Roman"/>
          <w:sz w:val="24"/>
          <w:szCs w:val="24"/>
        </w:rPr>
        <w:t xml:space="preserve">poistného </w:t>
      </w:r>
      <w:r w:rsidR="000339C6" w:rsidRPr="00BC3CDD">
        <w:rPr>
          <w:rFonts w:ascii="Times New Roman" w:hAnsi="Times New Roman" w:cs="Times New Roman"/>
          <w:sz w:val="24"/>
          <w:szCs w:val="24"/>
        </w:rPr>
        <w:t xml:space="preserve">(34,95 %) </w:t>
      </w:r>
      <w:r w:rsidR="008D2E71" w:rsidRPr="00BC3CDD">
        <w:rPr>
          <w:rFonts w:ascii="Times New Roman" w:hAnsi="Times New Roman" w:cs="Times New Roman"/>
          <w:sz w:val="24"/>
          <w:szCs w:val="24"/>
        </w:rPr>
        <w:t>–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8D2E71" w:rsidRPr="00BC3CDD">
        <w:rPr>
          <w:rFonts w:ascii="Times New Roman" w:hAnsi="Times New Roman" w:cs="Times New Roman"/>
          <w:sz w:val="24"/>
          <w:szCs w:val="24"/>
        </w:rPr>
        <w:t>283 054,74</w:t>
      </w:r>
      <w:r w:rsidRPr="00BC3CDD">
        <w:rPr>
          <w:rFonts w:ascii="Times New Roman" w:hAnsi="Times New Roman" w:cs="Times New Roman"/>
          <w:sz w:val="24"/>
          <w:szCs w:val="24"/>
        </w:rPr>
        <w:t xml:space="preserve"> eur.</w:t>
      </w:r>
      <w:r w:rsidR="0018589F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18589F" w:rsidRPr="00BC3CDD">
        <w:rPr>
          <w:rFonts w:ascii="Times New Roman" w:hAnsi="Times New Roman" w:cs="Times New Roman"/>
          <w:sz w:val="24"/>
          <w:szCs w:val="24"/>
        </w:rPr>
        <w:t>Prípadné zvýšené výdavky si jednotlivé rozpočtové kapitoly zabezpečia v rámci schválených limitov výdavkov jednotlivých kapitol štátneho rozpočtu na príslušný rozpočtový rok</w:t>
      </w:r>
      <w:r w:rsidRPr="00BC3CDD">
        <w:rPr>
          <w:rFonts w:ascii="Times New Roman" w:hAnsi="Times New Roman" w:cs="Times New Roman"/>
          <w:sz w:val="24"/>
          <w:szCs w:val="24"/>
        </w:rPr>
        <w:t>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 xml:space="preserve">Ad e) zavedenie </w:t>
      </w:r>
      <w:r w:rsidR="00587A82" w:rsidRPr="00BC3CDD">
        <w:rPr>
          <w:rFonts w:ascii="Times New Roman" w:hAnsi="Times New Roman" w:cs="Times New Roman"/>
          <w:b/>
          <w:sz w:val="24"/>
          <w:szCs w:val="24"/>
        </w:rPr>
        <w:t xml:space="preserve">príplatku 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k náhrade príjmu </w:t>
      </w:r>
      <w:r w:rsidR="00587A82" w:rsidRPr="00BC3CDD">
        <w:rPr>
          <w:rFonts w:ascii="Times New Roman" w:hAnsi="Times New Roman" w:cs="Times New Roman"/>
          <w:b/>
          <w:sz w:val="24"/>
          <w:szCs w:val="24"/>
        </w:rPr>
        <w:t>pri dočasnej pracovnej neschopnosti</w:t>
      </w:r>
    </w:p>
    <w:p w:rsidR="00C021B6" w:rsidRPr="00BC3CDD" w:rsidRDefault="00C021B6" w:rsidP="00CF4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587A82" w:rsidRPr="00BC3CDD">
        <w:rPr>
          <w:rFonts w:ascii="Times New Roman" w:hAnsi="Times New Roman" w:cs="Times New Roman"/>
          <w:sz w:val="24"/>
          <w:szCs w:val="24"/>
        </w:rPr>
        <w:t>príplatok k náhrade príjmu pri dočasnej pracovnej neschopnosti</w:t>
      </w:r>
      <w:r w:rsidRPr="00BC3CDD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587A82" w:rsidRPr="00BC3CDD">
        <w:rPr>
          <w:rFonts w:ascii="Times New Roman" w:hAnsi="Times New Roman" w:cs="Times New Roman"/>
          <w:sz w:val="24"/>
          <w:szCs w:val="24"/>
        </w:rPr>
        <w:t>príplatok</w:t>
      </w:r>
      <w:r w:rsidRPr="00BC3CDD">
        <w:rPr>
          <w:rFonts w:ascii="Times New Roman" w:hAnsi="Times New Roman" w:cs="Times New Roman"/>
          <w:sz w:val="24"/>
          <w:szCs w:val="24"/>
        </w:rPr>
        <w:t xml:space="preserve"> k náhrade príjmu“)  má nárok štátny zamestnanec, ktorý bol uznaný pre chorobu alebo úraz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za dočasne práceneschopného na výkon štátnej služby a vznikol mu nárok na náhradu príjmu podľa osobitného predpisu.  </w:t>
      </w:r>
      <w:r w:rsidR="00587A82" w:rsidRPr="00BC3CDD">
        <w:rPr>
          <w:rFonts w:ascii="Times New Roman" w:hAnsi="Times New Roman" w:cs="Times New Roman"/>
          <w:bCs/>
          <w:sz w:val="24"/>
          <w:szCs w:val="24"/>
        </w:rPr>
        <w:t>Príplatok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k náhrade príjmu sa poskytne najviac </w:t>
      </w:r>
      <w:r w:rsidR="00CD363C" w:rsidRPr="00BC3CDD">
        <w:rPr>
          <w:rFonts w:ascii="Times New Roman" w:hAnsi="Times New Roman" w:cs="Times New Roman"/>
          <w:bCs/>
          <w:sz w:val="24"/>
          <w:szCs w:val="24"/>
        </w:rPr>
        <w:t>10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6AE" w:rsidRPr="00BC3CDD">
        <w:rPr>
          <w:rFonts w:ascii="Times New Roman" w:hAnsi="Times New Roman" w:cs="Times New Roman"/>
          <w:bCs/>
          <w:sz w:val="24"/>
          <w:szCs w:val="24"/>
        </w:rPr>
        <w:t>kalendárnych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dní v kalendárnom roku, vo výške rozdielu medzi funkčným platom po odpočítaní preddavku na daň z príjmov zo závislej činnosti, </w:t>
      </w:r>
      <w:r w:rsidRPr="00BC3CDD">
        <w:rPr>
          <w:rFonts w:ascii="Times New Roman" w:hAnsi="Times New Roman" w:cs="Times New Roman"/>
          <w:sz w:val="24"/>
          <w:szCs w:val="24"/>
        </w:rPr>
        <w:t xml:space="preserve">preddavku poistného na verejné </w:t>
      </w:r>
      <w:r w:rsidRPr="00BC3CDD">
        <w:rPr>
          <w:rFonts w:ascii="Times New Roman" w:hAnsi="Times New Roman" w:cs="Times New Roman"/>
          <w:bCs/>
          <w:sz w:val="24"/>
          <w:szCs w:val="24"/>
        </w:rPr>
        <w:t>zdravotné poistenie, poistného na nemocenské poistenie, poistného na starobné poistenie, poistného na invalidné poistenie, poistného na poistenie v nezamestnanosti a</w:t>
      </w:r>
      <w:r w:rsidR="00CF479F" w:rsidRPr="00BC3CDD">
        <w:rPr>
          <w:rFonts w:ascii="Times New Roman" w:hAnsi="Times New Roman" w:cs="Times New Roman"/>
          <w:bCs/>
          <w:sz w:val="24"/>
          <w:szCs w:val="24"/>
        </w:rPr>
        <w:t xml:space="preserve"> poskytnutou náhradou príjmu. 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Nie je možné vopred kvantifikovať po</w:t>
      </w:r>
      <w:r w:rsidR="000339C6" w:rsidRPr="00BC3CDD">
        <w:rPr>
          <w:rFonts w:ascii="Times New Roman" w:hAnsi="Times New Roman" w:cs="Times New Roman"/>
          <w:sz w:val="24"/>
          <w:szCs w:val="24"/>
        </w:rPr>
        <w:t>čet štátnych zamestnancov, ktorí</w:t>
      </w:r>
      <w:r w:rsidRPr="00BC3CDD">
        <w:rPr>
          <w:rFonts w:ascii="Times New Roman" w:hAnsi="Times New Roman" w:cs="Times New Roman"/>
          <w:sz w:val="24"/>
          <w:szCs w:val="24"/>
        </w:rPr>
        <w:t xml:space="preserve"> budú mať nárok na tento </w:t>
      </w:r>
      <w:r w:rsidR="00587A82" w:rsidRPr="00BC3CDD">
        <w:rPr>
          <w:rFonts w:ascii="Times New Roman" w:hAnsi="Times New Roman" w:cs="Times New Roman"/>
          <w:sz w:val="24"/>
          <w:szCs w:val="24"/>
        </w:rPr>
        <w:t>príplatok</w:t>
      </w:r>
      <w:r w:rsidRPr="00BC3CDD">
        <w:rPr>
          <w:rFonts w:ascii="Times New Roman" w:hAnsi="Times New Roman" w:cs="Times New Roman"/>
          <w:sz w:val="24"/>
          <w:szCs w:val="24"/>
        </w:rPr>
        <w:t xml:space="preserve"> k náhrade príjmu, pretože nie je možné vopred určiť, počet dní práceneschopnosti štátneho zamestnanca v kalendárnom roku. V tejto súvislosti však neočakávame dopad na štátny rozpočet z dôvodu, že osobné výdavky na štátneho zamestnanca sa rozpočtujú tak, aby pokryli výdavky na plný pracovný úväzok celoročne, takže ak sa štátnemu zamestnancovi má uhradiť</w:t>
      </w:r>
      <w:r w:rsidR="00587A82" w:rsidRPr="00BC3CDD">
        <w:rPr>
          <w:rFonts w:ascii="Times New Roman" w:hAnsi="Times New Roman" w:cs="Times New Roman"/>
          <w:sz w:val="24"/>
          <w:szCs w:val="24"/>
        </w:rPr>
        <w:t xml:space="preserve"> príplatok</w:t>
      </w:r>
      <w:r w:rsidRPr="00BC3CDD">
        <w:rPr>
          <w:rFonts w:ascii="Times New Roman" w:hAnsi="Times New Roman" w:cs="Times New Roman"/>
          <w:sz w:val="24"/>
          <w:szCs w:val="24"/>
        </w:rPr>
        <w:t xml:space="preserve"> k náhrade príjmu za </w:t>
      </w:r>
      <w:r w:rsidR="00CD363C" w:rsidRPr="00BC3CDD">
        <w:rPr>
          <w:rFonts w:ascii="Times New Roman" w:hAnsi="Times New Roman" w:cs="Times New Roman"/>
          <w:sz w:val="24"/>
          <w:szCs w:val="24"/>
        </w:rPr>
        <w:t>10</w:t>
      </w:r>
      <w:r w:rsidRPr="00BC3CDD">
        <w:rPr>
          <w:rFonts w:ascii="Times New Roman" w:hAnsi="Times New Roman" w:cs="Times New Roman"/>
          <w:sz w:val="24"/>
          <w:szCs w:val="24"/>
        </w:rPr>
        <w:t xml:space="preserve"> služobných dní, tieto prostriedky sú v rozpočte rozpočtované.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Výdavky sa v tomto prípade v rámci rozpočtu presunú z kategórie 610 (mzdy, platy, služobné príjmy a ostatné vyrovnania) do kategórie 640 (bežné transfery).</w:t>
      </w:r>
    </w:p>
    <w:p w:rsidR="00C021B6" w:rsidRPr="00BC3CDD" w:rsidRDefault="00BC3807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bCs/>
          <w:sz w:val="24"/>
          <w:szCs w:val="24"/>
        </w:rPr>
        <w:t>Ad f</w:t>
      </w:r>
      <w:r w:rsidR="00C021B6" w:rsidRPr="00BC3CDD">
        <w:rPr>
          <w:rFonts w:ascii="Times New Roman" w:hAnsi="Times New Roman" w:cs="Times New Roman"/>
          <w:b/>
          <w:bCs/>
          <w:sz w:val="24"/>
          <w:szCs w:val="24"/>
        </w:rPr>
        <w:t xml:space="preserve">) zavedenie 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odstupného pre odborníka, ktorý je dočasne potrebný na plnenie úloh štátnej služby</w:t>
      </w:r>
      <w:r w:rsidR="005D4BC1" w:rsidRPr="00BC3CDD">
        <w:rPr>
          <w:rFonts w:ascii="Times New Roman" w:hAnsi="Times New Roman" w:cs="Times New Roman"/>
          <w:b/>
          <w:sz w:val="24"/>
          <w:szCs w:val="24"/>
        </w:rPr>
        <w:t xml:space="preserve"> v nadväznosti na novú diferenciáciu odstupného v závislosti od dĺžky trvania štátnozamestnaneckého pomeru.</w:t>
      </w:r>
    </w:p>
    <w:p w:rsidR="00405F11" w:rsidRPr="00BC3CDD" w:rsidRDefault="00707964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Nový z</w:t>
      </w:r>
      <w:r w:rsidR="00C021B6" w:rsidRPr="00BC3CDD">
        <w:rPr>
          <w:rFonts w:ascii="Times New Roman" w:hAnsi="Times New Roman" w:cs="Times New Roman"/>
          <w:bCs/>
          <w:sz w:val="24"/>
          <w:szCs w:val="24"/>
        </w:rPr>
        <w:t xml:space="preserve">ákon o štátnej službe zavádza možnosť odstupného pre odborníka, ktorý je dočasne potrebný na plnenie úloh, 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ak jeho štátnozamestnanecký </w:t>
      </w:r>
      <w:r w:rsidR="00DA65E7" w:rsidRPr="00BC3CDD">
        <w:rPr>
          <w:rFonts w:ascii="Times New Roman" w:hAnsi="Times New Roman" w:cs="Times New Roman"/>
          <w:sz w:val="24"/>
          <w:szCs w:val="24"/>
        </w:rPr>
        <w:t xml:space="preserve">pomer </w:t>
      </w:r>
      <w:r w:rsidR="00C021B6" w:rsidRPr="00BC3CDD">
        <w:rPr>
          <w:rFonts w:ascii="Times New Roman" w:hAnsi="Times New Roman" w:cs="Times New Roman"/>
          <w:sz w:val="24"/>
          <w:szCs w:val="24"/>
        </w:rPr>
        <w:t>trval viac ako jeden rok.</w:t>
      </w:r>
      <w:r w:rsidR="005D4BC1" w:rsidRPr="00BC3CDD">
        <w:rPr>
          <w:rFonts w:ascii="Times New Roman" w:hAnsi="Times New Roman" w:cs="Times New Roman"/>
          <w:sz w:val="24"/>
          <w:szCs w:val="24"/>
        </w:rPr>
        <w:t xml:space="preserve"> V nadväznosti na zavádzanú novú diferenciáciu odstupného v závislosti od dĺžky trvania</w:t>
      </w:r>
      <w:r w:rsidR="00405F11" w:rsidRPr="00BC3CDD">
        <w:rPr>
          <w:rFonts w:ascii="Times New Roman" w:hAnsi="Times New Roman" w:cs="Times New Roman"/>
          <w:sz w:val="24"/>
          <w:szCs w:val="24"/>
        </w:rPr>
        <w:t xml:space="preserve"> štátnozamestnaneckého pomeru.</w:t>
      </w:r>
    </w:p>
    <w:p w:rsidR="00C021B6" w:rsidRPr="00BC3CDD" w:rsidRDefault="00405F11" w:rsidP="00C021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CDD">
        <w:rPr>
          <w:rFonts w:ascii="Times New Roman" w:hAnsi="Times New Roman" w:cs="Times New Roman"/>
          <w:sz w:val="24"/>
          <w:szCs w:val="24"/>
        </w:rPr>
        <w:t>Odborníkovi, ak jeho štátnozame</w:t>
      </w:r>
      <w:r w:rsidR="00C201D2" w:rsidRPr="00BC3CDD">
        <w:rPr>
          <w:rFonts w:ascii="Times New Roman" w:hAnsi="Times New Roman" w:cs="Times New Roman"/>
          <w:sz w:val="24"/>
          <w:szCs w:val="24"/>
        </w:rPr>
        <w:t xml:space="preserve">stnanecký pomer trval najmenej 1 </w:t>
      </w:r>
      <w:r w:rsidRPr="00BC3CDD">
        <w:rPr>
          <w:rFonts w:ascii="Times New Roman" w:hAnsi="Times New Roman" w:cs="Times New Roman"/>
          <w:sz w:val="24"/>
          <w:szCs w:val="24"/>
        </w:rPr>
        <w:t xml:space="preserve">rok a menej ako </w:t>
      </w:r>
      <w:r w:rsidR="00152CAF" w:rsidRPr="00BC3CDD">
        <w:rPr>
          <w:rFonts w:ascii="Times New Roman" w:hAnsi="Times New Roman" w:cs="Times New Roman"/>
          <w:sz w:val="24"/>
          <w:szCs w:val="24"/>
        </w:rPr>
        <w:t>2</w:t>
      </w:r>
      <w:r w:rsidRPr="00BC3CDD">
        <w:rPr>
          <w:rFonts w:ascii="Times New Roman" w:hAnsi="Times New Roman" w:cs="Times New Roman"/>
          <w:sz w:val="24"/>
          <w:szCs w:val="24"/>
        </w:rPr>
        <w:t xml:space="preserve"> roky, patrí odstupné v sume </w:t>
      </w:r>
      <w:r w:rsidR="00152CAF" w:rsidRPr="00BC3CDD">
        <w:rPr>
          <w:rFonts w:ascii="Times New Roman" w:hAnsi="Times New Roman" w:cs="Times New Roman"/>
          <w:sz w:val="24"/>
          <w:szCs w:val="24"/>
        </w:rPr>
        <w:t>2 násobku</w:t>
      </w:r>
      <w:r w:rsidRPr="00BC3CDD">
        <w:rPr>
          <w:rFonts w:ascii="Times New Roman" w:hAnsi="Times New Roman" w:cs="Times New Roman"/>
          <w:sz w:val="24"/>
          <w:szCs w:val="24"/>
        </w:rPr>
        <w:t xml:space="preserve"> funkčného platu, ktorý mu patril v čase, keď vznikol dôvod, na základe ktorého došlo k skončeniu štátnozamestnaneckého pomeru, ak jeho štátnozamestnanecký pomer trval najmenej </w:t>
      </w:r>
      <w:r w:rsidR="00152CAF" w:rsidRPr="00BC3CDD">
        <w:rPr>
          <w:rFonts w:ascii="Times New Roman" w:hAnsi="Times New Roman" w:cs="Times New Roman"/>
          <w:sz w:val="24"/>
          <w:szCs w:val="24"/>
        </w:rPr>
        <w:t xml:space="preserve">2 </w:t>
      </w:r>
      <w:r w:rsidRPr="00BC3CDD">
        <w:rPr>
          <w:rFonts w:ascii="Times New Roman" w:hAnsi="Times New Roman" w:cs="Times New Roman"/>
          <w:sz w:val="24"/>
          <w:szCs w:val="24"/>
        </w:rPr>
        <w:t xml:space="preserve">roky a menej ako </w:t>
      </w:r>
      <w:r w:rsidR="00152CAF" w:rsidRPr="00BC3CDD">
        <w:rPr>
          <w:rFonts w:ascii="Times New Roman" w:hAnsi="Times New Roman" w:cs="Times New Roman"/>
          <w:sz w:val="24"/>
          <w:szCs w:val="24"/>
        </w:rPr>
        <w:t>5</w:t>
      </w:r>
      <w:r w:rsidRPr="00BC3CDD">
        <w:rPr>
          <w:rFonts w:ascii="Times New Roman" w:hAnsi="Times New Roman" w:cs="Times New Roman"/>
          <w:sz w:val="24"/>
          <w:szCs w:val="24"/>
        </w:rPr>
        <w:t xml:space="preserve"> rokov, patrí mu odstupné v sume </w:t>
      </w:r>
      <w:r w:rsidR="00152CAF" w:rsidRPr="00BC3CDD">
        <w:rPr>
          <w:rFonts w:ascii="Times New Roman" w:hAnsi="Times New Roman" w:cs="Times New Roman"/>
          <w:sz w:val="24"/>
          <w:szCs w:val="24"/>
        </w:rPr>
        <w:t xml:space="preserve">3 </w:t>
      </w:r>
      <w:r w:rsidRPr="00BC3CDD">
        <w:rPr>
          <w:rFonts w:ascii="Times New Roman" w:hAnsi="Times New Roman" w:cs="Times New Roman"/>
          <w:sz w:val="24"/>
          <w:szCs w:val="24"/>
        </w:rPr>
        <w:t xml:space="preserve">násobku funkčného platu, ktorý mu patril v čase, keď vznikol dôvod, na základe ktorého došlo k skončeniu štátnozamestnaneckého pomeru, a ak jeho štátnozamestnanecký pomer trval najmenej </w:t>
      </w:r>
      <w:r w:rsidR="00152CAF" w:rsidRPr="00BC3CDD">
        <w:rPr>
          <w:rFonts w:ascii="Times New Roman" w:hAnsi="Times New Roman" w:cs="Times New Roman"/>
          <w:sz w:val="24"/>
          <w:szCs w:val="24"/>
        </w:rPr>
        <w:t>5</w:t>
      </w:r>
      <w:r w:rsidRPr="00BC3CDD">
        <w:rPr>
          <w:rFonts w:ascii="Times New Roman" w:hAnsi="Times New Roman" w:cs="Times New Roman"/>
          <w:sz w:val="24"/>
          <w:szCs w:val="24"/>
        </w:rPr>
        <w:t xml:space="preserve"> rokov, patrí mu odstupné v sume </w:t>
      </w:r>
      <w:r w:rsidR="00152CAF" w:rsidRPr="00BC3CDD">
        <w:rPr>
          <w:rFonts w:ascii="Times New Roman" w:hAnsi="Times New Roman" w:cs="Times New Roman"/>
          <w:sz w:val="24"/>
          <w:szCs w:val="24"/>
        </w:rPr>
        <w:t xml:space="preserve">4 </w:t>
      </w:r>
      <w:r w:rsidRPr="00BC3CDD">
        <w:rPr>
          <w:rFonts w:ascii="Times New Roman" w:hAnsi="Times New Roman" w:cs="Times New Roman"/>
          <w:sz w:val="24"/>
          <w:szCs w:val="24"/>
        </w:rPr>
        <w:t>násobku funkčného platu, ktorý mu patril v čase, keď vznikol dôvod, na základe ktorého došlo k skončeniu štátnozamestnaneckého pomeru</w:t>
      </w:r>
      <w:r w:rsidR="00C021B6" w:rsidRPr="00BC3CDD">
        <w:rPr>
          <w:rFonts w:ascii="Times New Roman" w:hAnsi="Times New Roman" w:cs="Times New Roman"/>
          <w:sz w:val="24"/>
          <w:szCs w:val="24"/>
        </w:rPr>
        <w:t>. Odstupné patrí odborníkovi len v prípade, ak sa jeho miesto zruší pred uplynutím doby, na ktoré bolo dohodnuté.</w:t>
      </w:r>
    </w:p>
    <w:p w:rsidR="00EB52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Vplyv na rozpočet verejnej správy by mal predstavovať </w:t>
      </w:r>
      <w:r w:rsidR="004F55FA" w:rsidRPr="00BC3CDD">
        <w:rPr>
          <w:rFonts w:ascii="Times New Roman" w:hAnsi="Times New Roman" w:cs="Times New Roman"/>
          <w:sz w:val="24"/>
          <w:szCs w:val="24"/>
        </w:rPr>
        <w:t xml:space="preserve">na rok 2017 </w:t>
      </w:r>
      <w:r w:rsidRPr="00BC3CDD">
        <w:rPr>
          <w:rFonts w:ascii="Times New Roman" w:hAnsi="Times New Roman" w:cs="Times New Roman"/>
          <w:sz w:val="24"/>
          <w:szCs w:val="24"/>
        </w:rPr>
        <w:t>objem</w:t>
      </w:r>
      <w:r w:rsidR="0032704A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32704A" w:rsidRPr="00BC3CDD">
        <w:rPr>
          <w:rFonts w:ascii="Times New Roman" w:hAnsi="Times New Roman" w:cs="Times New Roman"/>
          <w:b/>
          <w:sz w:val="24"/>
          <w:szCs w:val="24"/>
        </w:rPr>
        <w:t>94 465 eur</w:t>
      </w:r>
      <w:r w:rsidR="004F55FA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5FA" w:rsidRPr="00BC3CDD">
        <w:rPr>
          <w:rFonts w:ascii="Times New Roman" w:hAnsi="Times New Roman" w:cs="Times New Roman"/>
          <w:sz w:val="24"/>
          <w:szCs w:val="24"/>
        </w:rPr>
        <w:t>(</w:t>
      </w:r>
      <w:r w:rsidR="0032704A" w:rsidRPr="00BC3CDD">
        <w:rPr>
          <w:rFonts w:ascii="Times New Roman" w:hAnsi="Times New Roman" w:cs="Times New Roman"/>
          <w:sz w:val="24"/>
          <w:szCs w:val="24"/>
        </w:rPr>
        <w:t>v tom 70 000 hrubá mzda a 24 465 eur poistné (34,95 %))</w:t>
      </w:r>
      <w:r w:rsidR="004F55FA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32704A" w:rsidRPr="00BC3CDD">
        <w:rPr>
          <w:rFonts w:ascii="Times New Roman" w:hAnsi="Times New Roman" w:cs="Times New Roman"/>
          <w:sz w:val="24"/>
          <w:szCs w:val="24"/>
        </w:rPr>
        <w:t>a na rok 2018 a 2019 sumu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AD7577" w:rsidRPr="00BC3CDD">
        <w:rPr>
          <w:rFonts w:ascii="Times New Roman" w:hAnsi="Times New Roman" w:cs="Times New Roman"/>
          <w:b/>
          <w:sz w:val="24"/>
          <w:szCs w:val="24"/>
        </w:rPr>
        <w:t>161</w:t>
      </w:r>
      <w:r w:rsidR="002820DF" w:rsidRPr="00BC3CDD">
        <w:rPr>
          <w:rFonts w:ascii="Times New Roman" w:hAnsi="Times New Roman" w:cs="Times New Roman"/>
          <w:b/>
          <w:sz w:val="24"/>
          <w:szCs w:val="24"/>
        </w:rPr>
        <w:t> </w:t>
      </w:r>
      <w:r w:rsidR="00AD7577" w:rsidRPr="00BC3CDD">
        <w:rPr>
          <w:rFonts w:ascii="Times New Roman" w:hAnsi="Times New Roman" w:cs="Times New Roman"/>
          <w:b/>
          <w:sz w:val="24"/>
          <w:szCs w:val="24"/>
        </w:rPr>
        <w:t>940</w:t>
      </w:r>
      <w:r w:rsidR="002820DF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b/>
          <w:sz w:val="24"/>
          <w:szCs w:val="24"/>
        </w:rPr>
        <w:t>eur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4F55FA" w:rsidRPr="00BC3CDD">
        <w:rPr>
          <w:rFonts w:ascii="Times New Roman" w:hAnsi="Times New Roman" w:cs="Times New Roman"/>
          <w:sz w:val="24"/>
          <w:szCs w:val="24"/>
        </w:rPr>
        <w:t xml:space="preserve">na </w:t>
      </w:r>
      <w:r w:rsidR="00AD7577" w:rsidRPr="00BC3CDD">
        <w:rPr>
          <w:rFonts w:ascii="Times New Roman" w:hAnsi="Times New Roman" w:cs="Times New Roman"/>
          <w:sz w:val="24"/>
          <w:szCs w:val="24"/>
        </w:rPr>
        <w:t>1 rok</w:t>
      </w:r>
      <w:r w:rsidR="00451514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AD7577" w:rsidRPr="00BC3CDD">
        <w:rPr>
          <w:rFonts w:ascii="Times New Roman" w:hAnsi="Times New Roman" w:cs="Times New Roman"/>
          <w:sz w:val="24"/>
          <w:szCs w:val="24"/>
        </w:rPr>
        <w:t>(v tom 120 000 eur hrubá mzda a 41 940 eur poistné</w:t>
      </w:r>
      <w:r w:rsidR="000339C6" w:rsidRPr="00BC3CDD">
        <w:rPr>
          <w:rFonts w:ascii="Times New Roman" w:hAnsi="Times New Roman" w:cs="Times New Roman"/>
          <w:sz w:val="24"/>
          <w:szCs w:val="24"/>
        </w:rPr>
        <w:t xml:space="preserve"> (34,95 %)</w:t>
      </w:r>
      <w:r w:rsidR="00AD7577" w:rsidRPr="00BC3CDD">
        <w:rPr>
          <w:rFonts w:ascii="Times New Roman" w:hAnsi="Times New Roman" w:cs="Times New Roman"/>
          <w:sz w:val="24"/>
          <w:szCs w:val="24"/>
        </w:rPr>
        <w:t>)</w:t>
      </w:r>
      <w:r w:rsidRPr="00BC3CDD">
        <w:rPr>
          <w:rFonts w:ascii="Times New Roman" w:hAnsi="Times New Roman" w:cs="Times New Roman"/>
          <w:sz w:val="24"/>
          <w:szCs w:val="24"/>
        </w:rPr>
        <w:t xml:space="preserve">. Pri výpočte tejto sumy sa vychádza z minimálneho počtu odborníkov, na ktorých sa bude </w:t>
      </w:r>
      <w:r w:rsidR="00AD7577" w:rsidRPr="00BC3CDD">
        <w:rPr>
          <w:rFonts w:ascii="Times New Roman" w:hAnsi="Times New Roman" w:cs="Times New Roman"/>
          <w:sz w:val="24"/>
          <w:szCs w:val="24"/>
        </w:rPr>
        <w:t>vzťahovať predmetný inštitút (26</w:t>
      </w:r>
      <w:r w:rsidRPr="00BC3CDD">
        <w:rPr>
          <w:rFonts w:ascii="Times New Roman" w:hAnsi="Times New Roman" w:cs="Times New Roman"/>
          <w:sz w:val="24"/>
          <w:szCs w:val="24"/>
        </w:rPr>
        <w:t xml:space="preserve"> zamestnancov ročne) a z priemernej mzdy pre danú oblasť na úrovni 1 500 eur. </w:t>
      </w:r>
    </w:p>
    <w:p w:rsidR="00C021B6" w:rsidRPr="00BC3CDD" w:rsidRDefault="00EB52B6" w:rsidP="00EB52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 xml:space="preserve">Tento predpoklad je len </w:t>
      </w:r>
      <w:r w:rsidRPr="00BC3CDD">
        <w:rPr>
          <w:rFonts w:ascii="Times New Roman" w:hAnsi="Times New Roman" w:cs="Times New Roman"/>
          <w:sz w:val="24"/>
          <w:szCs w:val="24"/>
          <w:u w:val="single"/>
        </w:rPr>
        <w:t>indikatívny</w:t>
      </w:r>
      <w:r w:rsidRPr="00BC3CDD">
        <w:rPr>
          <w:rFonts w:ascii="Times New Roman" w:hAnsi="Times New Roman" w:cs="Times New Roman"/>
          <w:sz w:val="24"/>
          <w:szCs w:val="24"/>
        </w:rPr>
        <w:t xml:space="preserve"> z dôvodu, že v nasledujúcich rokoch nemusí dôjsť k skončeniu žiadneho štátnozamestnaneckého pomeru odborníka, čo nespôsobí žiadny resp. minimálny dopad na štátny rozpočet. 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Prípadné zvýšené výdavky </w:t>
      </w:r>
      <w:r w:rsidR="00587A82" w:rsidRPr="00BC3CDD">
        <w:rPr>
          <w:rFonts w:ascii="Times New Roman" w:hAnsi="Times New Roman" w:cs="Times New Roman"/>
          <w:sz w:val="24"/>
          <w:szCs w:val="24"/>
        </w:rPr>
        <w:t>si jednotlivé rozpočtové kapitoly zabezpečia v rámci schválených limitov výdavkov jednotlivých kapitol štátneho rozpočtu na príslušný rozpočtový rok.</w:t>
      </w:r>
    </w:p>
    <w:p w:rsidR="00EB52B6" w:rsidRPr="00BC3CDD" w:rsidRDefault="00EB52B6" w:rsidP="00EB52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g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21B6" w:rsidRPr="00BC3CDD">
        <w:rPr>
          <w:rFonts w:ascii="Times New Roman" w:hAnsi="Times New Roman" w:cs="Times New Roman"/>
          <w:b/>
          <w:bCs/>
          <w:sz w:val="24"/>
          <w:szCs w:val="24"/>
        </w:rPr>
        <w:t>zrušenie 1. platovej triedy (referent) a 2. platovej triedy (samostatný referent), zavedenie nových platových tried a im p</w:t>
      </w:r>
      <w:r w:rsidR="00D0025A" w:rsidRPr="00BC3CDD">
        <w:rPr>
          <w:rFonts w:ascii="Times New Roman" w:hAnsi="Times New Roman" w:cs="Times New Roman"/>
          <w:b/>
          <w:bCs/>
          <w:sz w:val="24"/>
          <w:szCs w:val="24"/>
        </w:rPr>
        <w:t>rislúchajúcich platových taríf.</w:t>
      </w:r>
    </w:p>
    <w:p w:rsidR="00C021B6" w:rsidRPr="00BC3CDD" w:rsidRDefault="00C021B6" w:rsidP="007049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Návrh zákona o štátnej službe zrušuje súčasnú 1. platovú trieda, referent, ktorej platová t</w:t>
      </w:r>
      <w:r w:rsidR="00BF193E" w:rsidRPr="00BC3CDD">
        <w:rPr>
          <w:rFonts w:ascii="Times New Roman" w:hAnsi="Times New Roman" w:cs="Times New Roman"/>
          <w:bCs/>
          <w:sz w:val="24"/>
          <w:szCs w:val="24"/>
        </w:rPr>
        <w:t xml:space="preserve">arifa je vo výške 361,50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eur. Taktiež sa zrušuje 2. platová trieda, samostatný referent, ktorej </w:t>
      </w:r>
      <w:r w:rsidR="00BF193E" w:rsidRPr="00BC3CDD">
        <w:rPr>
          <w:rFonts w:ascii="Times New Roman" w:hAnsi="Times New Roman" w:cs="Times New Roman"/>
          <w:bCs/>
          <w:sz w:val="24"/>
          <w:szCs w:val="24"/>
        </w:rPr>
        <w:t>platová tarifa je výške 388,50</w:t>
      </w:r>
      <w:r w:rsidR="00704968" w:rsidRPr="00BC3CDD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:rsidR="00C021B6" w:rsidRPr="00BC3CDD" w:rsidRDefault="00C021B6" w:rsidP="00704968">
      <w:pPr>
        <w:tabs>
          <w:tab w:val="left" w:pos="3192"/>
        </w:tabs>
        <w:spacing w:line="280" w:lineRule="exact"/>
        <w:outlineLvl w:val="4"/>
        <w:rPr>
          <w:rFonts w:ascii="Times New Roman" w:hAnsi="Times New Roman" w:cs="Times New Roman"/>
          <w:bCs/>
          <w:i/>
          <w:sz w:val="24"/>
          <w:szCs w:val="24"/>
        </w:rPr>
      </w:pPr>
      <w:r w:rsidRPr="00BC3CDD">
        <w:rPr>
          <w:rFonts w:ascii="Times New Roman" w:hAnsi="Times New Roman" w:cs="Times New Roman"/>
          <w:bCs/>
          <w:i/>
          <w:sz w:val="24"/>
          <w:szCs w:val="24"/>
        </w:rPr>
        <w:t>Súčasná právna úprava</w:t>
      </w:r>
      <w:r w:rsidRPr="00BC3CDD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C3CDD">
        <w:rPr>
          <w:rFonts w:ascii="Times New Roman" w:hAnsi="Times New Roman" w:cs="Times New Roman"/>
          <w:b/>
          <w:bCs/>
          <w:i/>
          <w:sz w:val="24"/>
          <w:szCs w:val="24"/>
        </w:rPr>
        <w:t>Navrhovaná právna úprava</w:t>
      </w:r>
    </w:p>
    <w:tbl>
      <w:tblPr>
        <w:tblW w:w="352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52"/>
        <w:gridCol w:w="1081"/>
        <w:gridCol w:w="675"/>
        <w:gridCol w:w="1693"/>
        <w:gridCol w:w="1086"/>
      </w:tblGrid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Platová trieda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Názov funkcie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Platová tarifa k 31.12.2016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Platová trieda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Názov funkcie</w:t>
            </w:r>
          </w:p>
        </w:tc>
        <w:tc>
          <w:tcPr>
            <w:tcW w:w="84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Navrhovaná platová tarifa 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referent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361,50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Samostatný referent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Cs/>
                <w:sz w:val="20"/>
                <w:szCs w:val="20"/>
              </w:rPr>
              <w:t>388,50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Odborný referent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419,50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319" w:type="pct"/>
          </w:tcPr>
          <w:p w:rsidR="008A53C8" w:rsidRPr="00BC3CDD" w:rsidRDefault="008A53C8" w:rsidP="008A5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Odborný    referent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419,50 </w:t>
            </w:r>
          </w:p>
        </w:tc>
      </w:tr>
      <w:tr w:rsidR="00BC3CDD" w:rsidRPr="00BC3CDD" w:rsidTr="008A53C8">
        <w:trPr>
          <w:trHeight w:val="580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Hlavný referent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Hlavný        referent</w:t>
            </w:r>
          </w:p>
        </w:tc>
        <w:tc>
          <w:tcPr>
            <w:tcW w:w="846" w:type="pct"/>
            <w:hideMark/>
          </w:tcPr>
          <w:p w:rsidR="008A53C8" w:rsidRPr="00BC3CDD" w:rsidRDefault="008A53C8" w:rsidP="00FA2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456,00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540,50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319" w:type="pct"/>
          </w:tcPr>
          <w:p w:rsidR="008A53C8" w:rsidRPr="00BC3CDD" w:rsidRDefault="008A53C8" w:rsidP="002C4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540,50 </w:t>
            </w:r>
          </w:p>
        </w:tc>
      </w:tr>
      <w:tr w:rsidR="00BC3CDD" w:rsidRPr="00BC3CDD" w:rsidTr="008A53C8">
        <w:trPr>
          <w:trHeight w:val="611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Samostatný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573,00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Samostatný   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573,00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Odborný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645,50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Odborný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645,50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Hlavný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691,50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Hlavný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691,50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Štátny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319" w:type="pct"/>
          </w:tcPr>
          <w:p w:rsidR="008A53C8" w:rsidRPr="00BC3CDD" w:rsidRDefault="008A53C8" w:rsidP="002C4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Štátny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785,00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Hlavný štátny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892,50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Hlavný štátny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892,50 </w:t>
            </w:r>
          </w:p>
        </w:tc>
      </w:tr>
      <w:tr w:rsidR="00BC3CDD" w:rsidRPr="00BC3CDD" w:rsidTr="008A53C8">
        <w:trPr>
          <w:trHeight w:val="454"/>
          <w:tblCellSpacing w:w="0" w:type="dxa"/>
        </w:trPr>
        <w:tc>
          <w:tcPr>
            <w:tcW w:w="491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7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Generálny štátny radca</w:t>
            </w:r>
          </w:p>
        </w:tc>
        <w:tc>
          <w:tcPr>
            <w:tcW w:w="842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1015,50</w:t>
            </w:r>
          </w:p>
        </w:tc>
        <w:tc>
          <w:tcPr>
            <w:tcW w:w="526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319" w:type="pct"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>Generálny štátny radca</w:t>
            </w:r>
          </w:p>
        </w:tc>
        <w:tc>
          <w:tcPr>
            <w:tcW w:w="846" w:type="pct"/>
            <w:hideMark/>
          </w:tcPr>
          <w:p w:rsidR="008A53C8" w:rsidRPr="00BC3CDD" w:rsidRDefault="008A53C8" w:rsidP="009D5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1015,50 </w:t>
            </w:r>
          </w:p>
        </w:tc>
      </w:tr>
    </w:tbl>
    <w:p w:rsidR="00C021B6" w:rsidRPr="00BC3CDD" w:rsidRDefault="00C021B6" w:rsidP="00C021B6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1B6" w:rsidRPr="00BC3CDD" w:rsidRDefault="00C021B6" w:rsidP="00C021B6">
      <w:pPr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 xml:space="preserve">Dôvodom pre zrušenie uvedených tried bola aj skutočnosť, že platová tarifa v oboch triedach je nižšia ako je v súčasnosti minimálna mzda 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t>stanovená nariadením vlády č. 2</w:t>
      </w:r>
      <w:r w:rsidRPr="00BC3CDD">
        <w:rPr>
          <w:rFonts w:ascii="Times New Roman" w:hAnsi="Times New Roman" w:cs="Times New Roman"/>
          <w:bCs/>
          <w:sz w:val="24"/>
          <w:szCs w:val="24"/>
        </w:rPr>
        <w:t>7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t>9/2015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Z. 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t xml:space="preserve">z. 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lastRenderedPageBreak/>
        <w:t>z 07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. októbra 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t>2015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, ktorým bola ustanovená </w:t>
      </w:r>
      <w:r w:rsidR="00A01A3B" w:rsidRPr="00BC3CDD">
        <w:rPr>
          <w:rFonts w:ascii="Times New Roman" w:hAnsi="Times New Roman" w:cs="Times New Roman"/>
          <w:bCs/>
          <w:sz w:val="24"/>
          <w:szCs w:val="24"/>
        </w:rPr>
        <w:t>suma minimálnej mzdy na rok 2016 vo výške 405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:rsidR="00C021B6" w:rsidRPr="00BC3CDD" w:rsidRDefault="00C021B6" w:rsidP="00C021B6">
      <w:pPr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>Taktiež dôvodom pre zrušenie týchto dvoch najnižších platových tried bola aj skutočnosť, že sa pre zaraďovanie štátnych zamestnancov takmer vôbec nevyužívali.</w:t>
      </w:r>
      <w:r w:rsidR="00DC3686" w:rsidRPr="00BC3CDD">
        <w:rPr>
          <w:rFonts w:ascii="Times New Roman" w:hAnsi="Times New Roman" w:cs="Times New Roman"/>
          <w:bCs/>
          <w:sz w:val="24"/>
          <w:szCs w:val="24"/>
        </w:rPr>
        <w:t xml:space="preserve"> Ku koncu roka 2015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do 1. platovej triedy </w:t>
      </w:r>
      <w:r w:rsidR="00DC3686" w:rsidRPr="00BC3CDD">
        <w:rPr>
          <w:rFonts w:ascii="Times New Roman" w:hAnsi="Times New Roman" w:cs="Times New Roman"/>
          <w:bCs/>
          <w:sz w:val="24"/>
          <w:szCs w:val="24"/>
        </w:rPr>
        <w:t>nebol zaradený žiadny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 štátny zamestnanec a do 2. platovej triedy je zaradených </w:t>
      </w:r>
      <w:r w:rsidR="00DC3686" w:rsidRPr="00BC3CDD">
        <w:rPr>
          <w:rFonts w:ascii="Times New Roman" w:hAnsi="Times New Roman" w:cs="Times New Roman"/>
          <w:bCs/>
          <w:sz w:val="24"/>
          <w:szCs w:val="24"/>
        </w:rPr>
        <w:t>345</w:t>
      </w:r>
      <w:r w:rsidR="00E27111" w:rsidRPr="00BC3CDD">
        <w:rPr>
          <w:rFonts w:ascii="Times New Roman" w:hAnsi="Times New Roman" w:cs="Times New Roman"/>
          <w:bCs/>
          <w:sz w:val="24"/>
          <w:szCs w:val="24"/>
        </w:rPr>
        <w:t xml:space="preserve"> štátnych zamestnancov. 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Zmena sa </w:t>
      </w:r>
      <w:r w:rsidR="00DC3686" w:rsidRPr="00BC3CDD">
        <w:rPr>
          <w:rFonts w:ascii="Times New Roman" w:hAnsi="Times New Roman" w:cs="Times New Roman"/>
          <w:bCs/>
          <w:sz w:val="24"/>
          <w:szCs w:val="24"/>
        </w:rPr>
        <w:t>teda dotkne celkovo 34</w:t>
      </w:r>
      <w:r w:rsidRPr="00BC3CDD">
        <w:rPr>
          <w:rFonts w:ascii="Times New Roman" w:hAnsi="Times New Roman" w:cs="Times New Roman"/>
          <w:bCs/>
          <w:sz w:val="24"/>
          <w:szCs w:val="24"/>
        </w:rPr>
        <w:t xml:space="preserve">5 štátnych zamestnancov, ktorí budú musieť byť preradení do tej novej platovej triedy, v ktorej sa nachádza najnáročnejšia činnosť nimi doteraz vykonávaná. 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Zrušenie týchto dvoch platových bude mať minimálny vplyv na štátny rozpočet z dôvodu, že tieto tarify boli v súčasnosti pod hranicou minimálnej mzdy a služobné úrady tak museli uvedeným štátnym zamestnancom aj tak kompenzovať tento rozdiel do výšky minimálnej mzdy formou doplatku</w:t>
      </w:r>
      <w:r w:rsidR="00C05D54" w:rsidRPr="00BC3CDD">
        <w:rPr>
          <w:rFonts w:ascii="Times New Roman" w:hAnsi="Times New Roman" w:cs="Times New Roman"/>
          <w:sz w:val="24"/>
          <w:szCs w:val="24"/>
        </w:rPr>
        <w:t>, za predpokladu, že títo štátni zamestnanci nemali priznaný osobný príplatok, prípadne príplatok za služobnú prax alebo iné</w:t>
      </w:r>
      <w:r w:rsidRPr="00BC3CDD">
        <w:rPr>
          <w:rFonts w:ascii="Times New Roman" w:hAnsi="Times New Roman" w:cs="Times New Roman"/>
          <w:sz w:val="24"/>
          <w:szCs w:val="24"/>
        </w:rPr>
        <w:t>. Reáln</w:t>
      </w:r>
      <w:r w:rsidR="00DC3686" w:rsidRPr="00BC3CDD">
        <w:rPr>
          <w:rFonts w:ascii="Times New Roman" w:hAnsi="Times New Roman" w:cs="Times New Roman"/>
          <w:sz w:val="24"/>
          <w:szCs w:val="24"/>
        </w:rPr>
        <w:t>e mzdové náklady na každého z 34</w:t>
      </w:r>
      <w:r w:rsidRPr="00BC3CDD">
        <w:rPr>
          <w:rFonts w:ascii="Times New Roman" w:hAnsi="Times New Roman" w:cs="Times New Roman"/>
          <w:sz w:val="24"/>
          <w:szCs w:val="24"/>
        </w:rPr>
        <w:t>5 š</w:t>
      </w:r>
      <w:r w:rsidR="00DC3686" w:rsidRPr="00BC3CDD">
        <w:rPr>
          <w:rFonts w:ascii="Times New Roman" w:hAnsi="Times New Roman" w:cs="Times New Roman"/>
          <w:sz w:val="24"/>
          <w:szCs w:val="24"/>
        </w:rPr>
        <w:t>tátnych zamestnancov tvorili 405</w:t>
      </w:r>
      <w:r w:rsidRPr="00BC3CDD">
        <w:rPr>
          <w:rFonts w:ascii="Times New Roman" w:hAnsi="Times New Roman" w:cs="Times New Roman"/>
          <w:sz w:val="24"/>
          <w:szCs w:val="24"/>
        </w:rPr>
        <w:t xml:space="preserve"> eur (platová trieda + kompenzácia rozdielu s minimálnou mzdou). Novou právnou úpravou budú títo štátni zamestnanci zaradení do 1. platovej triedy s príslušnou tarifou vo výške 4</w:t>
      </w:r>
      <w:r w:rsidR="00DC3686" w:rsidRPr="00BC3CDD">
        <w:rPr>
          <w:rFonts w:ascii="Times New Roman" w:hAnsi="Times New Roman" w:cs="Times New Roman"/>
          <w:sz w:val="24"/>
          <w:szCs w:val="24"/>
        </w:rPr>
        <w:t>19,50</w:t>
      </w:r>
      <w:r w:rsidRPr="00BC3CDD">
        <w:rPr>
          <w:rFonts w:ascii="Times New Roman" w:hAnsi="Times New Roman" w:cs="Times New Roman"/>
          <w:sz w:val="24"/>
          <w:szCs w:val="24"/>
        </w:rPr>
        <w:t xml:space="preserve"> eur,</w:t>
      </w:r>
      <w:r w:rsidR="00DC3686" w:rsidRPr="00BC3CDD">
        <w:rPr>
          <w:rFonts w:ascii="Times New Roman" w:hAnsi="Times New Roman" w:cs="Times New Roman"/>
          <w:sz w:val="24"/>
          <w:szCs w:val="24"/>
        </w:rPr>
        <w:t xml:space="preserve"> čo znamená rozdiel 14,50</w:t>
      </w:r>
      <w:r w:rsidRPr="00BC3CDD">
        <w:rPr>
          <w:rFonts w:ascii="Times New Roman" w:hAnsi="Times New Roman" w:cs="Times New Roman"/>
          <w:sz w:val="24"/>
          <w:szCs w:val="24"/>
        </w:rPr>
        <w:t xml:space="preserve"> eur na 1 štátneho zamestnanca na 1 mesiac. Súhrne bude táto suma </w:t>
      </w:r>
      <w:r w:rsidR="00D0025A" w:rsidRPr="00BC3CDD">
        <w:rPr>
          <w:rFonts w:ascii="Times New Roman" w:hAnsi="Times New Roman" w:cs="Times New Roman"/>
          <w:sz w:val="24"/>
          <w:szCs w:val="24"/>
        </w:rPr>
        <w:t xml:space="preserve">na rok 2017 pre 345 štátnych zamestnancov </w:t>
      </w:r>
      <w:r w:rsidRPr="00BC3CDD">
        <w:rPr>
          <w:rFonts w:ascii="Times New Roman" w:hAnsi="Times New Roman" w:cs="Times New Roman"/>
          <w:sz w:val="24"/>
          <w:szCs w:val="24"/>
        </w:rPr>
        <w:t xml:space="preserve">predstavovať </w:t>
      </w:r>
      <w:r w:rsidR="00D0025A" w:rsidRPr="00BC3CDD">
        <w:rPr>
          <w:rFonts w:ascii="Times New Roman" w:hAnsi="Times New Roman" w:cs="Times New Roman"/>
          <w:b/>
          <w:sz w:val="24"/>
          <w:szCs w:val="24"/>
        </w:rPr>
        <w:t>47 256,10 eur</w:t>
      </w:r>
      <w:r w:rsidR="00D0025A" w:rsidRPr="00BC3CDD">
        <w:rPr>
          <w:rFonts w:ascii="Times New Roman" w:hAnsi="Times New Roman" w:cs="Times New Roman"/>
          <w:sz w:val="24"/>
          <w:szCs w:val="24"/>
        </w:rPr>
        <w:t xml:space="preserve"> (35 017,5 eur hrubá mzda + 12 238,60 eur poistné (34,95 %) a na roky 2018 a 2019 sumu </w:t>
      </w:r>
      <w:r w:rsidR="004E778C" w:rsidRPr="00BC3CDD">
        <w:rPr>
          <w:rFonts w:ascii="Times New Roman" w:hAnsi="Times New Roman" w:cs="Times New Roman"/>
          <w:b/>
          <w:sz w:val="24"/>
          <w:szCs w:val="24"/>
        </w:rPr>
        <w:t xml:space="preserve">81 010,50  </w:t>
      </w:r>
      <w:r w:rsidRPr="00BC3CDD">
        <w:rPr>
          <w:rFonts w:ascii="Times New Roman" w:hAnsi="Times New Roman" w:cs="Times New Roman"/>
          <w:b/>
          <w:sz w:val="24"/>
          <w:szCs w:val="24"/>
        </w:rPr>
        <w:t>eur</w:t>
      </w:r>
      <w:r w:rsidR="004E778C" w:rsidRPr="00BC3CDD">
        <w:rPr>
          <w:rFonts w:ascii="Times New Roman" w:hAnsi="Times New Roman" w:cs="Times New Roman"/>
          <w:sz w:val="24"/>
          <w:szCs w:val="24"/>
        </w:rPr>
        <w:t xml:space="preserve"> pre 34</w:t>
      </w:r>
      <w:r w:rsidRPr="00BC3CDD">
        <w:rPr>
          <w:rFonts w:ascii="Times New Roman" w:hAnsi="Times New Roman" w:cs="Times New Roman"/>
          <w:sz w:val="24"/>
          <w:szCs w:val="24"/>
        </w:rPr>
        <w:t>5 štátnych zamestnancov na 1 rok</w:t>
      </w:r>
      <w:r w:rsidR="004E778C" w:rsidRPr="00BC3CDD">
        <w:rPr>
          <w:rFonts w:ascii="Times New Roman" w:hAnsi="Times New Roman" w:cs="Times New Roman"/>
          <w:sz w:val="24"/>
          <w:szCs w:val="24"/>
        </w:rPr>
        <w:t xml:space="preserve"> (60 030 eur</w:t>
      </w:r>
      <w:r w:rsidR="00D0025A" w:rsidRPr="00BC3CDD">
        <w:rPr>
          <w:rFonts w:ascii="Times New Roman" w:hAnsi="Times New Roman" w:cs="Times New Roman"/>
          <w:sz w:val="24"/>
          <w:szCs w:val="24"/>
        </w:rPr>
        <w:t xml:space="preserve"> hrubá</w:t>
      </w:r>
      <w:r w:rsidR="004E778C" w:rsidRPr="00BC3CDD">
        <w:rPr>
          <w:rFonts w:ascii="Times New Roman" w:hAnsi="Times New Roman" w:cs="Times New Roman"/>
          <w:sz w:val="24"/>
          <w:szCs w:val="24"/>
        </w:rPr>
        <w:t xml:space="preserve"> mzda + 20 980,50 eur poistné</w:t>
      </w:r>
      <w:r w:rsidR="00D0025A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0339C6" w:rsidRPr="00BC3CDD">
        <w:rPr>
          <w:rFonts w:ascii="Times New Roman" w:hAnsi="Times New Roman" w:cs="Times New Roman"/>
          <w:sz w:val="24"/>
          <w:szCs w:val="24"/>
        </w:rPr>
        <w:t>(34,95%)</w:t>
      </w:r>
      <w:r w:rsidR="004E778C" w:rsidRPr="00BC3CDD">
        <w:rPr>
          <w:rFonts w:ascii="Times New Roman" w:hAnsi="Times New Roman" w:cs="Times New Roman"/>
          <w:sz w:val="24"/>
          <w:szCs w:val="24"/>
        </w:rPr>
        <w:t xml:space="preserve">). </w:t>
      </w:r>
      <w:r w:rsidRPr="00BC3CDD">
        <w:rPr>
          <w:rFonts w:ascii="Times New Roman" w:hAnsi="Times New Roman" w:cs="Times New Roman"/>
          <w:sz w:val="24"/>
          <w:szCs w:val="24"/>
        </w:rPr>
        <w:t>K uvedenému je potrebné dodať, že táto suma predstavuje dopad s ohľadom na aktuálnu výšku minimálnej mzdy. Pri predpokladanom zvýšení minimálnej mzdy bude tento rozdiel nižší.</w:t>
      </w:r>
    </w:p>
    <w:p w:rsidR="00C021B6" w:rsidRPr="00BC3CDD" w:rsidRDefault="00345D7B" w:rsidP="0053448E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Prípadné zvýšené výdavky </w:t>
      </w:r>
      <w:r w:rsidR="00D0025A" w:rsidRPr="00BC3CDD">
        <w:rPr>
          <w:rFonts w:ascii="Times New Roman" w:hAnsi="Times New Roman" w:cs="Times New Roman"/>
          <w:sz w:val="24"/>
          <w:szCs w:val="24"/>
        </w:rPr>
        <w:t>si jednotlivé rozpočtové kapitoly zabezpečia v rámci schválených limitov výdavkov jednotlivých kapitol štátneho rozpočtu na príslušný rozpočtový rok.</w:t>
      </w:r>
    </w:p>
    <w:p w:rsidR="00C021B6" w:rsidRPr="00BC3CDD" w:rsidRDefault="00BC3807" w:rsidP="00C021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h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021B6" w:rsidRPr="00BC3CDD">
        <w:rPr>
          <w:rFonts w:ascii="Times New Roman" w:hAnsi="Times New Roman" w:cs="Times New Roman"/>
          <w:b/>
          <w:bCs/>
          <w:sz w:val="24"/>
          <w:szCs w:val="24"/>
        </w:rPr>
        <w:t xml:space="preserve">zrušenie rozdielového príplatku a zrušenie obmedzenia započítania služobnej praxe   </w:t>
      </w:r>
    </w:p>
    <w:p w:rsidR="00FA4D62" w:rsidRPr="00BC3CDD" w:rsidRDefault="00C021B6" w:rsidP="00FA4D62">
      <w:pPr>
        <w:jc w:val="both"/>
        <w:rPr>
          <w:iCs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 xml:space="preserve">Podľa  zákona č. 400/2009 Z. z. o štátnej službe a o zmene a doplnení niektorých zákonov v znení neskorších predpisov, rozdielový príplatok patrí štátnemu zamestnancovi </w:t>
      </w:r>
      <w:r w:rsidRPr="00BC3CDD">
        <w:rPr>
          <w:rFonts w:ascii="Times New Roman" w:hAnsi="Times New Roman" w:cs="Times New Roman"/>
          <w:sz w:val="24"/>
          <w:szCs w:val="24"/>
        </w:rPr>
        <w:t xml:space="preserve">ktorého odborná prax k 31. decembru 2003 presiahla 32 rokov. Rozdielový príplatok bol určený v sume 1 %, z platovej tarify štátneho zamestnanca, za každý ďalší rok tejto odbornej praxe nad 32 rokov. Novým zákonom o štátnej službe dochádza k zrušeniu rozdielového príplatku  z dôvodu, že služobná prax sa už </w:t>
      </w:r>
      <w:r w:rsidR="00FA4D62" w:rsidRPr="00BC3CDD">
        <w:rPr>
          <w:rFonts w:ascii="Times New Roman" w:hAnsi="Times New Roman" w:cs="Times New Roman"/>
          <w:sz w:val="24"/>
          <w:szCs w:val="24"/>
        </w:rPr>
        <w:t xml:space="preserve">bude započítavať bez obmedzenia. </w:t>
      </w:r>
      <w:r w:rsidRPr="00BC3CDD">
        <w:rPr>
          <w:rFonts w:ascii="Times New Roman" w:hAnsi="Times New Roman" w:cs="Times New Roman"/>
          <w:sz w:val="24"/>
          <w:szCs w:val="24"/>
        </w:rPr>
        <w:t xml:space="preserve">Do dĺžky služobnej praxe sa pri opätovnom vzniku štátnozamestnaneckého pomeru po nadobudnutí účinnosti tohto zákona započíta aj služobná prax zachovaná podľa súčasného </w:t>
      </w:r>
      <w:r w:rsidRPr="00BC3CDD">
        <w:rPr>
          <w:rFonts w:ascii="Times New Roman" w:hAnsi="Times New Roman" w:cs="Times New Roman"/>
          <w:iCs/>
          <w:sz w:val="24"/>
          <w:szCs w:val="24"/>
        </w:rPr>
        <w:t>prechodného ustanovenia.</w:t>
      </w:r>
      <w:r w:rsidR="00FA4D62" w:rsidRPr="00BC3CDD">
        <w:rPr>
          <w:iCs/>
          <w:sz w:val="24"/>
          <w:szCs w:val="24"/>
        </w:rPr>
        <w:t xml:space="preserve"> </w:t>
      </w:r>
    </w:p>
    <w:p w:rsidR="00276B39" w:rsidRPr="00BC3CDD" w:rsidRDefault="00FA4D62" w:rsidP="00FA4D62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Cs/>
          <w:sz w:val="24"/>
          <w:szCs w:val="24"/>
        </w:rPr>
        <w:t xml:space="preserve">Z  údajov zistených Úradom vlády SR vyplýva, že </w:t>
      </w:r>
      <w:r w:rsidR="00EE15F2" w:rsidRPr="00BC3CDD">
        <w:rPr>
          <w:rFonts w:ascii="Times New Roman" w:hAnsi="Times New Roman" w:cs="Times New Roman"/>
          <w:sz w:val="24"/>
          <w:szCs w:val="24"/>
        </w:rPr>
        <w:t>ku koncu roka 2015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 počet štátnych zamestnancov so služobnou praxou nad 32 rokov je </w:t>
      </w:r>
      <w:r w:rsidR="00EE15F2" w:rsidRPr="00BC3CDD">
        <w:rPr>
          <w:rFonts w:ascii="Times New Roman" w:hAnsi="Times New Roman" w:cs="Times New Roman"/>
          <w:sz w:val="24"/>
          <w:szCs w:val="24"/>
        </w:rPr>
        <w:t>3110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1B6" w:rsidRPr="00BC3CDD" w:rsidRDefault="00C021B6" w:rsidP="00C021B6">
      <w:pPr>
        <w:jc w:val="both"/>
      </w:pPr>
      <w:r w:rsidRPr="00BC3CDD">
        <w:rPr>
          <w:rFonts w:ascii="Times New Roman" w:hAnsi="Times New Roman" w:cs="Times New Roman"/>
          <w:sz w:val="24"/>
          <w:szCs w:val="24"/>
        </w:rPr>
        <w:t xml:space="preserve">Vplyv na štátny rozpočet </w:t>
      </w:r>
      <w:r w:rsidR="00961D86" w:rsidRPr="00BC3CDD">
        <w:rPr>
          <w:rFonts w:ascii="Times New Roman" w:hAnsi="Times New Roman" w:cs="Times New Roman"/>
          <w:sz w:val="24"/>
          <w:szCs w:val="24"/>
        </w:rPr>
        <w:t>by mohol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585895" w:rsidRPr="00BC3CDD">
        <w:rPr>
          <w:rFonts w:ascii="Times New Roman" w:hAnsi="Times New Roman" w:cs="Times New Roman"/>
          <w:sz w:val="24"/>
          <w:szCs w:val="24"/>
        </w:rPr>
        <w:t xml:space="preserve">v roku 2017 predstavovať sumu </w:t>
      </w:r>
      <w:r w:rsidR="00585895" w:rsidRPr="00BC3CDD">
        <w:rPr>
          <w:rFonts w:ascii="Times New Roman" w:hAnsi="Times New Roman" w:cs="Times New Roman"/>
          <w:b/>
          <w:sz w:val="24"/>
          <w:szCs w:val="24"/>
        </w:rPr>
        <w:t>609 313 eur</w:t>
      </w:r>
      <w:r w:rsidR="00585895" w:rsidRPr="00BC3CDD">
        <w:rPr>
          <w:rFonts w:ascii="Times New Roman" w:hAnsi="Times New Roman" w:cs="Times New Roman"/>
          <w:sz w:val="24"/>
          <w:szCs w:val="24"/>
        </w:rPr>
        <w:t xml:space="preserve"> (451 510 eur hrubá mzda + 157 803 eur poistné (34,95%)) a v roku 2018 a 2019 sumu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F65B52" w:rsidRPr="00BC3CDD">
        <w:rPr>
          <w:rFonts w:ascii="Times New Roman" w:hAnsi="Times New Roman" w:cs="Times New Roman"/>
          <w:b/>
          <w:sz w:val="24"/>
          <w:szCs w:val="24"/>
        </w:rPr>
        <w:t>1 044 536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585895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895" w:rsidRPr="00BC3CDD">
        <w:rPr>
          <w:rFonts w:ascii="Times New Roman" w:hAnsi="Times New Roman" w:cs="Times New Roman"/>
          <w:sz w:val="24"/>
          <w:szCs w:val="24"/>
        </w:rPr>
        <w:t>na 1 rok</w:t>
      </w:r>
      <w:r w:rsidR="00F65B52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726D28" w:rsidRPr="00BC3CDD">
        <w:rPr>
          <w:rFonts w:ascii="Times New Roman" w:hAnsi="Times New Roman" w:cs="Times New Roman"/>
          <w:sz w:val="24"/>
          <w:szCs w:val="24"/>
        </w:rPr>
        <w:t>(v tom 774 017 eur mzda + 270 519 eur poistné</w:t>
      </w:r>
      <w:r w:rsidR="000339C6" w:rsidRPr="00BC3CDD">
        <w:rPr>
          <w:rFonts w:ascii="Times New Roman" w:hAnsi="Times New Roman" w:cs="Times New Roman"/>
          <w:sz w:val="24"/>
          <w:szCs w:val="24"/>
        </w:rPr>
        <w:t xml:space="preserve"> (34,95%)</w:t>
      </w:r>
      <w:r w:rsidR="00726D28" w:rsidRPr="00BC3CDD">
        <w:rPr>
          <w:rFonts w:ascii="Times New Roman" w:hAnsi="Times New Roman" w:cs="Times New Roman"/>
          <w:sz w:val="24"/>
          <w:szCs w:val="24"/>
        </w:rPr>
        <w:t>).</w:t>
      </w:r>
    </w:p>
    <w:p w:rsidR="00BF6359" w:rsidRPr="00BC3CDD" w:rsidRDefault="00FA4D62" w:rsidP="00BF6359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 xml:space="preserve">Prípadné zvýšené výdavky </w:t>
      </w:r>
      <w:r w:rsidR="00D96238" w:rsidRPr="00BC3CDD">
        <w:rPr>
          <w:rFonts w:ascii="Times New Roman" w:hAnsi="Times New Roman" w:cs="Times New Roman"/>
          <w:sz w:val="24"/>
          <w:szCs w:val="24"/>
        </w:rPr>
        <w:t>si jednotlivé rozpočtové kapitoly zabezpečia v rámci schválených limitov výdavkov jednotlivých kapitol štátneho rozpočtu na príslušný rozpočtový rok.</w:t>
      </w:r>
    </w:p>
    <w:p w:rsidR="00C021B6" w:rsidRPr="00BC3CDD" w:rsidRDefault="00BC3807" w:rsidP="00BF6359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i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) zavedenie služobného hodnotenia</w:t>
      </w:r>
    </w:p>
    <w:p w:rsidR="00691550" w:rsidRPr="00BC3CDD" w:rsidRDefault="00C021B6" w:rsidP="00691550">
      <w:pPr>
        <w:jc w:val="both"/>
      </w:pPr>
      <w:r w:rsidRPr="00BC3CDD">
        <w:rPr>
          <w:rFonts w:ascii="Times New Roman" w:hAnsi="Times New Roman" w:cs="Times New Roman"/>
          <w:sz w:val="24"/>
          <w:szCs w:val="24"/>
        </w:rPr>
        <w:t xml:space="preserve">Zavádza sa nový právny inštitút – služobné hodnotenie ako prostriedok hodnotenia práce štátneho zamestnanca pri výkone štátnej služby. Služobné hodnotenie vykonáva priamo nadriadený vedúci štátny zamestnanec. Služobné hodnotenie má slúžiť ako motivačný faktor a aj ako relevantný podklad pre ďalšie odmeňovanie alebo vzdelávanie štátneho zamestnanca. Nová právna úprava zavádza </w:t>
      </w:r>
      <w:r w:rsidR="00691550" w:rsidRPr="00BC3CDD">
        <w:rPr>
          <w:rFonts w:ascii="Times New Roman" w:hAnsi="Times New Roman" w:cs="Times New Roman"/>
          <w:sz w:val="24"/>
          <w:szCs w:val="24"/>
        </w:rPr>
        <w:t>pre štátneho zamestnanca, ktorý v služobnom hodnotení za kalendárny rok dosiahol vynikajúce výsledky alebo veľmi dobré výsledky nárok na jednorazovú odmenu.</w:t>
      </w:r>
    </w:p>
    <w:p w:rsidR="00C021B6" w:rsidRPr="00BC3CDD" w:rsidRDefault="00C021B6" w:rsidP="00C021B6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 súčasnosti nie je možné vopred presne kvantifikovať vplyv na rozpočet verejnej správy, keďže nie je známy počet štátnych zamestnancov, ktorých sa dotkne zavedenie tohto opatrenia</w:t>
      </w:r>
      <w:r w:rsidR="00691550" w:rsidRPr="00BC3CDD">
        <w:rPr>
          <w:rFonts w:ascii="Times New Roman" w:hAnsi="Times New Roman" w:cs="Times New Roman"/>
          <w:sz w:val="24"/>
          <w:szCs w:val="24"/>
        </w:rPr>
        <w:t xml:space="preserve"> a koľko štátnych zamestnancov dosiahne na základe služobného hodnotenia vynikajúce výsledky alebo veľmi dobré výsledky</w:t>
      </w:r>
      <w:r w:rsidRPr="00BC3CD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:rsidR="00BF6359" w:rsidRPr="00BC3CDD" w:rsidRDefault="00BF6359" w:rsidP="00BF6359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Prípadné zvýšené výdavky </w:t>
      </w:r>
      <w:r w:rsidR="00691550" w:rsidRPr="00BC3CDD">
        <w:rPr>
          <w:rFonts w:ascii="Times New Roman" w:hAnsi="Times New Roman" w:cs="Times New Roman"/>
          <w:sz w:val="24"/>
          <w:szCs w:val="24"/>
        </w:rPr>
        <w:t>si jednotlivé rozpočtové kapitoly zabezpečia v rámci schválených limitov výdavkov jednotlivých kapitol štátneho rozpočtu na príslušný rozpočtový rok.</w:t>
      </w: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j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 xml:space="preserve">) zriadenie Centrálneho informačného systému štátnej služby </w:t>
      </w: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  <w:r w:rsidRPr="00BC3CDD">
        <w:t>Centrálny informačný systém štátnej služby</w:t>
      </w:r>
      <w:r w:rsidR="001C25B1" w:rsidRPr="00BC3CDD">
        <w:t xml:space="preserve"> (CISŠS)</w:t>
      </w:r>
      <w:r w:rsidRPr="00BC3CDD">
        <w:t xml:space="preserve"> je informač</w:t>
      </w:r>
      <w:r w:rsidR="00033850" w:rsidRPr="00BC3CDD">
        <w:t>ný systém verejnej správy, ktorého správcom je</w:t>
      </w:r>
      <w:r w:rsidRPr="00BC3CDD">
        <w:t xml:space="preserve"> Úrad vlády </w:t>
      </w:r>
      <w:r w:rsidR="00033850" w:rsidRPr="00BC3CDD">
        <w:t>SR</w:t>
      </w:r>
      <w:r w:rsidRPr="00BC3CDD">
        <w:t xml:space="preserve">. </w:t>
      </w:r>
      <w:r w:rsidR="00033850" w:rsidRPr="00BC3CDD">
        <w:t>Súčasťou centrálneho informačného</w:t>
      </w:r>
      <w:r w:rsidRPr="00BC3CDD">
        <w:t xml:space="preserve"> systém</w:t>
      </w:r>
      <w:r w:rsidR="00033850" w:rsidRPr="00BC3CDD">
        <w:t>u</w:t>
      </w:r>
      <w:r w:rsidRPr="00BC3CDD">
        <w:t xml:space="preserve"> štátnej služby </w:t>
      </w:r>
      <w:r w:rsidR="00033850" w:rsidRPr="00BC3CDD">
        <w:t xml:space="preserve">je  a) register </w:t>
      </w:r>
      <w:r w:rsidRPr="00BC3CDD">
        <w:t>výberových konaní, b) regis</w:t>
      </w:r>
      <w:r w:rsidR="00033850" w:rsidRPr="00BC3CDD">
        <w:t>ter</w:t>
      </w:r>
      <w:r w:rsidRPr="00BC3CDD">
        <w:t xml:space="preserve"> úspeš</w:t>
      </w:r>
      <w:r w:rsidR="00033850" w:rsidRPr="00BC3CDD">
        <w:t>ných absolventov, c) register</w:t>
      </w:r>
      <w:r w:rsidRPr="00BC3CDD">
        <w:t xml:space="preserve"> nadbytočných štátnych zamestnancov, d) register štátnozamestnaneckých miest, e) register štátnych zamestnancov.</w:t>
      </w: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  <w:r w:rsidRPr="00BC3CDD">
        <w:t xml:space="preserve">Výdavky na vybudovanie a prevádzku </w:t>
      </w:r>
      <w:r w:rsidR="001C25B1" w:rsidRPr="00BC3CDD">
        <w:t>CISŠS</w:t>
      </w:r>
      <w:r w:rsidRPr="00BC3CDD">
        <w:t xml:space="preserve"> </w:t>
      </w:r>
      <w:r w:rsidR="00FE79CD" w:rsidRPr="00BC3CDD">
        <w:t>by mohli myť financované</w:t>
      </w:r>
      <w:r w:rsidRPr="00BC3CDD">
        <w:t xml:space="preserve"> z prostriedkov štrukturálnych fondov Európskej únie v rámci Operačného programu Integrovaná infraštruktúra. Časť je v súčasnosti už budovaná v rámci národného projektu elektronické služby Úradu vlády – </w:t>
      </w:r>
      <w:proofErr w:type="spellStart"/>
      <w:r w:rsidRPr="00BC3CDD">
        <w:t>eDemokracia</w:t>
      </w:r>
      <w:proofErr w:type="spellEnd"/>
      <w:r w:rsidRPr="00BC3CDD">
        <w:t xml:space="preserve"> a otvorená vláda, financovaného z prostriedkov štrukturálnych</w:t>
      </w:r>
      <w:r w:rsidR="001C25B1" w:rsidRPr="00BC3CDD">
        <w:t xml:space="preserve"> fondov Európskej únie v rámci O</w:t>
      </w:r>
      <w:r w:rsidRPr="00BC3CDD">
        <w:t xml:space="preserve">peračného programu Informatizácia spoločnosti.  </w:t>
      </w:r>
    </w:p>
    <w:p w:rsidR="00C021B6" w:rsidRPr="00BC3CDD" w:rsidRDefault="001C25B1" w:rsidP="00C83BA3">
      <w:pPr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Predpokladané výdavky na vybudovanie CISŠS, podľa štúdie uskutočniteľnosti, predstavujú sumu </w:t>
      </w:r>
      <w:r w:rsidR="00C83BA3" w:rsidRPr="00BC3CDD">
        <w:rPr>
          <w:rFonts w:ascii="Times New Roman" w:hAnsi="Times New Roman" w:cs="Times New Roman"/>
          <w:b/>
          <w:sz w:val="24"/>
          <w:szCs w:val="24"/>
        </w:rPr>
        <w:t xml:space="preserve">4 635 825 </w:t>
      </w:r>
      <w:r w:rsidRPr="00BC3CDD">
        <w:rPr>
          <w:rFonts w:ascii="Times New Roman" w:hAnsi="Times New Roman" w:cs="Times New Roman"/>
          <w:b/>
          <w:sz w:val="24"/>
          <w:szCs w:val="24"/>
        </w:rPr>
        <w:t>eur.</w:t>
      </w:r>
      <w:r w:rsidR="00C83BA3"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A3" w:rsidRPr="00BC3CDD">
        <w:rPr>
          <w:rFonts w:ascii="Times New Roman" w:hAnsi="Times New Roman" w:cs="Times New Roman"/>
          <w:sz w:val="24"/>
          <w:szCs w:val="24"/>
        </w:rPr>
        <w:t xml:space="preserve">Predpokladaná implementácia systému je naplánovaná od </w:t>
      </w:r>
      <w:r w:rsidR="00D01C75" w:rsidRPr="00BC3CDD">
        <w:rPr>
          <w:rFonts w:ascii="Times New Roman" w:hAnsi="Times New Roman" w:cs="Times New Roman"/>
          <w:sz w:val="24"/>
          <w:szCs w:val="24"/>
        </w:rPr>
        <w:t>októbra 2016 do septembra 2019</w:t>
      </w:r>
      <w:r w:rsidR="00C83BA3" w:rsidRPr="00BC3CDD">
        <w:rPr>
          <w:rFonts w:ascii="Times New Roman" w:hAnsi="Times New Roman" w:cs="Times New Roman"/>
          <w:sz w:val="24"/>
          <w:szCs w:val="24"/>
        </w:rPr>
        <w:t>.</w:t>
      </w:r>
      <w:r w:rsidR="000339C6" w:rsidRPr="00BC3CDD">
        <w:rPr>
          <w:rFonts w:ascii="Times New Roman" w:hAnsi="Times New Roman" w:cs="Times New Roman"/>
          <w:sz w:val="24"/>
          <w:szCs w:val="24"/>
        </w:rPr>
        <w:t xml:space="preserve"> Prevádzkové náklady sú vyčíslené v sume </w:t>
      </w:r>
      <w:r w:rsidR="00AF00EB" w:rsidRPr="00BC3CDD">
        <w:rPr>
          <w:rFonts w:ascii="Times New Roman" w:hAnsi="Times New Roman" w:cs="Times New Roman"/>
          <w:b/>
          <w:sz w:val="24"/>
          <w:szCs w:val="24"/>
        </w:rPr>
        <w:t>60</w:t>
      </w:r>
      <w:r w:rsidR="00D01C75" w:rsidRPr="00BC3CDD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="00D01C75" w:rsidRPr="00BC3CDD">
        <w:rPr>
          <w:rFonts w:ascii="Times New Roman" w:hAnsi="Times New Roman" w:cs="Times New Roman"/>
          <w:sz w:val="24"/>
          <w:szCs w:val="24"/>
        </w:rPr>
        <w:t>od 10/</w:t>
      </w:r>
      <w:r w:rsidR="000339C6" w:rsidRPr="00BC3CDD">
        <w:rPr>
          <w:rFonts w:ascii="Times New Roman" w:hAnsi="Times New Roman" w:cs="Times New Roman"/>
          <w:sz w:val="24"/>
          <w:szCs w:val="24"/>
        </w:rPr>
        <w:t>2019</w:t>
      </w:r>
      <w:r w:rsidR="00D01C75" w:rsidRPr="00BC3CDD">
        <w:rPr>
          <w:rFonts w:ascii="Times New Roman" w:hAnsi="Times New Roman" w:cs="Times New Roman"/>
          <w:sz w:val="24"/>
          <w:szCs w:val="24"/>
        </w:rPr>
        <w:t>-12/2019</w:t>
      </w:r>
      <w:r w:rsidR="000339C6" w:rsidRPr="00BC3CDD">
        <w:rPr>
          <w:rFonts w:ascii="Times New Roman" w:hAnsi="Times New Roman" w:cs="Times New Roman"/>
          <w:sz w:val="24"/>
          <w:szCs w:val="24"/>
        </w:rPr>
        <w:t>.</w:t>
      </w:r>
    </w:p>
    <w:p w:rsidR="000339C6" w:rsidRPr="00BC3CDD" w:rsidRDefault="000339C6" w:rsidP="00553640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noProof/>
          <w:sz w:val="24"/>
          <w:szCs w:val="24"/>
        </w:rPr>
        <w:t xml:space="preserve">Aby bola aj naďalej zaistená kontinuita v kontexte administratívnej reformy v Slovenskej republike, </w:t>
      </w:r>
      <w:r w:rsidR="00161BA4" w:rsidRPr="00BC3CDD">
        <w:rPr>
          <w:rFonts w:ascii="Times New Roman" w:hAnsi="Times New Roman" w:cs="Times New Roman"/>
          <w:noProof/>
          <w:sz w:val="24"/>
          <w:szCs w:val="24"/>
        </w:rPr>
        <w:t>mali by byť vytvorené</w:t>
      </w:r>
      <w:r w:rsidR="00553640" w:rsidRPr="00BC3CDD">
        <w:rPr>
          <w:rFonts w:ascii="Times New Roman" w:hAnsi="Times New Roman" w:cs="Times New Roman"/>
          <w:noProof/>
          <w:sz w:val="24"/>
          <w:szCs w:val="24"/>
        </w:rPr>
        <w:t xml:space="preserve"> podmienky pre zabezpečenie</w:t>
      </w:r>
      <w:r w:rsidRPr="00BC3CDD">
        <w:rPr>
          <w:rFonts w:ascii="Times New Roman" w:hAnsi="Times New Roman" w:cs="Times New Roman"/>
          <w:noProof/>
          <w:sz w:val="24"/>
          <w:szCs w:val="24"/>
        </w:rPr>
        <w:t xml:space="preserve"> ďalšieho financovania</w:t>
      </w:r>
      <w:r w:rsidR="00553640" w:rsidRPr="00BC3CDD">
        <w:rPr>
          <w:rFonts w:ascii="Times New Roman" w:hAnsi="Times New Roman" w:cs="Times New Roman"/>
          <w:noProof/>
          <w:sz w:val="24"/>
          <w:szCs w:val="24"/>
        </w:rPr>
        <w:t xml:space="preserve"> CISŠS</w:t>
      </w:r>
      <w:r w:rsidRPr="00BC3CDD">
        <w:rPr>
          <w:rFonts w:ascii="Times New Roman" w:hAnsi="Times New Roman" w:cs="Times New Roman"/>
          <w:noProof/>
          <w:sz w:val="24"/>
          <w:szCs w:val="24"/>
        </w:rPr>
        <w:t xml:space="preserve"> z verejných zdrojov.</w:t>
      </w:r>
      <w:r w:rsidR="004C7898" w:rsidRPr="00BC3CDD">
        <w:rPr>
          <w:rFonts w:ascii="Times New Roman" w:hAnsi="Times New Roman" w:cs="Times New Roman"/>
          <w:noProof/>
          <w:sz w:val="24"/>
          <w:szCs w:val="24"/>
        </w:rPr>
        <w:t xml:space="preserve"> Je predpoklad, že Úrad vlády SR si bude uplatňovať výdavky na</w:t>
      </w:r>
      <w:r w:rsidR="00D01C75" w:rsidRPr="00BC3CDD">
        <w:rPr>
          <w:rFonts w:ascii="Times New Roman" w:hAnsi="Times New Roman" w:cs="Times New Roman"/>
          <w:noProof/>
          <w:sz w:val="24"/>
          <w:szCs w:val="24"/>
        </w:rPr>
        <w:t xml:space="preserve"> ďalšiu prevádzku </w:t>
      </w:r>
      <w:r w:rsidR="004C7898" w:rsidRPr="00BC3CDD">
        <w:rPr>
          <w:rFonts w:ascii="Times New Roman" w:hAnsi="Times New Roman" w:cs="Times New Roman"/>
          <w:noProof/>
          <w:sz w:val="24"/>
          <w:szCs w:val="24"/>
        </w:rPr>
        <w:t>CISŠS</w:t>
      </w:r>
      <w:r w:rsidR="00191CEA" w:rsidRPr="00BC3C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57DF" w:rsidRPr="00BC3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</w:t>
      </w:r>
      <w:r w:rsidR="001F6029" w:rsidRPr="00BC3CDD">
        <w:rPr>
          <w:rFonts w:ascii="Times New Roman" w:hAnsi="Times New Roman" w:cs="Times New Roman"/>
          <w:noProof/>
          <w:sz w:val="24"/>
          <w:szCs w:val="24"/>
        </w:rPr>
        <w:t xml:space="preserve">2019 </w:t>
      </w:r>
      <w:r w:rsidR="004C7898" w:rsidRPr="00BC3CDD">
        <w:rPr>
          <w:rFonts w:ascii="Times New Roman" w:hAnsi="Times New Roman" w:cs="Times New Roman"/>
          <w:noProof/>
          <w:sz w:val="24"/>
          <w:szCs w:val="24"/>
        </w:rPr>
        <w:t>v rámci priorít pri príprave rozpočtu verejnej správy na roky 2017 až 2019.</w:t>
      </w: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k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)  zmena percentuálnej sadzby paušálnej náhrady na pokrytie nevyhnutných výdavkov za služby a iných osobných výdavkov sú</w:t>
      </w:r>
      <w:r w:rsidR="0079661B" w:rsidRPr="00BC3CDD">
        <w:rPr>
          <w:rFonts w:ascii="Times New Roman" w:hAnsi="Times New Roman" w:cs="Times New Roman"/>
          <w:b/>
          <w:sz w:val="24"/>
          <w:szCs w:val="24"/>
        </w:rPr>
        <w:t>visiacich s vykonávaním funkcie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>V súčasnom znení zákona o štátnej službe, paušálna náhrada na pokrytie nevyhnutných výdavkov za služby a iných osobných výdavkov súvisiacich s vykonávaním funkcie patrí mesačne vedúcemu zamestnancovi vo verejnej funkcii v služobnom úrade, ktorým je ministerstvo, a vedúcemu ostatného ústredného orgánu štátnej správy, v sume 121 % z platovej tarify 11. platovej triedy, vedúcemu zamestnancovi vo verejnej funkcii vo vybraných služobných úradoch patrí mesačne 121 % z platovej tarify 9. platovej triedy podľa osobitného predpisu, vedúcemu zamestnancovi vo verejnej funkcii v služobnom úrade, ktorým je ostatný  ústredný orgán štátnej správy a ktorému nepatrí paušálna náhrada vo vyššie uvedenej  sume  na pokrytie nevyhnutných výdavkov za služby a iných osobných výdavkov súvisiacich s vykonávaním funkcie patrí paušálna náhrada mesačne v sume, ktorou je 41 % z platovej tarify 1. platovej triedy podľa prílohy č.3.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Paušálna náhrada sa určuje pevnou sumou zaokrúhlenou na celé euro nahor. </w:t>
      </w:r>
    </w:p>
    <w:p w:rsidR="00A914D5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Za účelom zachovania výšky paušálnej náhrady, nový zákon o štátnej službe </w:t>
      </w:r>
      <w:r w:rsidR="00A914D5" w:rsidRPr="00BC3CDD">
        <w:rPr>
          <w:rFonts w:ascii="Times New Roman" w:hAnsi="Times New Roman" w:cs="Times New Roman"/>
          <w:sz w:val="24"/>
          <w:szCs w:val="24"/>
        </w:rPr>
        <w:t xml:space="preserve">upravuje </w:t>
      </w:r>
      <w:r w:rsidRPr="00BC3CDD">
        <w:rPr>
          <w:rFonts w:ascii="Times New Roman" w:hAnsi="Times New Roman" w:cs="Times New Roman"/>
          <w:sz w:val="24"/>
          <w:szCs w:val="24"/>
        </w:rPr>
        <w:t>percentuálnu sadzbu 121 % z platovej tarify 11. platovej triedy (</w:t>
      </w:r>
      <w:r w:rsidR="00054289" w:rsidRPr="00BC3CDD">
        <w:rPr>
          <w:rFonts w:ascii="Times New Roman" w:hAnsi="Times New Roman" w:cs="Times New Roman"/>
          <w:sz w:val="24"/>
          <w:szCs w:val="24"/>
        </w:rPr>
        <w:t>121 % z 1015,50</w:t>
      </w:r>
      <w:r w:rsidR="0079661B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D93389" w:rsidRPr="00BC3CDD">
        <w:rPr>
          <w:rFonts w:ascii="Times New Roman" w:hAnsi="Times New Roman" w:cs="Times New Roman"/>
          <w:sz w:val="24"/>
          <w:szCs w:val="24"/>
        </w:rPr>
        <w:t>eur t.j.</w:t>
      </w:r>
      <w:r w:rsidR="0079661B" w:rsidRPr="00BC3CDD">
        <w:rPr>
          <w:rFonts w:ascii="Times New Roman" w:hAnsi="Times New Roman" w:cs="Times New Roman"/>
          <w:sz w:val="24"/>
          <w:szCs w:val="24"/>
        </w:rPr>
        <w:t>1</w:t>
      </w:r>
      <w:r w:rsidR="00D93389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054289" w:rsidRPr="00BC3CDD">
        <w:rPr>
          <w:rFonts w:ascii="Times New Roman" w:hAnsi="Times New Roman" w:cs="Times New Roman"/>
          <w:sz w:val="24"/>
          <w:szCs w:val="24"/>
        </w:rPr>
        <w:t>229</w:t>
      </w:r>
      <w:r w:rsidR="0079661B" w:rsidRPr="00BC3CDD">
        <w:rPr>
          <w:rFonts w:ascii="Times New Roman" w:hAnsi="Times New Roman" w:cs="Times New Roman"/>
          <w:sz w:val="24"/>
          <w:szCs w:val="24"/>
        </w:rPr>
        <w:t xml:space="preserve"> eur </w:t>
      </w:r>
      <w:r w:rsidRPr="00BC3CDD">
        <w:rPr>
          <w:rFonts w:ascii="Times New Roman" w:hAnsi="Times New Roman" w:cs="Times New Roman"/>
          <w:sz w:val="24"/>
          <w:szCs w:val="24"/>
        </w:rPr>
        <w:t xml:space="preserve">na sadzbu </w:t>
      </w:r>
      <w:r w:rsidRPr="00BC3CDD">
        <w:rPr>
          <w:rFonts w:ascii="Times New Roman" w:hAnsi="Times New Roman" w:cs="Times New Roman"/>
          <w:b/>
          <w:sz w:val="24"/>
          <w:szCs w:val="24"/>
        </w:rPr>
        <w:t>1</w:t>
      </w:r>
      <w:r w:rsidR="00A914D5" w:rsidRPr="00BC3CDD">
        <w:rPr>
          <w:rFonts w:ascii="Times New Roman" w:hAnsi="Times New Roman" w:cs="Times New Roman"/>
          <w:b/>
          <w:sz w:val="24"/>
          <w:szCs w:val="24"/>
        </w:rPr>
        <w:t>21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% z platovej tarify </w:t>
      </w:r>
      <w:r w:rsidR="00A914D5" w:rsidRPr="00BC3CDD">
        <w:rPr>
          <w:rFonts w:ascii="Times New Roman" w:hAnsi="Times New Roman" w:cs="Times New Roman"/>
          <w:b/>
          <w:sz w:val="24"/>
          <w:szCs w:val="24"/>
        </w:rPr>
        <w:t>9</w:t>
      </w:r>
      <w:r w:rsidRPr="00BC3CDD">
        <w:rPr>
          <w:rFonts w:ascii="Times New Roman" w:hAnsi="Times New Roman" w:cs="Times New Roman"/>
          <w:b/>
          <w:sz w:val="24"/>
          <w:szCs w:val="24"/>
        </w:rPr>
        <w:t>. platovej triedy</w:t>
      </w:r>
      <w:r w:rsidR="00A914D5" w:rsidRPr="00BC3CDD">
        <w:rPr>
          <w:rFonts w:ascii="Times New Roman" w:hAnsi="Times New Roman" w:cs="Times New Roman"/>
          <w:b/>
          <w:sz w:val="24"/>
          <w:szCs w:val="24"/>
        </w:rPr>
        <w:t>.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a</w:t>
      </w:r>
      <w:r w:rsidR="00A914D5" w:rsidRPr="00BC3CDD">
        <w:rPr>
          <w:rFonts w:ascii="Times New Roman" w:hAnsi="Times New Roman" w:cs="Times New Roman"/>
          <w:b/>
          <w:sz w:val="24"/>
          <w:szCs w:val="24"/>
        </w:rPr>
        <w:t xml:space="preserve"> mení </w:t>
      </w:r>
      <w:r w:rsidRPr="00BC3CDD">
        <w:rPr>
          <w:rFonts w:ascii="Times New Roman" w:hAnsi="Times New Roman" w:cs="Times New Roman"/>
          <w:sz w:val="24"/>
          <w:szCs w:val="24"/>
        </w:rPr>
        <w:t>sadzbu 41 % z platovej tarify 1. platovej triedy (41 % z</w:t>
      </w:r>
      <w:r w:rsidR="00D93389" w:rsidRPr="00BC3CDD">
        <w:rPr>
          <w:rFonts w:ascii="Times New Roman" w:hAnsi="Times New Roman" w:cs="Times New Roman"/>
          <w:sz w:val="24"/>
          <w:szCs w:val="24"/>
        </w:rPr>
        <w:t> 361,50 eur t.j. 149</w:t>
      </w:r>
      <w:r w:rsidRPr="00BC3CDD">
        <w:rPr>
          <w:rFonts w:ascii="Times New Roman" w:hAnsi="Times New Roman" w:cs="Times New Roman"/>
          <w:sz w:val="24"/>
          <w:szCs w:val="24"/>
        </w:rPr>
        <w:t xml:space="preserve"> eur) na sadzbu </w:t>
      </w:r>
      <w:r w:rsidRPr="00BC3CDD">
        <w:rPr>
          <w:rFonts w:ascii="Times New Roman" w:hAnsi="Times New Roman" w:cs="Times New Roman"/>
          <w:b/>
          <w:sz w:val="24"/>
          <w:szCs w:val="24"/>
        </w:rPr>
        <w:t>36 % z</w:t>
      </w:r>
      <w:r w:rsidR="00A914D5" w:rsidRPr="00BC3CDD">
        <w:rPr>
          <w:rFonts w:ascii="Times New Roman" w:hAnsi="Times New Roman" w:cs="Times New Roman"/>
          <w:b/>
          <w:sz w:val="24"/>
          <w:szCs w:val="24"/>
        </w:rPr>
        <w:t xml:space="preserve"> platovej tarify </w:t>
      </w:r>
      <w:r w:rsidRPr="00BC3CDD">
        <w:rPr>
          <w:rFonts w:ascii="Times New Roman" w:hAnsi="Times New Roman" w:cs="Times New Roman"/>
          <w:b/>
          <w:sz w:val="24"/>
          <w:szCs w:val="24"/>
        </w:rPr>
        <w:t>1. platovej triedy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b/>
          <w:sz w:val="24"/>
          <w:szCs w:val="24"/>
        </w:rPr>
        <w:t>(36 % z</w:t>
      </w:r>
      <w:r w:rsidR="00D93389" w:rsidRPr="00BC3CDD">
        <w:rPr>
          <w:rFonts w:ascii="Times New Roman" w:hAnsi="Times New Roman" w:cs="Times New Roman"/>
          <w:b/>
          <w:sz w:val="24"/>
          <w:szCs w:val="24"/>
        </w:rPr>
        <w:t> </w:t>
      </w:r>
      <w:r w:rsidRPr="00BC3CDD">
        <w:rPr>
          <w:rFonts w:ascii="Times New Roman" w:hAnsi="Times New Roman" w:cs="Times New Roman"/>
          <w:b/>
          <w:sz w:val="24"/>
          <w:szCs w:val="24"/>
        </w:rPr>
        <w:t>4</w:t>
      </w:r>
      <w:r w:rsidR="00D93389" w:rsidRPr="00BC3CDD">
        <w:rPr>
          <w:rFonts w:ascii="Times New Roman" w:hAnsi="Times New Roman" w:cs="Times New Roman"/>
          <w:b/>
          <w:sz w:val="24"/>
          <w:szCs w:val="24"/>
        </w:rPr>
        <w:t>19,50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eur t.j. </w:t>
      </w:r>
      <w:r w:rsidR="00D93389" w:rsidRPr="00BC3CDD">
        <w:rPr>
          <w:rFonts w:ascii="Times New Roman" w:hAnsi="Times New Roman" w:cs="Times New Roman"/>
          <w:b/>
          <w:sz w:val="24"/>
          <w:szCs w:val="24"/>
        </w:rPr>
        <w:t>152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eur).</w:t>
      </w:r>
    </w:p>
    <w:p w:rsidR="00A914D5" w:rsidRPr="00BC3CDD" w:rsidRDefault="00C021B6" w:rsidP="00A914D5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Vplyv na štátny rozpočet bude v tomto prípade zanedbateľný. Nakoľko nie je známy údaj o tom, koľko štátnych zamestnancov poberá uvedenú paušálnu náhradu, </w:t>
      </w:r>
      <w:r w:rsidR="00A914D5" w:rsidRPr="00BC3CDD">
        <w:rPr>
          <w:rFonts w:ascii="Times New Roman" w:hAnsi="Times New Roman" w:cs="Times New Roman"/>
          <w:sz w:val="24"/>
          <w:szCs w:val="24"/>
        </w:rPr>
        <w:t>prípadné zvýšené výdavky si jednotlivé rozpočtové kapitoly zabezpečia v rámci schválených limitov výdavkov jednotlivých kapitol štátneho rozpočtu na príslušný rozpočtový rok.</w:t>
      </w:r>
    </w:p>
    <w:p w:rsidR="00C021B6" w:rsidRPr="00BC3CDD" w:rsidRDefault="00BC3807" w:rsidP="00A914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l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) zmena percentuálnej sadzby príplatku za zmennosť</w:t>
      </w:r>
    </w:p>
    <w:p w:rsidR="00C021B6" w:rsidRPr="00BC3CDD" w:rsidRDefault="00C021B6" w:rsidP="00AD0F6E">
      <w:pPr>
        <w:jc w:val="both"/>
      </w:pPr>
      <w:r w:rsidRPr="00BC3CDD">
        <w:rPr>
          <w:rFonts w:ascii="Times New Roman" w:hAnsi="Times New Roman" w:cs="Times New Roman"/>
          <w:sz w:val="24"/>
          <w:szCs w:val="24"/>
        </w:rPr>
        <w:t>Výpočet príplatku za zmennosť je v terajšej právnej úprave daný percentuálnym rozpätím 1,5 % až 12 % vzhľadom k platovej tarife 1. platovej triedy,</w:t>
      </w:r>
      <w:r w:rsidR="00AD0F6E" w:rsidRPr="00BC3CDD">
        <w:t xml:space="preserve"> </w:t>
      </w:r>
      <w:r w:rsidR="00AD0F6E" w:rsidRPr="00BC3CDD">
        <w:rPr>
          <w:rFonts w:ascii="Times New Roman" w:hAnsi="Times New Roman" w:cs="Times New Roman"/>
          <w:sz w:val="24"/>
          <w:szCs w:val="24"/>
        </w:rPr>
        <w:t>určený pevnou sumou zaokrúhlenou na 50 eurocentov nahor,</w:t>
      </w:r>
      <w:r w:rsidR="00AD0F6E" w:rsidRPr="00BC3CDD"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>či</w:t>
      </w:r>
      <w:r w:rsidR="00984A7E" w:rsidRPr="00BC3CDD">
        <w:rPr>
          <w:rFonts w:ascii="Times New Roman" w:hAnsi="Times New Roman" w:cs="Times New Roman"/>
          <w:sz w:val="24"/>
          <w:szCs w:val="24"/>
        </w:rPr>
        <w:t>že sa jedná o sumu v rozpätí 5,50 – 43,</w:t>
      </w:r>
      <w:r w:rsidR="00AD0F6E" w:rsidRPr="00BC3CDD">
        <w:rPr>
          <w:rFonts w:ascii="Times New Roman" w:hAnsi="Times New Roman" w:cs="Times New Roman"/>
          <w:sz w:val="24"/>
          <w:szCs w:val="24"/>
        </w:rPr>
        <w:t>5</w:t>
      </w:r>
      <w:r w:rsidR="00EA5AA1" w:rsidRPr="00BC3CDD">
        <w:rPr>
          <w:rFonts w:ascii="Times New Roman" w:hAnsi="Times New Roman" w:cs="Times New Roman"/>
          <w:sz w:val="24"/>
          <w:szCs w:val="24"/>
        </w:rPr>
        <w:t>0 eur</w:t>
      </w:r>
      <w:r w:rsidRPr="00BC3CDD">
        <w:rPr>
          <w:rFonts w:ascii="Times New Roman" w:hAnsi="Times New Roman" w:cs="Times New Roman"/>
          <w:sz w:val="24"/>
          <w:szCs w:val="24"/>
        </w:rPr>
        <w:t>. Návrh zákona o štátnej službe rovnako používa 1. platovú triedu ako základ pre výpočet príplatku za zmennosť. Keďže sa prvé 2 platové triedy rušia (z terajšej 3. platovej triedy sa stane 1. platová trieda), v záujme</w:t>
      </w:r>
      <w:r w:rsidR="00AD0F6E" w:rsidRPr="00BC3CDD">
        <w:rPr>
          <w:rFonts w:ascii="Times New Roman" w:hAnsi="Times New Roman" w:cs="Times New Roman"/>
          <w:sz w:val="24"/>
          <w:szCs w:val="24"/>
        </w:rPr>
        <w:t xml:space="preserve"> zachovania výslednej sumy (5,50 – 43,6</w:t>
      </w:r>
      <w:r w:rsidR="00EA5AA1" w:rsidRPr="00BC3CDD">
        <w:rPr>
          <w:rFonts w:ascii="Times New Roman" w:hAnsi="Times New Roman" w:cs="Times New Roman"/>
          <w:sz w:val="24"/>
          <w:szCs w:val="24"/>
        </w:rPr>
        <w:t>0 eur</w:t>
      </w:r>
      <w:r w:rsidRPr="00BC3CDD">
        <w:rPr>
          <w:rFonts w:ascii="Times New Roman" w:hAnsi="Times New Roman" w:cs="Times New Roman"/>
          <w:sz w:val="24"/>
          <w:szCs w:val="24"/>
        </w:rPr>
        <w:t xml:space="preserve">) sa musí upraviť percentuálny podiel, a to na </w:t>
      </w:r>
      <w:r w:rsidRPr="00BC3CDD">
        <w:rPr>
          <w:rFonts w:ascii="Times New Roman" w:hAnsi="Times New Roman" w:cs="Times New Roman"/>
          <w:b/>
          <w:sz w:val="24"/>
          <w:szCs w:val="24"/>
        </w:rPr>
        <w:t>1,3 % až 1</w:t>
      </w:r>
      <w:r w:rsidR="00AD0F6E" w:rsidRPr="00BC3CDD">
        <w:rPr>
          <w:rFonts w:ascii="Times New Roman" w:hAnsi="Times New Roman" w:cs="Times New Roman"/>
          <w:b/>
          <w:sz w:val="24"/>
          <w:szCs w:val="24"/>
        </w:rPr>
        <w:t>0,3</w:t>
      </w:r>
      <w:r w:rsidRPr="00BC3CD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Nakoľko prichádza iba k zmene percentuálneho podielu a základu, samotná výška príplat</w:t>
      </w:r>
      <w:r w:rsidR="00AD0F6E" w:rsidRPr="00BC3CDD">
        <w:rPr>
          <w:rFonts w:ascii="Times New Roman" w:hAnsi="Times New Roman" w:cs="Times New Roman"/>
          <w:sz w:val="24"/>
          <w:szCs w:val="24"/>
        </w:rPr>
        <w:t>ku za zmennosť ostáva nezmenená,</w:t>
      </w:r>
      <w:r w:rsidRPr="00BC3CDD">
        <w:rPr>
          <w:rFonts w:ascii="Times New Roman" w:hAnsi="Times New Roman" w:cs="Times New Roman"/>
          <w:sz w:val="24"/>
          <w:szCs w:val="24"/>
        </w:rPr>
        <w:t xml:space="preserve"> čo nepredpokladá dopad na štátny rozpočet.</w:t>
      </w:r>
    </w:p>
    <w:p w:rsidR="00C021B6" w:rsidRPr="00BC3CDD" w:rsidRDefault="00C021B6" w:rsidP="00C021B6">
      <w:pPr>
        <w:pStyle w:val="Odsekzoznamu"/>
        <w:rPr>
          <w:lang w:eastAsia="en-US"/>
        </w:rPr>
      </w:pP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m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) zmena percentuálnej sadzby náhrady za pohotovosť pri zabezpečovaní opatrení pre obdobie krízovej situácie</w:t>
      </w: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  <w:r w:rsidRPr="00BC3CDD">
        <w:t>Tak, ako v predchádzajúcom bode (príplatok za zmennosť), aj v tomto prípade sa zmenou základu pre výpočet tejto náhrady musí upraviť</w:t>
      </w:r>
      <w:r w:rsidR="00903B1B" w:rsidRPr="00BC3CDD">
        <w:t xml:space="preserve"> jej</w:t>
      </w:r>
      <w:r w:rsidRPr="00BC3CDD">
        <w:t xml:space="preserve"> percentuálny podiel. Náhrada za pohotovosť pri zabezpečení opatrení pre obdobie krízovej situácie</w:t>
      </w:r>
      <w:r w:rsidR="00564F15" w:rsidRPr="00BC3CDD">
        <w:t>, sa určuje pevnou sumou zaokrúhlenou na 50 eurocentov nahor, a</w:t>
      </w:r>
      <w:r w:rsidRPr="00BC3CDD">
        <w:t xml:space="preserve"> je stanovená na úrovni 3,5 % až 35,4 % z 1. platov</w:t>
      </w:r>
      <w:r w:rsidR="00564F15" w:rsidRPr="00BC3CDD">
        <w:t xml:space="preserve">ej </w:t>
      </w:r>
      <w:r w:rsidR="00564F15" w:rsidRPr="00BC3CDD">
        <w:lastRenderedPageBreak/>
        <w:t>triedy, čiže ide o sumu 13 – 128</w:t>
      </w:r>
      <w:r w:rsidRPr="00BC3CDD">
        <w:t xml:space="preserve"> </w:t>
      </w:r>
      <w:r w:rsidR="00EA5AA1" w:rsidRPr="00BC3CDD">
        <w:t>eur</w:t>
      </w:r>
      <w:r w:rsidRPr="00BC3CDD">
        <w:t xml:space="preserve">. Za účelom zachovania tohto rozpätia je potrebné upraviť percentuálny podiel na </w:t>
      </w:r>
      <w:r w:rsidRPr="00BC3CDD">
        <w:rPr>
          <w:b/>
        </w:rPr>
        <w:t>3 % až 30,5 %.</w:t>
      </w: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</w:p>
    <w:p w:rsidR="00C021B6" w:rsidRPr="00BC3CDD" w:rsidRDefault="00C021B6" w:rsidP="00C021B6">
      <w:pPr>
        <w:pStyle w:val="Odsekzoznamu"/>
        <w:spacing w:after="200" w:line="276" w:lineRule="auto"/>
        <w:ind w:left="0"/>
        <w:jc w:val="both"/>
      </w:pPr>
      <w:r w:rsidRPr="00BC3CDD">
        <w:t xml:space="preserve">Rovnako ako v predchádzajúcom bode sa výsledná suma poskytovanej náhrady nemení, mení sa iba základ pre jej výpočet a percentuálny podiel, čo </w:t>
      </w:r>
      <w:r w:rsidR="0088413C" w:rsidRPr="00BC3CDD">
        <w:t>nepredpokladá</w:t>
      </w:r>
      <w:r w:rsidRPr="00BC3CDD">
        <w:t xml:space="preserve"> dopad na štátny rozpočet.</w:t>
      </w: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n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 xml:space="preserve">) ustanovenie povinnosti absolvovať školenie zamerané na osvojenie si metód riadeného osobného </w:t>
      </w:r>
      <w:r w:rsidR="00F36DF8" w:rsidRPr="00BC3CDD">
        <w:rPr>
          <w:rFonts w:ascii="Times New Roman" w:hAnsi="Times New Roman" w:cs="Times New Roman"/>
          <w:b/>
          <w:sz w:val="24"/>
          <w:szCs w:val="24"/>
        </w:rPr>
        <w:t>rozhovoru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 xml:space="preserve"> a jeho vyhodnotenia pre člena výberovej komisie, ktorý vedie osobný pohovor</w:t>
      </w:r>
      <w:r w:rsidR="00EA5AA1" w:rsidRPr="00BC3CDD">
        <w:rPr>
          <w:rFonts w:ascii="Times New Roman" w:hAnsi="Times New Roman" w:cs="Times New Roman"/>
          <w:b/>
          <w:sz w:val="24"/>
          <w:szCs w:val="24"/>
        </w:rPr>
        <w:t>, ustanovenie povinnosti pre vedúcich štátnych zamestnancov absolvovať vzdelávanie v oblasti manažérskych zručností</w:t>
      </w:r>
      <w:r w:rsidR="00F36DF8" w:rsidRPr="00BC3CDD">
        <w:rPr>
          <w:rFonts w:ascii="Times New Roman" w:hAnsi="Times New Roman" w:cs="Times New Roman"/>
          <w:b/>
          <w:sz w:val="24"/>
          <w:szCs w:val="24"/>
        </w:rPr>
        <w:t>.</w:t>
      </w:r>
    </w:p>
    <w:p w:rsidR="00C021B6" w:rsidRPr="00BC3CDD" w:rsidRDefault="00C021B6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Predmetné </w:t>
      </w:r>
      <w:r w:rsidR="00F36DF8" w:rsidRPr="00BC3CDD">
        <w:rPr>
          <w:rFonts w:ascii="Times New Roman" w:hAnsi="Times New Roman" w:cs="Times New Roman"/>
          <w:sz w:val="24"/>
          <w:szCs w:val="24"/>
        </w:rPr>
        <w:t>vzdelávanie</w:t>
      </w: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EA5AA1" w:rsidRPr="00BC3CDD">
        <w:rPr>
          <w:rFonts w:ascii="Times New Roman" w:hAnsi="Times New Roman" w:cs="Times New Roman"/>
          <w:sz w:val="24"/>
          <w:szCs w:val="24"/>
        </w:rPr>
        <w:t>nepredpokladá</w:t>
      </w:r>
      <w:r w:rsidRPr="00BC3CDD">
        <w:rPr>
          <w:rFonts w:ascii="Times New Roman" w:hAnsi="Times New Roman" w:cs="Times New Roman"/>
          <w:sz w:val="24"/>
          <w:szCs w:val="24"/>
        </w:rPr>
        <w:t xml:space="preserve"> žiaden vplyv na rozpočet verejnej správy, nakoľko prostredníctvom Hodnotiaceho centra</w:t>
      </w:r>
      <w:r w:rsidR="00EA5AA1" w:rsidRPr="00BC3CDD">
        <w:rPr>
          <w:rFonts w:ascii="Times New Roman" w:hAnsi="Times New Roman" w:cs="Times New Roman"/>
          <w:sz w:val="24"/>
          <w:szCs w:val="24"/>
        </w:rPr>
        <w:t xml:space="preserve"> bude </w:t>
      </w:r>
      <w:r w:rsidR="00F471A4" w:rsidRPr="00BC3CDD">
        <w:rPr>
          <w:rFonts w:ascii="Times New Roman" w:hAnsi="Times New Roman" w:cs="Times New Roman"/>
          <w:sz w:val="24"/>
          <w:szCs w:val="24"/>
        </w:rPr>
        <w:t>tiež poskytnutá</w:t>
      </w:r>
      <w:r w:rsidR="00EA5AA1" w:rsidRPr="00BC3CDD">
        <w:rPr>
          <w:rFonts w:ascii="Times New Roman" w:hAnsi="Times New Roman" w:cs="Times New Roman"/>
          <w:sz w:val="24"/>
          <w:szCs w:val="24"/>
        </w:rPr>
        <w:t xml:space="preserve"> možnosť absolvovania školení a vzdelávacích aktivít v metóde riadeného rozhovoru a v manažérskych zručnostiach</w:t>
      </w:r>
      <w:r w:rsidRPr="00BC3CDD">
        <w:rPr>
          <w:rFonts w:ascii="Times New Roman" w:hAnsi="Times New Roman" w:cs="Times New Roman"/>
          <w:sz w:val="24"/>
          <w:szCs w:val="24"/>
        </w:rPr>
        <w:t xml:space="preserve">. Náklady na vybudovanie Hodnotiaceho centra sú kvantifikované pod písm. b) tejto časti a zahŕňajú aj realizáciu uvedených školení. Zapojenie odborníkov z oblasti personalistiky, psychológie, pedagogiky pri overovaní schopností a hodnotení výsledkov výberového konania je taktiež možné prostredníctvom Hodnotiaceho centra. Zapojenie odborníkov z oblastí lingvistiky (vypracovanie testov overenia cudzích jazykov) sa už v súčasnosti </w:t>
      </w:r>
      <w:r w:rsidR="00EA5AA1" w:rsidRPr="00BC3CDD">
        <w:rPr>
          <w:rFonts w:ascii="Times New Roman" w:hAnsi="Times New Roman" w:cs="Times New Roman"/>
          <w:sz w:val="24"/>
          <w:szCs w:val="24"/>
        </w:rPr>
        <w:t>realizuje v</w:t>
      </w:r>
      <w:r w:rsidR="00F44F51" w:rsidRPr="00BC3CDD">
        <w:rPr>
          <w:rFonts w:ascii="Times New Roman" w:hAnsi="Times New Roman" w:cs="Times New Roman"/>
          <w:sz w:val="24"/>
          <w:szCs w:val="24"/>
        </w:rPr>
        <w:t xml:space="preserve"> niektorých </w:t>
      </w:r>
      <w:r w:rsidR="00EA5AA1" w:rsidRPr="00BC3CDD">
        <w:rPr>
          <w:rFonts w:ascii="Times New Roman" w:hAnsi="Times New Roman" w:cs="Times New Roman"/>
          <w:sz w:val="24"/>
          <w:szCs w:val="24"/>
        </w:rPr>
        <w:t>služobných úradoch.</w:t>
      </w:r>
    </w:p>
    <w:p w:rsidR="00C021B6" w:rsidRPr="00BC3CDD" w:rsidRDefault="00BC3807" w:rsidP="00C021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o</w:t>
      </w:r>
      <w:r w:rsidR="00C021B6" w:rsidRPr="00BC3CDD">
        <w:rPr>
          <w:rFonts w:ascii="Times New Roman" w:hAnsi="Times New Roman" w:cs="Times New Roman"/>
          <w:b/>
          <w:sz w:val="24"/>
          <w:szCs w:val="24"/>
        </w:rPr>
        <w:t>) stanovenie povinnosti vyčlenenia prostriedkov pre zabezpečenie kontinuálneho vzdelávania</w:t>
      </w:r>
    </w:p>
    <w:p w:rsidR="00C021B6" w:rsidRPr="00BC3CDD" w:rsidRDefault="00F471A4" w:rsidP="000D5B74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Nový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 zákon</w:t>
      </w:r>
      <w:r w:rsidRPr="00BC3CDD">
        <w:rPr>
          <w:rFonts w:ascii="Times New Roman" w:hAnsi="Times New Roman" w:cs="Times New Roman"/>
          <w:sz w:val="24"/>
          <w:szCs w:val="24"/>
        </w:rPr>
        <w:t xml:space="preserve"> o štátnej službe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 ustanovuje pre služobné úrady povinnosť vyčleniť z rozpočtu na zabezpečenie kontinuálneho vzdelávania štátnych zamestnancov v príslušnom kalendárnom roku finančné prostriedky na úhradu priamych nákladov najmenej v sume </w:t>
      </w:r>
      <w:r w:rsidR="000204A8" w:rsidRPr="00BC3CDD">
        <w:rPr>
          <w:rFonts w:ascii="Times New Roman" w:hAnsi="Times New Roman" w:cs="Times New Roman"/>
          <w:sz w:val="24"/>
          <w:szCs w:val="24"/>
        </w:rPr>
        <w:t>0,5</w:t>
      </w:r>
      <w:r w:rsidR="00C021B6" w:rsidRPr="00BC3CDD">
        <w:rPr>
          <w:rFonts w:ascii="Times New Roman" w:hAnsi="Times New Roman" w:cs="Times New Roman"/>
          <w:sz w:val="24"/>
          <w:szCs w:val="24"/>
        </w:rPr>
        <w:t xml:space="preserve"> % vypočítaného z objemu súčtu tarifných platov priznaných štátnym zamestnancom služobného úradu k 31.decembru </w:t>
      </w:r>
      <w:r w:rsidR="000204A8" w:rsidRPr="00BC3CDD">
        <w:rPr>
          <w:rFonts w:ascii="Times New Roman" w:hAnsi="Times New Roman" w:cs="Times New Roman"/>
          <w:sz w:val="24"/>
          <w:szCs w:val="24"/>
        </w:rPr>
        <w:t>spred dvoch kalendárnych rokov.</w:t>
      </w:r>
    </w:p>
    <w:p w:rsidR="00C021B6" w:rsidRPr="00BC3CDD" w:rsidRDefault="00C021B6" w:rsidP="000D5B74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Služobné úrady sú už v súčasnosti povinné zabezpečovať vzdelávanie pre štátnych zamestnancov, pričom táto povinnosť je zákonom o štátnej službe ustanovená v minimálnom rozsahu piatich služobných dní v kalendárnom roku. Kvantifikáciu tejto povinnosti na úroveň </w:t>
      </w:r>
      <w:r w:rsidR="000204A8" w:rsidRPr="00BC3CDD">
        <w:rPr>
          <w:rFonts w:ascii="Times New Roman" w:hAnsi="Times New Roman" w:cs="Times New Roman"/>
          <w:sz w:val="24"/>
          <w:szCs w:val="24"/>
        </w:rPr>
        <w:t>0,5</w:t>
      </w:r>
      <w:r w:rsidRPr="00BC3CDD">
        <w:rPr>
          <w:rFonts w:ascii="Times New Roman" w:hAnsi="Times New Roman" w:cs="Times New Roman"/>
          <w:sz w:val="24"/>
          <w:szCs w:val="24"/>
        </w:rPr>
        <w:t xml:space="preserve"> % zo súčtu tarifných platov štátnych zamestnancov služobného úradu neprichádza k potrebe navýšenia prostriedkov na vzdelávanie, keďže služobné úrady už dnes vynakladajú prostriedky na vzdelávanie v porovnateľnej výške</w:t>
      </w:r>
      <w:r w:rsidR="00901618" w:rsidRPr="00BC3CDD">
        <w:rPr>
          <w:rFonts w:ascii="Times New Roman" w:hAnsi="Times New Roman" w:cs="Times New Roman"/>
          <w:sz w:val="24"/>
          <w:szCs w:val="24"/>
        </w:rPr>
        <w:t xml:space="preserve"> alebo vo vyššej výške</w:t>
      </w:r>
      <w:r w:rsidRPr="00BC3CDD">
        <w:rPr>
          <w:rFonts w:ascii="Times New Roman" w:hAnsi="Times New Roman" w:cs="Times New Roman"/>
          <w:sz w:val="24"/>
          <w:szCs w:val="24"/>
        </w:rPr>
        <w:t>.</w:t>
      </w:r>
    </w:p>
    <w:p w:rsidR="00C021B6" w:rsidRPr="00BC3CDD" w:rsidRDefault="00C021B6" w:rsidP="000D5B74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Vzhľadom na uvedené, nebude mať tento inštitút dopad na štátny rozpočet.</w:t>
      </w:r>
    </w:p>
    <w:p w:rsidR="0033751A" w:rsidRPr="00BC3CDD" w:rsidRDefault="00BC3807" w:rsidP="0033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p</w:t>
      </w:r>
      <w:r w:rsidR="00AC26B1" w:rsidRPr="00BC3CDD">
        <w:rPr>
          <w:rFonts w:ascii="Times New Roman" w:hAnsi="Times New Roman" w:cs="Times New Roman"/>
          <w:b/>
          <w:sz w:val="24"/>
          <w:szCs w:val="24"/>
        </w:rPr>
        <w:t xml:space="preserve">) zavedenie </w:t>
      </w:r>
      <w:r w:rsidR="0033751A" w:rsidRPr="00BC3CDD">
        <w:rPr>
          <w:rFonts w:ascii="Times New Roman" w:hAnsi="Times New Roman" w:cs="Times New Roman"/>
          <w:b/>
          <w:sz w:val="24"/>
          <w:szCs w:val="24"/>
        </w:rPr>
        <w:t>povinnosti pre služobné úrady určiť štátnozamestnane</w:t>
      </w:r>
      <w:r w:rsidR="00F44F51" w:rsidRPr="00BC3CDD">
        <w:rPr>
          <w:rFonts w:ascii="Times New Roman" w:hAnsi="Times New Roman" w:cs="Times New Roman"/>
          <w:b/>
          <w:sz w:val="24"/>
          <w:szCs w:val="24"/>
        </w:rPr>
        <w:t>cké miesta vhodné pre absolventov</w:t>
      </w:r>
      <w:r w:rsidR="00077928" w:rsidRPr="00BC3CDD">
        <w:rPr>
          <w:rFonts w:ascii="Times New Roman" w:hAnsi="Times New Roman" w:cs="Times New Roman"/>
          <w:b/>
          <w:sz w:val="24"/>
          <w:szCs w:val="24"/>
        </w:rPr>
        <w:t>.</w:t>
      </w:r>
    </w:p>
    <w:p w:rsidR="001E332A" w:rsidRPr="00BC3CDD" w:rsidRDefault="001E332A" w:rsidP="000D5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32A" w:rsidRPr="00BC3CDD" w:rsidRDefault="00135428" w:rsidP="001E332A">
      <w:pPr>
        <w:pStyle w:val="Odsekzoznamu"/>
        <w:ind w:left="0"/>
        <w:jc w:val="both"/>
      </w:pPr>
      <w:r w:rsidRPr="00BC3CDD">
        <w:t xml:space="preserve">Zákon zavádza povinnosť správcovi rozpočtovej kapitoly v rámci </w:t>
      </w:r>
      <w:r w:rsidR="00D658A9" w:rsidRPr="00BC3CDD">
        <w:t xml:space="preserve">systemizácie </w:t>
      </w:r>
      <w:r w:rsidR="00373317" w:rsidRPr="00BC3CDD">
        <w:t>určiť</w:t>
      </w:r>
      <w:r w:rsidRPr="00BC3CDD">
        <w:t xml:space="preserve"> aj štátnozamestnaneck</w:t>
      </w:r>
      <w:r w:rsidR="001E332A" w:rsidRPr="00BC3CDD">
        <w:t xml:space="preserve">é miesta vhodné pre absolventov podľa prevádzkových možností. Táto povinnosť sa nevzťahuje na správcu rozpočtovej kapitoly, ktorý má menej ako 100 štátnozamestnaneckých miest a na služobný úrad uvedený v § 15 ods. 2 písm. a) a e). </w:t>
      </w:r>
    </w:p>
    <w:p w:rsidR="009535D2" w:rsidRPr="00BC3CDD" w:rsidRDefault="00135428" w:rsidP="000D5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lastRenderedPageBreak/>
        <w:t>Tento inštitút je v súlade s politikou zvyšovania zamestnanosti mladých ľudí, znižovania nezamestnanosti a</w:t>
      </w:r>
      <w:r w:rsidR="00D658A9" w:rsidRPr="00BC3CDD">
        <w:rPr>
          <w:rFonts w:ascii="Times New Roman" w:hAnsi="Times New Roman" w:cs="Times New Roman"/>
          <w:sz w:val="24"/>
          <w:szCs w:val="24"/>
        </w:rPr>
        <w:t xml:space="preserve"> zvyšovania atraktivity </w:t>
      </w:r>
      <w:r w:rsidR="009535D2" w:rsidRPr="00BC3CDD">
        <w:rPr>
          <w:rFonts w:ascii="Times New Roman" w:hAnsi="Times New Roman" w:cs="Times New Roman"/>
          <w:sz w:val="24"/>
          <w:szCs w:val="24"/>
        </w:rPr>
        <w:t>štátnej služby pre mladých ľudí, najmä pre absolventov stredných a vysokých škôl.</w:t>
      </w:r>
      <w:r w:rsidR="00D133F9" w:rsidRPr="00BC3CDD">
        <w:rPr>
          <w:rFonts w:ascii="Times New Roman" w:hAnsi="Times New Roman" w:cs="Times New Roman"/>
          <w:sz w:val="24"/>
          <w:szCs w:val="24"/>
        </w:rPr>
        <w:t xml:space="preserve"> Tento inštitút nepredpokladá dopad na štátny rozpočet z dôvodu, že správca rozpočtovej kapitoly by mal absolventské miesta určovať</w:t>
      </w:r>
      <w:r w:rsidR="00F471A4" w:rsidRPr="00BC3CDD">
        <w:rPr>
          <w:rFonts w:ascii="Times New Roman" w:hAnsi="Times New Roman" w:cs="Times New Roman"/>
          <w:sz w:val="24"/>
          <w:szCs w:val="24"/>
        </w:rPr>
        <w:t xml:space="preserve"> aj </w:t>
      </w:r>
      <w:r w:rsidR="00D133F9" w:rsidRPr="00BC3CDD">
        <w:rPr>
          <w:rFonts w:ascii="Times New Roman" w:hAnsi="Times New Roman" w:cs="Times New Roman"/>
          <w:sz w:val="24"/>
          <w:szCs w:val="24"/>
        </w:rPr>
        <w:t xml:space="preserve">v rámci limitu </w:t>
      </w:r>
      <w:r w:rsidR="001E55F2" w:rsidRPr="00BC3CDD">
        <w:rPr>
          <w:rFonts w:ascii="Times New Roman" w:hAnsi="Times New Roman" w:cs="Times New Roman"/>
          <w:sz w:val="24"/>
          <w:szCs w:val="24"/>
        </w:rPr>
        <w:t>s</w:t>
      </w:r>
      <w:r w:rsidR="00D133F9" w:rsidRPr="00BC3CDD">
        <w:rPr>
          <w:rFonts w:ascii="Times New Roman" w:hAnsi="Times New Roman" w:cs="Times New Roman"/>
          <w:sz w:val="24"/>
          <w:szCs w:val="24"/>
        </w:rPr>
        <w:t xml:space="preserve">chváleného počtu zamestnancov v rámci </w:t>
      </w:r>
      <w:r w:rsidR="001E55F2" w:rsidRPr="00BC3CDD">
        <w:rPr>
          <w:rFonts w:ascii="Times New Roman" w:hAnsi="Times New Roman" w:cs="Times New Roman"/>
          <w:sz w:val="24"/>
          <w:szCs w:val="24"/>
        </w:rPr>
        <w:t xml:space="preserve">tejto </w:t>
      </w:r>
      <w:r w:rsidR="00D133F9" w:rsidRPr="00BC3CDD">
        <w:rPr>
          <w:rFonts w:ascii="Times New Roman" w:hAnsi="Times New Roman" w:cs="Times New Roman"/>
          <w:sz w:val="24"/>
          <w:szCs w:val="24"/>
        </w:rPr>
        <w:t>rozpočtovej kapitoly.</w:t>
      </w:r>
    </w:p>
    <w:p w:rsidR="00AC26B1" w:rsidRPr="00BC3CDD" w:rsidRDefault="00BC3807" w:rsidP="000D5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q</w:t>
      </w:r>
      <w:r w:rsidR="00AC26B1" w:rsidRPr="00BC3CDD">
        <w:rPr>
          <w:rFonts w:ascii="Times New Roman" w:hAnsi="Times New Roman" w:cs="Times New Roman"/>
          <w:b/>
          <w:sz w:val="24"/>
          <w:szCs w:val="24"/>
        </w:rPr>
        <w:t xml:space="preserve">) stanovenie vekovej hranice 65 rokov, pri dosiahnutí ktorej dochádza ku skončeniu štátnozamestnaneckého pomeru </w:t>
      </w:r>
      <w:r w:rsidR="00D944F6" w:rsidRPr="00BC3CDD">
        <w:rPr>
          <w:rFonts w:ascii="Times New Roman" w:hAnsi="Times New Roman" w:cs="Times New Roman"/>
          <w:b/>
          <w:sz w:val="24"/>
          <w:szCs w:val="24"/>
        </w:rPr>
        <w:t>štátneho zamestnanca</w:t>
      </w:r>
      <w:r w:rsidR="0010388F" w:rsidRPr="00BC3CDD">
        <w:rPr>
          <w:rFonts w:ascii="Times New Roman" w:hAnsi="Times New Roman" w:cs="Times New Roman"/>
          <w:b/>
          <w:sz w:val="24"/>
          <w:szCs w:val="24"/>
        </w:rPr>
        <w:t xml:space="preserve"> zo zákona.</w:t>
      </w:r>
    </w:p>
    <w:p w:rsidR="000D5B74" w:rsidRPr="00BC3CDD" w:rsidRDefault="000D5B74" w:rsidP="001E332A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Zavádza sa</w:t>
      </w:r>
      <w:r w:rsidR="00EB52B6" w:rsidRPr="00BC3CDD">
        <w:rPr>
          <w:rFonts w:ascii="Times New Roman" w:hAnsi="Times New Roman" w:cs="Times New Roman"/>
          <w:sz w:val="24"/>
          <w:szCs w:val="24"/>
        </w:rPr>
        <w:t>,</w:t>
      </w:r>
      <w:r w:rsidRPr="00BC3CDD">
        <w:rPr>
          <w:rFonts w:ascii="Times New Roman" w:hAnsi="Times New Roman" w:cs="Times New Roman"/>
          <w:sz w:val="24"/>
          <w:szCs w:val="24"/>
        </w:rPr>
        <w:t xml:space="preserve"> ako jeden z dôvodov skončenia štátnozamestnaneckého pomeru zo zákona dosiahnutie </w:t>
      </w:r>
      <w:r w:rsidR="00077928" w:rsidRPr="00BC3CDD">
        <w:rPr>
          <w:rFonts w:ascii="Times New Roman" w:hAnsi="Times New Roman" w:cs="Times New Roman"/>
          <w:sz w:val="24"/>
          <w:szCs w:val="24"/>
        </w:rPr>
        <w:t>veku</w:t>
      </w:r>
      <w:r w:rsidRPr="00BC3CDD">
        <w:rPr>
          <w:rFonts w:ascii="Times New Roman" w:hAnsi="Times New Roman" w:cs="Times New Roman"/>
          <w:sz w:val="24"/>
          <w:szCs w:val="24"/>
        </w:rPr>
        <w:t xml:space="preserve"> 65 rokov. Štátnozamestnanecký pomer štátneho zamestnanca sa </w:t>
      </w:r>
      <w:r w:rsidR="00EB52B6" w:rsidRPr="00BC3CDD">
        <w:rPr>
          <w:rFonts w:ascii="Times New Roman" w:hAnsi="Times New Roman" w:cs="Times New Roman"/>
          <w:sz w:val="24"/>
          <w:szCs w:val="24"/>
        </w:rPr>
        <w:t>s</w:t>
      </w:r>
      <w:r w:rsidRPr="00BC3CDD">
        <w:rPr>
          <w:rFonts w:ascii="Times New Roman" w:hAnsi="Times New Roman" w:cs="Times New Roman"/>
          <w:sz w:val="24"/>
          <w:szCs w:val="24"/>
        </w:rPr>
        <w:t>končí</w:t>
      </w:r>
      <w:r w:rsidR="001E332A" w:rsidRPr="00BC3CDD">
        <w:rPr>
          <w:rFonts w:ascii="Times New Roman" w:hAnsi="Times New Roman" w:cs="Times New Roman"/>
          <w:sz w:val="24"/>
          <w:szCs w:val="24"/>
        </w:rPr>
        <w:t xml:space="preserve"> dňom dosiahnutia veku 65 rokov, okrem prípadu ak dôjde k zmene štátnozamestnaneckého pomeru a k predĺženiu trvania štátnozamestnaneckého pomeru najviac o 36 mesiacov.</w:t>
      </w:r>
    </w:p>
    <w:p w:rsidR="00B3641D" w:rsidRPr="00BC3CDD" w:rsidRDefault="0010388F" w:rsidP="00B36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Zavedenie tohto inštitútu </w:t>
      </w:r>
      <w:r w:rsidR="00B3641D" w:rsidRPr="00BC3CDD">
        <w:rPr>
          <w:rFonts w:ascii="Times New Roman" w:hAnsi="Times New Roman" w:cs="Times New Roman"/>
          <w:sz w:val="24"/>
          <w:szCs w:val="24"/>
        </w:rPr>
        <w:t>ne</w:t>
      </w:r>
      <w:r w:rsidRPr="00BC3CDD">
        <w:rPr>
          <w:rFonts w:ascii="Times New Roman" w:hAnsi="Times New Roman" w:cs="Times New Roman"/>
          <w:sz w:val="24"/>
          <w:szCs w:val="24"/>
        </w:rPr>
        <w:t>predpokladá  dopad na štátny rozpočet z</w:t>
      </w:r>
      <w:r w:rsidR="00B3641D" w:rsidRPr="00BC3CDD">
        <w:rPr>
          <w:rFonts w:ascii="Times New Roman" w:hAnsi="Times New Roman" w:cs="Times New Roman"/>
          <w:sz w:val="24"/>
          <w:szCs w:val="24"/>
        </w:rPr>
        <w:t> </w:t>
      </w:r>
      <w:r w:rsidRPr="00BC3CDD">
        <w:rPr>
          <w:rFonts w:ascii="Times New Roman" w:hAnsi="Times New Roman" w:cs="Times New Roman"/>
          <w:sz w:val="24"/>
          <w:szCs w:val="24"/>
        </w:rPr>
        <w:t>titulu</w:t>
      </w:r>
      <w:r w:rsidR="00B3641D" w:rsidRPr="00BC3CDD">
        <w:rPr>
          <w:rFonts w:ascii="Times New Roman" w:hAnsi="Times New Roman" w:cs="Times New Roman"/>
          <w:sz w:val="24"/>
          <w:szCs w:val="24"/>
        </w:rPr>
        <w:t xml:space="preserve">, </w:t>
      </w:r>
      <w:r w:rsidR="001E332A" w:rsidRPr="00BC3CDD">
        <w:rPr>
          <w:rFonts w:ascii="Times New Roman" w:hAnsi="Times New Roman" w:cs="Times New Roman"/>
          <w:sz w:val="24"/>
          <w:szCs w:val="24"/>
        </w:rPr>
        <w:t xml:space="preserve">nakoľko je predpoklad, </w:t>
      </w:r>
      <w:r w:rsidR="00B3641D" w:rsidRPr="00BC3CDD">
        <w:rPr>
          <w:rFonts w:ascii="Times New Roman" w:hAnsi="Times New Roman" w:cs="Times New Roman"/>
          <w:sz w:val="24"/>
          <w:szCs w:val="24"/>
        </w:rPr>
        <w:t xml:space="preserve">že na uvoľnené štátnozamestnanecké miesta </w:t>
      </w:r>
      <w:r w:rsidR="000502DB" w:rsidRPr="00BC3CDD">
        <w:rPr>
          <w:rFonts w:ascii="Times New Roman" w:hAnsi="Times New Roman" w:cs="Times New Roman"/>
          <w:sz w:val="24"/>
          <w:szCs w:val="24"/>
        </w:rPr>
        <w:t xml:space="preserve">by </w:t>
      </w:r>
      <w:r w:rsidR="001E332A" w:rsidRPr="00BC3CDD">
        <w:rPr>
          <w:rFonts w:ascii="Times New Roman" w:hAnsi="Times New Roman" w:cs="Times New Roman"/>
          <w:sz w:val="24"/>
          <w:szCs w:val="24"/>
        </w:rPr>
        <w:t xml:space="preserve">v prípade, ak by nedošlo k zmene štátnozamestnaneckého pomeru u tých štátnych zamestnancov, </w:t>
      </w:r>
      <w:r w:rsidR="000502DB" w:rsidRPr="00BC3CDD">
        <w:rPr>
          <w:rFonts w:ascii="Times New Roman" w:hAnsi="Times New Roman" w:cs="Times New Roman"/>
          <w:sz w:val="24"/>
          <w:szCs w:val="24"/>
        </w:rPr>
        <w:t xml:space="preserve">mali byť </w:t>
      </w:r>
      <w:r w:rsidR="00B3641D" w:rsidRPr="00BC3CDD">
        <w:rPr>
          <w:rFonts w:ascii="Times New Roman" w:hAnsi="Times New Roman" w:cs="Times New Roman"/>
          <w:sz w:val="24"/>
          <w:szCs w:val="24"/>
        </w:rPr>
        <w:t xml:space="preserve">prijatí </w:t>
      </w:r>
      <w:r w:rsidR="000502DB" w:rsidRPr="00BC3CDD">
        <w:rPr>
          <w:rFonts w:ascii="Times New Roman" w:hAnsi="Times New Roman" w:cs="Times New Roman"/>
          <w:sz w:val="24"/>
          <w:szCs w:val="24"/>
        </w:rPr>
        <w:t>noví</w:t>
      </w:r>
      <w:r w:rsidR="00B3641D" w:rsidRPr="00BC3CDD">
        <w:rPr>
          <w:rFonts w:ascii="Times New Roman" w:hAnsi="Times New Roman" w:cs="Times New Roman"/>
          <w:sz w:val="24"/>
          <w:szCs w:val="24"/>
        </w:rPr>
        <w:t xml:space="preserve"> štátni zamestnanci.</w:t>
      </w:r>
    </w:p>
    <w:p w:rsidR="00AC26B1" w:rsidRPr="00BC3CDD" w:rsidRDefault="00B3641D" w:rsidP="000D5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BC3807" w:rsidRPr="00BC3CDD">
        <w:rPr>
          <w:rFonts w:ascii="Times New Roman" w:hAnsi="Times New Roman" w:cs="Times New Roman"/>
          <w:b/>
          <w:sz w:val="24"/>
          <w:szCs w:val="24"/>
        </w:rPr>
        <w:t>Ad r</w:t>
      </w:r>
      <w:r w:rsidR="00AC26B1" w:rsidRPr="00BC3CDD">
        <w:rPr>
          <w:rFonts w:ascii="Times New Roman" w:hAnsi="Times New Roman" w:cs="Times New Roman"/>
          <w:b/>
          <w:sz w:val="24"/>
          <w:szCs w:val="24"/>
        </w:rPr>
        <w:t xml:space="preserve">) zavedenie nového druhu služobného voľna po </w:t>
      </w:r>
      <w:r w:rsidR="005F62EC" w:rsidRPr="00BC3CDD">
        <w:rPr>
          <w:rFonts w:ascii="Times New Roman" w:hAnsi="Times New Roman" w:cs="Times New Roman"/>
          <w:b/>
          <w:sz w:val="24"/>
          <w:szCs w:val="24"/>
        </w:rPr>
        <w:t>10</w:t>
      </w:r>
      <w:r w:rsidR="00AC26B1" w:rsidRPr="00BC3CDD">
        <w:rPr>
          <w:rFonts w:ascii="Times New Roman" w:hAnsi="Times New Roman" w:cs="Times New Roman"/>
          <w:b/>
          <w:sz w:val="24"/>
          <w:szCs w:val="24"/>
        </w:rPr>
        <w:t xml:space="preserve"> rokoch u príslušného </w:t>
      </w:r>
      <w:r w:rsidR="00D944F6" w:rsidRPr="00BC3CDD">
        <w:rPr>
          <w:rFonts w:ascii="Times New Roman" w:hAnsi="Times New Roman" w:cs="Times New Roman"/>
          <w:b/>
          <w:sz w:val="24"/>
          <w:szCs w:val="24"/>
        </w:rPr>
        <w:t>služobného úradu</w:t>
      </w:r>
    </w:p>
    <w:p w:rsidR="000D5B74" w:rsidRPr="00BC3CDD" w:rsidRDefault="00973CD0" w:rsidP="00973CD0">
      <w:pPr>
        <w:pStyle w:val="Odsekzoznamu"/>
        <w:spacing w:line="276" w:lineRule="auto"/>
        <w:ind w:left="0"/>
        <w:jc w:val="both"/>
      </w:pPr>
      <w:r w:rsidRPr="00BC3CDD">
        <w:t xml:space="preserve">Zavádza sa služobné voľno, ktoré patrí v rozsahu najviac šiestich mesiacov štátnemu zamestnancovi, ktorého štátnozamestnanecký pomer v príslušnom služobnom úrade trval nepretržite najmenej </w:t>
      </w:r>
      <w:r w:rsidR="005F62EC" w:rsidRPr="00BC3CDD">
        <w:t>desať</w:t>
      </w:r>
      <w:r w:rsidRPr="00BC3CDD">
        <w:t xml:space="preserve"> rokov. Za čas služobného voľna nepatrí štátnemu zamestnancovi funkčný plat, z tohto dôvodu z</w:t>
      </w:r>
      <w:r w:rsidR="000D5B74" w:rsidRPr="00BC3CDD">
        <w:t xml:space="preserve">avedenie tohto inštitútu nepredpokladá </w:t>
      </w:r>
      <w:r w:rsidRPr="00BC3CDD">
        <w:t xml:space="preserve">zvýšený </w:t>
      </w:r>
      <w:r w:rsidR="000D5B74" w:rsidRPr="00BC3CDD">
        <w:t>dopad na štátny rozpočet</w:t>
      </w:r>
      <w:r w:rsidRPr="00BC3CDD">
        <w:t>.</w:t>
      </w:r>
      <w:r w:rsidR="000D5B74" w:rsidRPr="00BC3CDD">
        <w:t xml:space="preserve"> </w:t>
      </w:r>
    </w:p>
    <w:p w:rsidR="00AC26B1" w:rsidRPr="00BC3CDD" w:rsidRDefault="00AC26B1" w:rsidP="00AC26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09CD" w:rsidRPr="00BC3CDD" w:rsidRDefault="00BC3807" w:rsidP="00FE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b/>
          <w:sz w:val="24"/>
          <w:szCs w:val="24"/>
        </w:rPr>
        <w:t>Ad s</w:t>
      </w:r>
      <w:r w:rsidR="00AC26B1" w:rsidRPr="00BC3CDD">
        <w:rPr>
          <w:rFonts w:ascii="Times New Roman" w:hAnsi="Times New Roman" w:cs="Times New Roman"/>
          <w:b/>
          <w:sz w:val="24"/>
          <w:szCs w:val="24"/>
        </w:rPr>
        <w:t xml:space="preserve">) zavedenie novej diferenciácie dĺžky výpovednej doby a odstupného v závislosti od dĺžky trvania štátnozamestnaneckého pomeru.   </w:t>
      </w:r>
    </w:p>
    <w:p w:rsidR="00FE09CD" w:rsidRPr="00BC3CDD" w:rsidRDefault="00FE09CD" w:rsidP="00FE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CD" w:rsidRPr="00BC3CDD" w:rsidRDefault="00146B86" w:rsidP="00FE0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Zavádza sa nová diferenciácia dĺžky výpovednej doby a odstupného v závislosti od dĺžky trvan</w:t>
      </w:r>
      <w:r w:rsidR="00402F3B" w:rsidRPr="00BC3CDD">
        <w:rPr>
          <w:rFonts w:ascii="Times New Roman" w:hAnsi="Times New Roman" w:cs="Times New Roman"/>
          <w:sz w:val="24"/>
          <w:szCs w:val="24"/>
        </w:rPr>
        <w:t>ia štátnozamestnaneckého pomeru pri skončení štátnozamestnaneckého pomeru výpoveďou alebo dohodou zo zdravotných dôvodov,</w:t>
      </w:r>
      <w:r w:rsidR="002A081D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FE09CD" w:rsidRPr="00BC3CDD">
        <w:rPr>
          <w:rFonts w:ascii="Times New Roman" w:hAnsi="Times New Roman" w:cs="Times New Roman"/>
          <w:sz w:val="24"/>
          <w:szCs w:val="24"/>
        </w:rPr>
        <w:t>ak na základe lekárskeho posudku štátny zamestnanec nemôže vykonávať štátnu službu alebo ak štátny zamestnanec bol odvolaný z funkcie vedúceho zamestnanca z dôvodov podľa § 61 ods. 1, 3 alebo 4 písm. a) a b) alebo ktorého funkcia vedúceho zamestnanca skončila na základe zákona podľa § 62 ods. 1 a ktorého štátnozamestnanecký pomer sa skončil výpoveďou z dôvodu uvedeného v § 75 ods. 1 písm. b) alebo dohodou o skončení štátnozamestnaneckého pomeru z toho istého dôvodu</w:t>
      </w:r>
      <w:r w:rsidR="00FE09CD" w:rsidRPr="00BC3CDD">
        <w:rPr>
          <w:b/>
        </w:rPr>
        <w:t>.</w:t>
      </w:r>
    </w:p>
    <w:p w:rsidR="00526679" w:rsidRPr="00BC3CDD" w:rsidRDefault="00526679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V tomto prípade štátnemu zamestnancovi patrí odstupné vo výške 2 násobku funkčného platu, ak jeho štátnozamestnanecký pomer trval najmenej 1 rok a menej ako 2 roky, vo výške 3 násobku funkčného platu, ak jeho štátnozamestnanecký pomer trval najmenej 2 roky</w:t>
      </w:r>
      <w:r w:rsidR="00F471A4" w:rsidRPr="00BC3CDD">
        <w:rPr>
          <w:rFonts w:ascii="Times New Roman" w:hAnsi="Times New Roman" w:cs="Times New Roman"/>
          <w:sz w:val="24"/>
          <w:szCs w:val="24"/>
        </w:rPr>
        <w:t xml:space="preserve"> a menej ako 5 rokov a vo výške </w:t>
      </w:r>
      <w:r w:rsidRPr="00BC3CDD">
        <w:rPr>
          <w:rFonts w:ascii="Times New Roman" w:hAnsi="Times New Roman" w:cs="Times New Roman"/>
          <w:sz w:val="24"/>
          <w:szCs w:val="24"/>
        </w:rPr>
        <w:t>4 násobku funkčného platu, ak jeho štátnozamestnanecký pomer trval najmenej 5 rokov.</w:t>
      </w:r>
    </w:p>
    <w:p w:rsidR="00EB52B6" w:rsidRPr="00BC3CDD" w:rsidRDefault="00EB52B6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2B6" w:rsidRPr="00BC3CDD" w:rsidRDefault="00EB52B6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Ako je uvedené, štátnemu zamestnancovi patrí odstupné až ak jeho štátnozamestnanecký pomer trval najmenej 1 rok. Súčasná právna úprava umožňuje štátnemu zamestnancovi priznať odstupné už po skončení skúšobnej doby. Z tohto dôvodu preto predpokladáme </w:t>
      </w:r>
      <w:r w:rsidRPr="00BC3CDD">
        <w:rPr>
          <w:rFonts w:ascii="Times New Roman" w:hAnsi="Times New Roman" w:cs="Times New Roman"/>
          <w:sz w:val="24"/>
          <w:szCs w:val="24"/>
        </w:rPr>
        <w:lastRenderedPageBreak/>
        <w:t>taktiež úsporu verejných zdrojov, avšak túto úsporu nie je možné vyčísliť z dôvodu, že takéto údaje služobné úrady v súčasnosti neevidujú.</w:t>
      </w:r>
    </w:p>
    <w:p w:rsidR="00402F3B" w:rsidRPr="00BC3CDD" w:rsidRDefault="00402F3B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BF4" w:rsidRPr="00BC3CDD" w:rsidRDefault="00402F3B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>Z údajov získaných Úradom vlády SR, ku koncu roka 2015 bolo celkovo ukončených výpoveďou 1</w:t>
      </w:r>
      <w:r w:rsidR="00F471A4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Pr="00BC3CDD">
        <w:rPr>
          <w:rFonts w:ascii="Times New Roman" w:hAnsi="Times New Roman" w:cs="Times New Roman"/>
          <w:sz w:val="24"/>
          <w:szCs w:val="24"/>
        </w:rPr>
        <w:t>053 štátnozamestnaneckých pomerov</w:t>
      </w:r>
      <w:r w:rsidR="00DA1BF4" w:rsidRPr="00BC3CDD">
        <w:rPr>
          <w:rFonts w:ascii="Times New Roman" w:hAnsi="Times New Roman" w:cs="Times New Roman"/>
          <w:sz w:val="24"/>
          <w:szCs w:val="24"/>
        </w:rPr>
        <w:t>, avšak nie je známy údaj, aký počet ukončení pripadá na základe vyššie uvedených dôvodov.</w:t>
      </w:r>
    </w:p>
    <w:p w:rsidR="00DA1BF4" w:rsidRPr="00BC3CDD" w:rsidRDefault="00DA1BF4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6C8" w:rsidRPr="00BC3CDD" w:rsidRDefault="00DA1BF4" w:rsidP="007E26C8">
      <w:pPr>
        <w:jc w:val="both"/>
        <w:rPr>
          <w:rFonts w:ascii="Times New Roman" w:hAnsi="Times New Roman" w:cs="Times New Roman"/>
          <w:sz w:val="24"/>
          <w:szCs w:val="24"/>
        </w:rPr>
      </w:pPr>
      <w:r w:rsidRPr="00BC3CDD">
        <w:rPr>
          <w:rFonts w:ascii="Times New Roman" w:hAnsi="Times New Roman" w:cs="Times New Roman"/>
          <w:sz w:val="24"/>
          <w:szCs w:val="24"/>
        </w:rPr>
        <w:t xml:space="preserve">Možno </w:t>
      </w:r>
      <w:r w:rsidR="004E5E77" w:rsidRPr="00BC3CDD">
        <w:rPr>
          <w:rFonts w:ascii="Times New Roman" w:hAnsi="Times New Roman" w:cs="Times New Roman"/>
          <w:sz w:val="24"/>
          <w:szCs w:val="24"/>
        </w:rPr>
        <w:t xml:space="preserve">však </w:t>
      </w:r>
      <w:r w:rsidRPr="00BC3CDD">
        <w:rPr>
          <w:rFonts w:ascii="Times New Roman" w:hAnsi="Times New Roman" w:cs="Times New Roman"/>
          <w:sz w:val="24"/>
          <w:szCs w:val="24"/>
        </w:rPr>
        <w:t>predpokladať</w:t>
      </w:r>
      <w:r w:rsidR="004E5E77" w:rsidRPr="00BC3CDD">
        <w:rPr>
          <w:rFonts w:ascii="Times New Roman" w:hAnsi="Times New Roman" w:cs="Times New Roman"/>
          <w:sz w:val="24"/>
          <w:szCs w:val="24"/>
        </w:rPr>
        <w:t xml:space="preserve">, že dopad na štátny rozpočet </w:t>
      </w:r>
      <w:r w:rsidR="0019324C" w:rsidRPr="00BC3CDD">
        <w:rPr>
          <w:rFonts w:ascii="Times New Roman" w:hAnsi="Times New Roman" w:cs="Times New Roman"/>
          <w:sz w:val="24"/>
          <w:szCs w:val="24"/>
        </w:rPr>
        <w:t xml:space="preserve">by </w:t>
      </w:r>
      <w:r w:rsidR="0029358D" w:rsidRPr="00BC3CDD">
        <w:rPr>
          <w:rFonts w:ascii="Times New Roman" w:hAnsi="Times New Roman" w:cs="Times New Roman"/>
          <w:sz w:val="24"/>
          <w:szCs w:val="24"/>
        </w:rPr>
        <w:t xml:space="preserve">priemerne </w:t>
      </w:r>
      <w:r w:rsidR="0019324C" w:rsidRPr="00BC3CDD">
        <w:rPr>
          <w:rFonts w:ascii="Times New Roman" w:hAnsi="Times New Roman" w:cs="Times New Roman"/>
          <w:sz w:val="24"/>
          <w:szCs w:val="24"/>
        </w:rPr>
        <w:t>mohol predstavovať</w:t>
      </w:r>
      <w:r w:rsidR="002072D3" w:rsidRPr="00BC3CDD">
        <w:rPr>
          <w:rFonts w:ascii="Times New Roman" w:hAnsi="Times New Roman" w:cs="Times New Roman"/>
          <w:sz w:val="24"/>
          <w:szCs w:val="24"/>
        </w:rPr>
        <w:t xml:space="preserve"> </w:t>
      </w:r>
      <w:r w:rsidR="007E26C8" w:rsidRPr="00BC3CDD">
        <w:rPr>
          <w:rFonts w:ascii="Times New Roman" w:hAnsi="Times New Roman" w:cs="Times New Roman"/>
          <w:sz w:val="24"/>
          <w:szCs w:val="24"/>
        </w:rPr>
        <w:t xml:space="preserve">v roku 2017 sumu </w:t>
      </w:r>
      <w:r w:rsidR="007E26C8" w:rsidRPr="00BC3CDD">
        <w:rPr>
          <w:rFonts w:ascii="Times New Roman" w:hAnsi="Times New Roman" w:cs="Times New Roman"/>
          <w:b/>
          <w:sz w:val="24"/>
          <w:szCs w:val="24"/>
        </w:rPr>
        <w:t>97 233 eur</w:t>
      </w:r>
      <w:r w:rsidR="007E26C8" w:rsidRPr="00BC3CDD">
        <w:rPr>
          <w:rFonts w:ascii="Times New Roman" w:hAnsi="Times New Roman" w:cs="Times New Roman"/>
          <w:sz w:val="24"/>
          <w:szCs w:val="24"/>
        </w:rPr>
        <w:t xml:space="preserve"> ( v tom 72 035 eur hrubá mzda a 25 198 eur poistné (34,95%)) a v roku 2018 a 2019 </w:t>
      </w:r>
      <w:r w:rsidR="002072D3" w:rsidRPr="00BC3CDD">
        <w:rPr>
          <w:rFonts w:ascii="Times New Roman" w:hAnsi="Times New Roman" w:cs="Times New Roman"/>
          <w:b/>
          <w:sz w:val="24"/>
          <w:szCs w:val="24"/>
        </w:rPr>
        <w:t>166 647 eur</w:t>
      </w:r>
      <w:r w:rsidR="002072D3" w:rsidRPr="00BC3CDD">
        <w:rPr>
          <w:rFonts w:ascii="Times New Roman" w:hAnsi="Times New Roman" w:cs="Times New Roman"/>
          <w:sz w:val="24"/>
          <w:szCs w:val="24"/>
        </w:rPr>
        <w:t xml:space="preserve"> (v tom 123 488 eur hrubá mzda + 43 159 eur poistné</w:t>
      </w:r>
      <w:r w:rsidR="004E0E80" w:rsidRPr="00BC3CDD">
        <w:rPr>
          <w:rFonts w:ascii="Times New Roman" w:hAnsi="Times New Roman" w:cs="Times New Roman"/>
          <w:sz w:val="24"/>
          <w:szCs w:val="24"/>
        </w:rPr>
        <w:t xml:space="preserve"> (34,95%)</w:t>
      </w:r>
      <w:r w:rsidR="002072D3" w:rsidRPr="00BC3CDD">
        <w:rPr>
          <w:rFonts w:ascii="Times New Roman" w:hAnsi="Times New Roman" w:cs="Times New Roman"/>
          <w:sz w:val="24"/>
          <w:szCs w:val="24"/>
        </w:rPr>
        <w:t>)</w:t>
      </w:r>
      <w:r w:rsidR="007E26C8" w:rsidRPr="00BC3CDD">
        <w:rPr>
          <w:rFonts w:ascii="Times New Roman" w:hAnsi="Times New Roman" w:cs="Times New Roman"/>
          <w:sz w:val="24"/>
          <w:szCs w:val="24"/>
        </w:rPr>
        <w:t xml:space="preserve"> na 1 rok</w:t>
      </w:r>
      <w:r w:rsidR="0095205C" w:rsidRPr="00BC3CDD">
        <w:rPr>
          <w:rFonts w:ascii="Times New Roman" w:hAnsi="Times New Roman" w:cs="Times New Roman"/>
          <w:sz w:val="24"/>
          <w:szCs w:val="24"/>
        </w:rPr>
        <w:t xml:space="preserve">. Tento predpoklad je len </w:t>
      </w:r>
      <w:r w:rsidR="0095205C" w:rsidRPr="00BC3CDD">
        <w:rPr>
          <w:rFonts w:ascii="Times New Roman" w:hAnsi="Times New Roman" w:cs="Times New Roman"/>
          <w:sz w:val="24"/>
          <w:szCs w:val="24"/>
          <w:u w:val="single"/>
        </w:rPr>
        <w:t>indikatívny</w:t>
      </w:r>
      <w:r w:rsidR="0095205C" w:rsidRPr="00BC3CDD">
        <w:rPr>
          <w:rFonts w:ascii="Times New Roman" w:hAnsi="Times New Roman" w:cs="Times New Roman"/>
          <w:sz w:val="24"/>
          <w:szCs w:val="24"/>
        </w:rPr>
        <w:t xml:space="preserve"> z dôvodu, že v nasledujúcich rokoch nemusí dôjsť k skončeniu žiadneho štátnozamestnaneckého pomeru z hore uvedených dôvodov, čo nespôsobí žiadny resp. minimálny dopad na štátny rozpočet</w:t>
      </w:r>
      <w:r w:rsidR="002072D3" w:rsidRPr="00BC3CDD">
        <w:rPr>
          <w:rFonts w:ascii="Times New Roman" w:hAnsi="Times New Roman" w:cs="Times New Roman"/>
          <w:sz w:val="24"/>
          <w:szCs w:val="24"/>
        </w:rPr>
        <w:t>.</w:t>
      </w:r>
      <w:r w:rsidR="00EB52B6" w:rsidRPr="00BC3CDD">
        <w:rPr>
          <w:rFonts w:ascii="Times New Roman" w:hAnsi="Times New Roman" w:cs="Times New Roman"/>
          <w:sz w:val="24"/>
          <w:szCs w:val="24"/>
        </w:rPr>
        <w:t xml:space="preserve"> Prípadné zvýšené výdavky </w:t>
      </w:r>
      <w:r w:rsidR="007E26C8" w:rsidRPr="00BC3CDD">
        <w:rPr>
          <w:rFonts w:ascii="Times New Roman" w:hAnsi="Times New Roman" w:cs="Times New Roman"/>
          <w:sz w:val="24"/>
          <w:szCs w:val="24"/>
        </w:rPr>
        <w:t>si jednotlivé rozpočtové kapitoly zabezpečia v rámci schválených limitov výdavkov jednotlivých kapitol štátneho rozpočtu na príslušný rozpočtový rok.</w:t>
      </w:r>
    </w:p>
    <w:p w:rsidR="00EB52B6" w:rsidRPr="00BC3CDD" w:rsidRDefault="00EB52B6" w:rsidP="00EB5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F3B" w:rsidRPr="00BC3CDD" w:rsidRDefault="00402F3B" w:rsidP="000423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BC3CDD" w:rsidSect="00B259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BC3CDD" w:rsidRPr="00BC3CDD" w:rsidTr="00621DB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3CDD" w:rsidRPr="00BC3CDD" w:rsidTr="00621DBF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BC3CDD" w:rsidRPr="00BC3CDD" w:rsidTr="002451A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3CDD" w:rsidRPr="00BC3CDD" w:rsidTr="002451A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Kapitola 03 Úrad vlády SR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Program 06P – Tvorba a implementácia politík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247 463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866 025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870 395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Rada (11) + OŠSVS (12)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CISŠS (10-12/2019) udržateľnosť -prevádzka)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222 763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837 225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868 595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  Rada + OŠSVS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109 200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472 200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472 200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38 166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139 262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139 262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75 397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225 763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197 133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CISŠS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C3CDD"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24 700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24 700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28 800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Kapitola 12 Ministerstvo vnútra SR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Program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OE901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 Efektívna verejná správa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477 000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404 000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403 000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Týka sa projektu Hodnotiace centrum financovaného v rámci OP EVS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(Rozdelenie pomeru 85 % a 15 % spolufinancovanie je uvedený v tabuľke č. 1)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347 000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394 000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393 000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111 152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111 152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111 152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197 000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244 000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243 000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C3CDD"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Kapitola 15 Ministerstvo financií SR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C3CD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Program OEJ - Informačná spoločnosť 2014 – 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35 855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2 000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000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2 000 </w:t>
            </w:r>
            <w:proofErr w:type="spellStart"/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000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Zavedenie Centrálneho informačného systému štátnej služby prevádzkové náklady na rok 10/2019-12/2019 sú uvedené v kapitole 03 UV SR </w:t>
            </w:r>
          </w:p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(Rozdelenie pomeru 85 % a 15 % spolufinancovanie je uvedené v tabuľke č. 1)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35 855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35 855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Ostatné kapitoly štátneho rozpočtu (vrátane kapitoly 03, 12, 15)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2 779 933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3 958 088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3 958 088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2 779 933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3 958 088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3 958 088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1 917 921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2 689 515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2 689 515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670 314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939 986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939 986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328 587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328 587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Odstupné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C3CDD"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35 855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5 504 396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7 228 113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5 831 483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3 649 696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5 489 313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5 419 683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2 138 273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3 272 867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3 272 867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747 328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1 118 096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1 118 096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572 397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769 763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700 133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191 698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328 587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328 587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C3CDD">
              <w:t xml:space="preserve"> 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1 854 700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1 738 800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411 800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1 854 700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1 738 800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411 800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2451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6" w:rsidRPr="00BC3CDD" w:rsidRDefault="00653126" w:rsidP="0024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26" w:rsidRPr="00BC3CDD" w:rsidRDefault="00653126" w:rsidP="0024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C3C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BC3CD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BC3CDD" w:rsidRPr="00BC3CDD" w:rsidTr="00621DB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3CDD" w:rsidRPr="00BC3CDD" w:rsidTr="00BA6203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E758B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E758B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E758B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E758B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C3CDD" w:rsidRPr="00BC3CDD" w:rsidTr="00BA6203"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4673" w:rsidRPr="00BC3CDD" w:rsidRDefault="001F467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Kapitola </w:t>
            </w:r>
            <w:r w:rsidR="00E17789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03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Úrad vlády SR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4673" w:rsidRPr="00BC3CDD" w:rsidRDefault="001F467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4673" w:rsidRPr="00BC3CDD" w:rsidRDefault="00F1262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12+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4673" w:rsidRPr="00BC3CDD" w:rsidRDefault="004701F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F12627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1F4673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4673" w:rsidRPr="00BC3CDD" w:rsidRDefault="004701F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F12627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1F4673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1F4673" w:rsidRPr="00BC3CDD" w:rsidRDefault="00C86C6D" w:rsidP="0066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OŠSVS</w:t>
            </w:r>
            <w:r w:rsidR="00F12627"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(12</w:t>
            </w:r>
            <w:r w:rsidR="004701F9"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+Rada</w:t>
            </w:r>
            <w:r w:rsidR="004701F9"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66628D"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11)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6662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F12627" w:rsidP="003A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12+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  <w:r w:rsidR="00CE0AB1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  <w:r w:rsidR="00CE0AB1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F1262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12+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E302A9" w:rsidP="002F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66628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1 3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3C320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3C320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10612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7D574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E302A9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1 3</w:t>
            </w:r>
            <w:r w:rsidR="0066628D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7D574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1 4</w:t>
            </w:r>
            <w:r w:rsidR="0066628D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7D574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1 4</w:t>
            </w:r>
            <w:r w:rsidR="0066628D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106121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  <w:r w:rsidR="007D5748"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BA6203">
        <w:trPr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1F" w:rsidRPr="00BC3CDD" w:rsidRDefault="00BE691F" w:rsidP="00C2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Kapitola </w:t>
            </w:r>
            <w:r w:rsidR="00E17789"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12 </w:t>
            </w: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Ministerstvo vnútra SR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1F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5+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5+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5+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E691F" w:rsidRPr="00BC3CDD" w:rsidRDefault="00BE691F" w:rsidP="00E6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Hodnotiace centrum </w:t>
            </w:r>
            <w:r w:rsidR="00E64EF2"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UV SR </w:t>
            </w: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OP EVS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C2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1F" w:rsidRPr="00BC3CDD" w:rsidRDefault="00BE691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C2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E302A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826FC0" w:rsidP="008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1853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826FC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1853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826FC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1853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1F" w:rsidRPr="00BC3CDD" w:rsidRDefault="00BE691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BA620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C2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91F" w:rsidRPr="00BC3CDD" w:rsidRDefault="00BE691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1F" w:rsidRPr="00BC3CDD" w:rsidRDefault="00BE691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297 366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761 463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761 463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220 352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583 352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9C0DA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583 352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D" w:rsidRPr="00BC3CDD" w:rsidRDefault="00400CE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Hodnotiace centrum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(5)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E64EF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i/>
                <w:sz w:val="20"/>
                <w:szCs w:val="20"/>
              </w:rPr>
              <w:t>111 152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E64EF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i/>
                <w:sz w:val="20"/>
                <w:szCs w:val="20"/>
              </w:rPr>
              <w:t>111 152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EF2" w:rsidRPr="00BC3CDD" w:rsidRDefault="00E64EF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i/>
                <w:sz w:val="20"/>
                <w:szCs w:val="20"/>
              </w:rPr>
              <w:t>111 152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CED" w:rsidRPr="00BC3CDD" w:rsidRDefault="00400CE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D" w:rsidRPr="00BC3CDD" w:rsidRDefault="00400CE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Rada pre štátnu službu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(11)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400CE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285 000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285 000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CED" w:rsidRPr="00BC3CDD" w:rsidRDefault="00400CE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D" w:rsidRPr="00BC3CDD" w:rsidRDefault="00400CED" w:rsidP="0088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Odbor štátnej služby a verejnej služby UV SR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(1</w:t>
            </w:r>
            <w:r w:rsidR="0088709B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2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400CE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109 200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187 200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ED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187 200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CED" w:rsidRPr="00BC3CDD" w:rsidRDefault="00400CE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4506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109 200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472 200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472 200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5353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77 014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5353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178 111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25353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178 111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2A" w:rsidRPr="00BC3CDD" w:rsidRDefault="0009082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Hodnotiace centrum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(5)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E64EF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E64EF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38 848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D79" w:rsidRPr="00BC3CDD" w:rsidRDefault="00D32D7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2A" w:rsidRPr="00BC3CDD" w:rsidRDefault="0009082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Rada pre štátnu službu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(11)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09082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2F07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466A7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73 836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466A7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73 836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82A" w:rsidRPr="00BC3CDD" w:rsidRDefault="0009082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2A" w:rsidRPr="00BC3CDD" w:rsidRDefault="0009082A" w:rsidP="002F0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Odbor štátnej služby a verejnej služby UV SR</w:t>
            </w:r>
            <w:r w:rsidR="002F0716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 (12</w:t>
            </w:r>
            <w:r w:rsidR="003C3208" w:rsidRPr="00BC3C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09082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hAnsi="Times New Roman" w:cs="Times New Roman"/>
                <w:sz w:val="20"/>
                <w:szCs w:val="20"/>
              </w:rPr>
              <w:t>38 166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65 427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82A" w:rsidRPr="00BC3CDD" w:rsidRDefault="0025353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65 427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82A" w:rsidRPr="00BC3CDD" w:rsidRDefault="0009082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4506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38 166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139 262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C3CDD" w:rsidRDefault="0088709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139 262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BC3CDD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C3CDD" w:rsidRPr="00BC3CDD" w:rsidTr="00621DBF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C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C3CD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BC3C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BC3CDD" w:rsidSect="00B2598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BC3CDD" w:rsidRDefault="00CB3623" w:rsidP="003356CC"/>
    <w:sectPr w:rsidR="00CB3623" w:rsidRPr="00BC3CDD" w:rsidSect="00B2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AB" w:rsidRDefault="002451AB">
      <w:pPr>
        <w:spacing w:after="0" w:line="240" w:lineRule="auto"/>
      </w:pPr>
      <w:r>
        <w:separator/>
      </w:r>
    </w:p>
  </w:endnote>
  <w:endnote w:type="continuationSeparator" w:id="0">
    <w:p w:rsidR="002451AB" w:rsidRDefault="002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Default="002451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2451AB" w:rsidRDefault="002451A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Default="002451A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C3CDD">
      <w:rPr>
        <w:noProof/>
      </w:rPr>
      <w:t>1</w:t>
    </w:r>
    <w:r>
      <w:fldChar w:fldCharType="end"/>
    </w:r>
  </w:p>
  <w:p w:rsidR="002451AB" w:rsidRDefault="002451AB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Default="002451A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2451AB" w:rsidRDefault="002451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AB" w:rsidRDefault="002451AB">
      <w:pPr>
        <w:spacing w:after="0" w:line="240" w:lineRule="auto"/>
      </w:pPr>
      <w:r>
        <w:separator/>
      </w:r>
    </w:p>
  </w:footnote>
  <w:footnote w:type="continuationSeparator" w:id="0">
    <w:p w:rsidR="002451AB" w:rsidRDefault="0024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Default="002451AB" w:rsidP="00621DB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2451AB" w:rsidRPr="00EB59C8" w:rsidRDefault="002451AB" w:rsidP="00621DB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Pr="0024067A" w:rsidRDefault="002451AB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AB" w:rsidRPr="000A15AE" w:rsidRDefault="002451AB" w:rsidP="00621DB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D2E"/>
    <w:multiLevelType w:val="hybridMultilevel"/>
    <w:tmpl w:val="C5AA8518"/>
    <w:lvl w:ilvl="0" w:tplc="2D268F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246E3"/>
    <w:multiLevelType w:val="hybridMultilevel"/>
    <w:tmpl w:val="7700B286"/>
    <w:lvl w:ilvl="0" w:tplc="11BCD950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E0ACF"/>
    <w:multiLevelType w:val="hybridMultilevel"/>
    <w:tmpl w:val="C5AA8518"/>
    <w:lvl w:ilvl="0" w:tplc="2D268F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51F9B"/>
    <w:multiLevelType w:val="hybridMultilevel"/>
    <w:tmpl w:val="815ADA72"/>
    <w:lvl w:ilvl="0" w:tplc="041B0001">
      <w:start w:val="8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6310E"/>
    <w:multiLevelType w:val="hybridMultilevel"/>
    <w:tmpl w:val="C5AA8518"/>
    <w:lvl w:ilvl="0" w:tplc="2D268F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2D61D8"/>
    <w:multiLevelType w:val="hybridMultilevel"/>
    <w:tmpl w:val="0D827460"/>
    <w:lvl w:ilvl="0" w:tplc="18EEC2F6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946B1"/>
    <w:multiLevelType w:val="hybridMultilevel"/>
    <w:tmpl w:val="C5AA8518"/>
    <w:lvl w:ilvl="0" w:tplc="2D268F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2C7745"/>
    <w:multiLevelType w:val="hybridMultilevel"/>
    <w:tmpl w:val="81BC6E66"/>
    <w:lvl w:ilvl="0" w:tplc="AC548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74D09"/>
    <w:multiLevelType w:val="hybridMultilevel"/>
    <w:tmpl w:val="10700AD4"/>
    <w:lvl w:ilvl="0" w:tplc="308240C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E7DDD"/>
    <w:multiLevelType w:val="hybridMultilevel"/>
    <w:tmpl w:val="10EEE1D6"/>
    <w:lvl w:ilvl="0" w:tplc="6CDCD6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134D6"/>
    <w:multiLevelType w:val="hybridMultilevel"/>
    <w:tmpl w:val="C0B467D2"/>
    <w:lvl w:ilvl="0" w:tplc="2F0E877A">
      <w:start w:val="88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0463"/>
    <w:rsid w:val="0000344A"/>
    <w:rsid w:val="00010CC5"/>
    <w:rsid w:val="00011C9C"/>
    <w:rsid w:val="00016405"/>
    <w:rsid w:val="000204A8"/>
    <w:rsid w:val="00033850"/>
    <w:rsid w:val="000339C6"/>
    <w:rsid w:val="00034C09"/>
    <w:rsid w:val="0003564E"/>
    <w:rsid w:val="00035EB6"/>
    <w:rsid w:val="000418AC"/>
    <w:rsid w:val="00042345"/>
    <w:rsid w:val="00046014"/>
    <w:rsid w:val="000502DB"/>
    <w:rsid w:val="00051A7C"/>
    <w:rsid w:val="00053A7A"/>
    <w:rsid w:val="00054289"/>
    <w:rsid w:val="00057135"/>
    <w:rsid w:val="00065284"/>
    <w:rsid w:val="00065D46"/>
    <w:rsid w:val="00077928"/>
    <w:rsid w:val="00081C28"/>
    <w:rsid w:val="000838E6"/>
    <w:rsid w:val="00086866"/>
    <w:rsid w:val="0009082A"/>
    <w:rsid w:val="00095077"/>
    <w:rsid w:val="000A0E91"/>
    <w:rsid w:val="000A1F03"/>
    <w:rsid w:val="000C13FC"/>
    <w:rsid w:val="000C6792"/>
    <w:rsid w:val="000D4B6B"/>
    <w:rsid w:val="000D4EF2"/>
    <w:rsid w:val="000D5B74"/>
    <w:rsid w:val="000D67FE"/>
    <w:rsid w:val="000E67A3"/>
    <w:rsid w:val="000E68E6"/>
    <w:rsid w:val="0010388F"/>
    <w:rsid w:val="00106121"/>
    <w:rsid w:val="001127A8"/>
    <w:rsid w:val="00113D95"/>
    <w:rsid w:val="00116EBB"/>
    <w:rsid w:val="00120EF6"/>
    <w:rsid w:val="001235B8"/>
    <w:rsid w:val="00123A3A"/>
    <w:rsid w:val="0012675E"/>
    <w:rsid w:val="00126BD7"/>
    <w:rsid w:val="00131995"/>
    <w:rsid w:val="001343E9"/>
    <w:rsid w:val="00135428"/>
    <w:rsid w:val="00137CD7"/>
    <w:rsid w:val="001433E0"/>
    <w:rsid w:val="00146B86"/>
    <w:rsid w:val="0014716F"/>
    <w:rsid w:val="00150F66"/>
    <w:rsid w:val="00152393"/>
    <w:rsid w:val="00152CAF"/>
    <w:rsid w:val="00152D1F"/>
    <w:rsid w:val="00161BA4"/>
    <w:rsid w:val="00162B00"/>
    <w:rsid w:val="00170D2B"/>
    <w:rsid w:val="00173DA7"/>
    <w:rsid w:val="00184A5D"/>
    <w:rsid w:val="0018589F"/>
    <w:rsid w:val="00191CEA"/>
    <w:rsid w:val="0019324C"/>
    <w:rsid w:val="001A22ED"/>
    <w:rsid w:val="001A5710"/>
    <w:rsid w:val="001C0F81"/>
    <w:rsid w:val="001C25B1"/>
    <w:rsid w:val="001D0640"/>
    <w:rsid w:val="001D0973"/>
    <w:rsid w:val="001D3C12"/>
    <w:rsid w:val="001E332A"/>
    <w:rsid w:val="001E55F2"/>
    <w:rsid w:val="001F4673"/>
    <w:rsid w:val="001F6029"/>
    <w:rsid w:val="001F6811"/>
    <w:rsid w:val="00200898"/>
    <w:rsid w:val="00200909"/>
    <w:rsid w:val="00201A7E"/>
    <w:rsid w:val="00204121"/>
    <w:rsid w:val="0020567B"/>
    <w:rsid w:val="002072D3"/>
    <w:rsid w:val="00212894"/>
    <w:rsid w:val="00227733"/>
    <w:rsid w:val="00230A5D"/>
    <w:rsid w:val="00236F5F"/>
    <w:rsid w:val="00240496"/>
    <w:rsid w:val="00244B11"/>
    <w:rsid w:val="002451AB"/>
    <w:rsid w:val="002513A9"/>
    <w:rsid w:val="00253531"/>
    <w:rsid w:val="00276B39"/>
    <w:rsid w:val="002820DF"/>
    <w:rsid w:val="00282A1C"/>
    <w:rsid w:val="002874BD"/>
    <w:rsid w:val="0029358D"/>
    <w:rsid w:val="002943BD"/>
    <w:rsid w:val="002A081D"/>
    <w:rsid w:val="002B4F54"/>
    <w:rsid w:val="002B5EB3"/>
    <w:rsid w:val="002C46CA"/>
    <w:rsid w:val="002C49E2"/>
    <w:rsid w:val="002D434F"/>
    <w:rsid w:val="002D475A"/>
    <w:rsid w:val="002E1CE8"/>
    <w:rsid w:val="002E57DF"/>
    <w:rsid w:val="002E7511"/>
    <w:rsid w:val="002E7D20"/>
    <w:rsid w:val="002F0716"/>
    <w:rsid w:val="002F60FA"/>
    <w:rsid w:val="002F62DD"/>
    <w:rsid w:val="00300E9E"/>
    <w:rsid w:val="00301E81"/>
    <w:rsid w:val="00307C00"/>
    <w:rsid w:val="00317B90"/>
    <w:rsid w:val="003252D2"/>
    <w:rsid w:val="00326D07"/>
    <w:rsid w:val="0032704A"/>
    <w:rsid w:val="00331E42"/>
    <w:rsid w:val="003356CC"/>
    <w:rsid w:val="0033751A"/>
    <w:rsid w:val="00345D7B"/>
    <w:rsid w:val="0035142E"/>
    <w:rsid w:val="00352D9A"/>
    <w:rsid w:val="00354723"/>
    <w:rsid w:val="00373317"/>
    <w:rsid w:val="003770F6"/>
    <w:rsid w:val="00384B01"/>
    <w:rsid w:val="003954F8"/>
    <w:rsid w:val="003A3B45"/>
    <w:rsid w:val="003A5B7D"/>
    <w:rsid w:val="003B29C5"/>
    <w:rsid w:val="003B3852"/>
    <w:rsid w:val="003C1A67"/>
    <w:rsid w:val="003C1F00"/>
    <w:rsid w:val="003C26AF"/>
    <w:rsid w:val="003C3208"/>
    <w:rsid w:val="003E7639"/>
    <w:rsid w:val="00400CED"/>
    <w:rsid w:val="00402F3B"/>
    <w:rsid w:val="004036B9"/>
    <w:rsid w:val="0040381C"/>
    <w:rsid w:val="004040A1"/>
    <w:rsid w:val="00405F11"/>
    <w:rsid w:val="00407080"/>
    <w:rsid w:val="0041061F"/>
    <w:rsid w:val="00412264"/>
    <w:rsid w:val="004155E5"/>
    <w:rsid w:val="00420C8D"/>
    <w:rsid w:val="0042624A"/>
    <w:rsid w:val="00427ADB"/>
    <w:rsid w:val="00433AF6"/>
    <w:rsid w:val="0045063D"/>
    <w:rsid w:val="00451514"/>
    <w:rsid w:val="00452501"/>
    <w:rsid w:val="00462161"/>
    <w:rsid w:val="00466A7B"/>
    <w:rsid w:val="004701F9"/>
    <w:rsid w:val="00471554"/>
    <w:rsid w:val="004769F5"/>
    <w:rsid w:val="00482945"/>
    <w:rsid w:val="00487C37"/>
    <w:rsid w:val="004963B5"/>
    <w:rsid w:val="004B616A"/>
    <w:rsid w:val="004C5700"/>
    <w:rsid w:val="004C7731"/>
    <w:rsid w:val="004C7898"/>
    <w:rsid w:val="004D00EC"/>
    <w:rsid w:val="004D12D8"/>
    <w:rsid w:val="004D3A01"/>
    <w:rsid w:val="004E0A36"/>
    <w:rsid w:val="004E0E80"/>
    <w:rsid w:val="004E5E77"/>
    <w:rsid w:val="004E61F5"/>
    <w:rsid w:val="004E6AEF"/>
    <w:rsid w:val="004E778C"/>
    <w:rsid w:val="004F101C"/>
    <w:rsid w:val="004F526E"/>
    <w:rsid w:val="004F55FA"/>
    <w:rsid w:val="005005EC"/>
    <w:rsid w:val="00503F59"/>
    <w:rsid w:val="005103C2"/>
    <w:rsid w:val="00512AA3"/>
    <w:rsid w:val="00514828"/>
    <w:rsid w:val="00524A37"/>
    <w:rsid w:val="00526679"/>
    <w:rsid w:val="0053448E"/>
    <w:rsid w:val="00534C57"/>
    <w:rsid w:val="00534D78"/>
    <w:rsid w:val="00537E83"/>
    <w:rsid w:val="00540629"/>
    <w:rsid w:val="0054606E"/>
    <w:rsid w:val="005464E0"/>
    <w:rsid w:val="00553640"/>
    <w:rsid w:val="00564F15"/>
    <w:rsid w:val="00572B91"/>
    <w:rsid w:val="00575E38"/>
    <w:rsid w:val="00585895"/>
    <w:rsid w:val="00587A82"/>
    <w:rsid w:val="00590D14"/>
    <w:rsid w:val="005917B4"/>
    <w:rsid w:val="005951E4"/>
    <w:rsid w:val="0059526A"/>
    <w:rsid w:val="005A0DC3"/>
    <w:rsid w:val="005C0BA7"/>
    <w:rsid w:val="005C375D"/>
    <w:rsid w:val="005D4711"/>
    <w:rsid w:val="005D4BC1"/>
    <w:rsid w:val="005E0DF6"/>
    <w:rsid w:val="005E2E31"/>
    <w:rsid w:val="005E5538"/>
    <w:rsid w:val="005E5840"/>
    <w:rsid w:val="005F4A15"/>
    <w:rsid w:val="005F62EC"/>
    <w:rsid w:val="00606184"/>
    <w:rsid w:val="00621DBF"/>
    <w:rsid w:val="006232F9"/>
    <w:rsid w:val="006372E3"/>
    <w:rsid w:val="00645F86"/>
    <w:rsid w:val="00651EED"/>
    <w:rsid w:val="00653126"/>
    <w:rsid w:val="00653635"/>
    <w:rsid w:val="00665088"/>
    <w:rsid w:val="0066628D"/>
    <w:rsid w:val="00680944"/>
    <w:rsid w:val="006857D2"/>
    <w:rsid w:val="006864F4"/>
    <w:rsid w:val="00687902"/>
    <w:rsid w:val="00691550"/>
    <w:rsid w:val="006A5262"/>
    <w:rsid w:val="006B0962"/>
    <w:rsid w:val="006B61F8"/>
    <w:rsid w:val="006B6DE1"/>
    <w:rsid w:val="006C24A3"/>
    <w:rsid w:val="006C3A56"/>
    <w:rsid w:val="006C6648"/>
    <w:rsid w:val="006D0608"/>
    <w:rsid w:val="006D2687"/>
    <w:rsid w:val="006E67AE"/>
    <w:rsid w:val="006F7914"/>
    <w:rsid w:val="00701DD9"/>
    <w:rsid w:val="00704968"/>
    <w:rsid w:val="00705218"/>
    <w:rsid w:val="00707964"/>
    <w:rsid w:val="007243E7"/>
    <w:rsid w:val="007246BD"/>
    <w:rsid w:val="007260E8"/>
    <w:rsid w:val="00726D28"/>
    <w:rsid w:val="0073144F"/>
    <w:rsid w:val="00732DE7"/>
    <w:rsid w:val="0074183D"/>
    <w:rsid w:val="007459D8"/>
    <w:rsid w:val="00747609"/>
    <w:rsid w:val="00752120"/>
    <w:rsid w:val="00755683"/>
    <w:rsid w:val="00777EB4"/>
    <w:rsid w:val="00784E90"/>
    <w:rsid w:val="00787615"/>
    <w:rsid w:val="0079661B"/>
    <w:rsid w:val="007B11BD"/>
    <w:rsid w:val="007B3C42"/>
    <w:rsid w:val="007B6DF6"/>
    <w:rsid w:val="007B732C"/>
    <w:rsid w:val="007D5748"/>
    <w:rsid w:val="007E08E7"/>
    <w:rsid w:val="007E26C8"/>
    <w:rsid w:val="007F16AE"/>
    <w:rsid w:val="007F5C8E"/>
    <w:rsid w:val="00803184"/>
    <w:rsid w:val="00804848"/>
    <w:rsid w:val="00810F51"/>
    <w:rsid w:val="008245C5"/>
    <w:rsid w:val="00826FC0"/>
    <w:rsid w:val="00831832"/>
    <w:rsid w:val="00840D36"/>
    <w:rsid w:val="00846FC5"/>
    <w:rsid w:val="00854C7C"/>
    <w:rsid w:val="0085562C"/>
    <w:rsid w:val="00871124"/>
    <w:rsid w:val="008770B6"/>
    <w:rsid w:val="008777FA"/>
    <w:rsid w:val="00882012"/>
    <w:rsid w:val="00883C15"/>
    <w:rsid w:val="0088413C"/>
    <w:rsid w:val="0088709B"/>
    <w:rsid w:val="008877AC"/>
    <w:rsid w:val="00895C1D"/>
    <w:rsid w:val="008A4051"/>
    <w:rsid w:val="008A53C8"/>
    <w:rsid w:val="008B0914"/>
    <w:rsid w:val="008B0F27"/>
    <w:rsid w:val="008B18D0"/>
    <w:rsid w:val="008B44C9"/>
    <w:rsid w:val="008C1120"/>
    <w:rsid w:val="008C5E57"/>
    <w:rsid w:val="008D1A38"/>
    <w:rsid w:val="008D2E71"/>
    <w:rsid w:val="008D339D"/>
    <w:rsid w:val="008D7472"/>
    <w:rsid w:val="008E1F17"/>
    <w:rsid w:val="008E2736"/>
    <w:rsid w:val="008E6746"/>
    <w:rsid w:val="008F1586"/>
    <w:rsid w:val="008F32EF"/>
    <w:rsid w:val="00901618"/>
    <w:rsid w:val="00903B1B"/>
    <w:rsid w:val="00906E11"/>
    <w:rsid w:val="00920AD7"/>
    <w:rsid w:val="00935123"/>
    <w:rsid w:val="00942FF4"/>
    <w:rsid w:val="00943AFA"/>
    <w:rsid w:val="00943E97"/>
    <w:rsid w:val="00947949"/>
    <w:rsid w:val="0095205C"/>
    <w:rsid w:val="009535D2"/>
    <w:rsid w:val="00953CAF"/>
    <w:rsid w:val="00961D86"/>
    <w:rsid w:val="0096217C"/>
    <w:rsid w:val="009631CF"/>
    <w:rsid w:val="00964651"/>
    <w:rsid w:val="009706B7"/>
    <w:rsid w:val="00973CD0"/>
    <w:rsid w:val="009750A2"/>
    <w:rsid w:val="009779CF"/>
    <w:rsid w:val="00984367"/>
    <w:rsid w:val="00984A7E"/>
    <w:rsid w:val="00984D34"/>
    <w:rsid w:val="0098586B"/>
    <w:rsid w:val="00985886"/>
    <w:rsid w:val="00987093"/>
    <w:rsid w:val="009A3FE1"/>
    <w:rsid w:val="009B436B"/>
    <w:rsid w:val="009C0DAB"/>
    <w:rsid w:val="009C388A"/>
    <w:rsid w:val="009D0404"/>
    <w:rsid w:val="009D1E25"/>
    <w:rsid w:val="009D2DB8"/>
    <w:rsid w:val="009D3346"/>
    <w:rsid w:val="009D3A84"/>
    <w:rsid w:val="009D47F3"/>
    <w:rsid w:val="009D5768"/>
    <w:rsid w:val="009F7FA5"/>
    <w:rsid w:val="00A01A3B"/>
    <w:rsid w:val="00A06620"/>
    <w:rsid w:val="00A27121"/>
    <w:rsid w:val="00A322FC"/>
    <w:rsid w:val="00A3282F"/>
    <w:rsid w:val="00A466E0"/>
    <w:rsid w:val="00A5130D"/>
    <w:rsid w:val="00A54F67"/>
    <w:rsid w:val="00A66461"/>
    <w:rsid w:val="00A75AFC"/>
    <w:rsid w:val="00A81A09"/>
    <w:rsid w:val="00A84B44"/>
    <w:rsid w:val="00A914D5"/>
    <w:rsid w:val="00A92C26"/>
    <w:rsid w:val="00A92DBE"/>
    <w:rsid w:val="00A95CB8"/>
    <w:rsid w:val="00A95EF9"/>
    <w:rsid w:val="00AB1FA0"/>
    <w:rsid w:val="00AB2AF3"/>
    <w:rsid w:val="00AC26B1"/>
    <w:rsid w:val="00AC27E4"/>
    <w:rsid w:val="00AD0F6E"/>
    <w:rsid w:val="00AD2102"/>
    <w:rsid w:val="00AD27F0"/>
    <w:rsid w:val="00AD287F"/>
    <w:rsid w:val="00AD7577"/>
    <w:rsid w:val="00AE622E"/>
    <w:rsid w:val="00AE77E2"/>
    <w:rsid w:val="00AF00EB"/>
    <w:rsid w:val="00AF1C3A"/>
    <w:rsid w:val="00B01672"/>
    <w:rsid w:val="00B113A9"/>
    <w:rsid w:val="00B159AA"/>
    <w:rsid w:val="00B25987"/>
    <w:rsid w:val="00B3641D"/>
    <w:rsid w:val="00B367E0"/>
    <w:rsid w:val="00B53D56"/>
    <w:rsid w:val="00B562BA"/>
    <w:rsid w:val="00B56D59"/>
    <w:rsid w:val="00B61DCA"/>
    <w:rsid w:val="00B70950"/>
    <w:rsid w:val="00B80C48"/>
    <w:rsid w:val="00B95EFB"/>
    <w:rsid w:val="00B96341"/>
    <w:rsid w:val="00B965AF"/>
    <w:rsid w:val="00BA6203"/>
    <w:rsid w:val="00BB54CD"/>
    <w:rsid w:val="00BB73F5"/>
    <w:rsid w:val="00BC2B78"/>
    <w:rsid w:val="00BC3807"/>
    <w:rsid w:val="00BC3CDD"/>
    <w:rsid w:val="00BC4FD7"/>
    <w:rsid w:val="00BD7DCC"/>
    <w:rsid w:val="00BE0E27"/>
    <w:rsid w:val="00BE600E"/>
    <w:rsid w:val="00BE691F"/>
    <w:rsid w:val="00BF0E35"/>
    <w:rsid w:val="00BF193E"/>
    <w:rsid w:val="00BF6359"/>
    <w:rsid w:val="00C021B6"/>
    <w:rsid w:val="00C05D54"/>
    <w:rsid w:val="00C06FCD"/>
    <w:rsid w:val="00C07E42"/>
    <w:rsid w:val="00C11A19"/>
    <w:rsid w:val="00C15212"/>
    <w:rsid w:val="00C155B8"/>
    <w:rsid w:val="00C201D2"/>
    <w:rsid w:val="00C2266E"/>
    <w:rsid w:val="00C27511"/>
    <w:rsid w:val="00C350F6"/>
    <w:rsid w:val="00C35916"/>
    <w:rsid w:val="00C51A3B"/>
    <w:rsid w:val="00C51FD4"/>
    <w:rsid w:val="00C55ED2"/>
    <w:rsid w:val="00C560A7"/>
    <w:rsid w:val="00C63971"/>
    <w:rsid w:val="00C67B58"/>
    <w:rsid w:val="00C83BA3"/>
    <w:rsid w:val="00C855E7"/>
    <w:rsid w:val="00C86C6D"/>
    <w:rsid w:val="00C91516"/>
    <w:rsid w:val="00C968BD"/>
    <w:rsid w:val="00CA4E05"/>
    <w:rsid w:val="00CB3623"/>
    <w:rsid w:val="00CB5200"/>
    <w:rsid w:val="00CC4A3B"/>
    <w:rsid w:val="00CD204D"/>
    <w:rsid w:val="00CD363C"/>
    <w:rsid w:val="00CD712B"/>
    <w:rsid w:val="00CE07B9"/>
    <w:rsid w:val="00CE0AB1"/>
    <w:rsid w:val="00CE2C1E"/>
    <w:rsid w:val="00CE3EB9"/>
    <w:rsid w:val="00CE5202"/>
    <w:rsid w:val="00CF346B"/>
    <w:rsid w:val="00CF479F"/>
    <w:rsid w:val="00CF78FA"/>
    <w:rsid w:val="00D0025A"/>
    <w:rsid w:val="00D01C75"/>
    <w:rsid w:val="00D07AFE"/>
    <w:rsid w:val="00D133F9"/>
    <w:rsid w:val="00D13832"/>
    <w:rsid w:val="00D17212"/>
    <w:rsid w:val="00D271D9"/>
    <w:rsid w:val="00D3015C"/>
    <w:rsid w:val="00D32D79"/>
    <w:rsid w:val="00D32F51"/>
    <w:rsid w:val="00D3407F"/>
    <w:rsid w:val="00D34633"/>
    <w:rsid w:val="00D3561E"/>
    <w:rsid w:val="00D47578"/>
    <w:rsid w:val="00D575E3"/>
    <w:rsid w:val="00D60ED4"/>
    <w:rsid w:val="00D658A9"/>
    <w:rsid w:val="00D741F0"/>
    <w:rsid w:val="00D81438"/>
    <w:rsid w:val="00D8568B"/>
    <w:rsid w:val="00D93389"/>
    <w:rsid w:val="00D944F6"/>
    <w:rsid w:val="00D96238"/>
    <w:rsid w:val="00D96645"/>
    <w:rsid w:val="00DA0A91"/>
    <w:rsid w:val="00DA1BF4"/>
    <w:rsid w:val="00DA65E7"/>
    <w:rsid w:val="00DB35B9"/>
    <w:rsid w:val="00DC3686"/>
    <w:rsid w:val="00DC6793"/>
    <w:rsid w:val="00DC68B6"/>
    <w:rsid w:val="00DD0491"/>
    <w:rsid w:val="00DD41A4"/>
    <w:rsid w:val="00DD470E"/>
    <w:rsid w:val="00DE5BF1"/>
    <w:rsid w:val="00DF16E6"/>
    <w:rsid w:val="00DF6469"/>
    <w:rsid w:val="00E0087A"/>
    <w:rsid w:val="00E0249E"/>
    <w:rsid w:val="00E04A7D"/>
    <w:rsid w:val="00E07CE9"/>
    <w:rsid w:val="00E1068D"/>
    <w:rsid w:val="00E17789"/>
    <w:rsid w:val="00E17821"/>
    <w:rsid w:val="00E233EE"/>
    <w:rsid w:val="00E27111"/>
    <w:rsid w:val="00E302A9"/>
    <w:rsid w:val="00E34698"/>
    <w:rsid w:val="00E43948"/>
    <w:rsid w:val="00E50400"/>
    <w:rsid w:val="00E55B4F"/>
    <w:rsid w:val="00E64EF2"/>
    <w:rsid w:val="00E67821"/>
    <w:rsid w:val="00E72A77"/>
    <w:rsid w:val="00E758BE"/>
    <w:rsid w:val="00E82343"/>
    <w:rsid w:val="00E82895"/>
    <w:rsid w:val="00E963A3"/>
    <w:rsid w:val="00EA1E90"/>
    <w:rsid w:val="00EA5AA1"/>
    <w:rsid w:val="00EA69B8"/>
    <w:rsid w:val="00EB52B6"/>
    <w:rsid w:val="00EB7483"/>
    <w:rsid w:val="00ED00F1"/>
    <w:rsid w:val="00EE0CC4"/>
    <w:rsid w:val="00EE15F2"/>
    <w:rsid w:val="00EF079C"/>
    <w:rsid w:val="00F03755"/>
    <w:rsid w:val="00F12627"/>
    <w:rsid w:val="00F12A31"/>
    <w:rsid w:val="00F3105F"/>
    <w:rsid w:val="00F35F42"/>
    <w:rsid w:val="00F367B9"/>
    <w:rsid w:val="00F36DF8"/>
    <w:rsid w:val="00F40136"/>
    <w:rsid w:val="00F40440"/>
    <w:rsid w:val="00F44F51"/>
    <w:rsid w:val="00F45C6D"/>
    <w:rsid w:val="00F471A4"/>
    <w:rsid w:val="00F5474B"/>
    <w:rsid w:val="00F61442"/>
    <w:rsid w:val="00F63E03"/>
    <w:rsid w:val="00F65B52"/>
    <w:rsid w:val="00F967F8"/>
    <w:rsid w:val="00FA2555"/>
    <w:rsid w:val="00FA4D62"/>
    <w:rsid w:val="00FA6AD8"/>
    <w:rsid w:val="00FB0F7A"/>
    <w:rsid w:val="00FC09F4"/>
    <w:rsid w:val="00FD1255"/>
    <w:rsid w:val="00FE09CD"/>
    <w:rsid w:val="00FE79CD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621DBF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621DBF"/>
    <w:rPr>
      <w:rFonts w:ascii="Times New Roman" w:hAnsi="Times New Roman"/>
      <w:sz w:val="22"/>
    </w:rPr>
  </w:style>
  <w:style w:type="paragraph" w:styleId="Textkomentra">
    <w:name w:val="annotation text"/>
    <w:basedOn w:val="Normlny"/>
    <w:link w:val="TextkomentraChar"/>
    <w:uiPriority w:val="99"/>
    <w:rsid w:val="0062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1DBF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styleId="Odsekzoznamu">
    <w:name w:val="List Paragraph"/>
    <w:basedOn w:val="Normlny"/>
    <w:uiPriority w:val="34"/>
    <w:qFormat/>
    <w:rsid w:val="00621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C021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021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C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021B6"/>
    <w:rPr>
      <w:rFonts w:cs="Times New Roman"/>
      <w:b/>
    </w:rPr>
  </w:style>
  <w:style w:type="table" w:styleId="Mriekatabuky">
    <w:name w:val="Table Grid"/>
    <w:basedOn w:val="Normlnatabuka"/>
    <w:uiPriority w:val="59"/>
    <w:rsid w:val="00C021B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021B6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944F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4F6"/>
    <w:pPr>
      <w:spacing w:after="20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4F6"/>
    <w:rPr>
      <w:rFonts w:ascii="Times New Roman" w:eastAsia="Times New Roman" w:hAnsi="Times New Roman" w:cs="Times New Roman"/>
      <w:b/>
      <w:bCs/>
      <w:sz w:val="20"/>
      <w:szCs w:val="20"/>
      <w:lang w:val="en-US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621DBF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621DBF"/>
    <w:rPr>
      <w:rFonts w:ascii="Times New Roman" w:hAnsi="Times New Roman"/>
      <w:sz w:val="22"/>
    </w:rPr>
  </w:style>
  <w:style w:type="paragraph" w:styleId="Textkomentra">
    <w:name w:val="annotation text"/>
    <w:basedOn w:val="Normlny"/>
    <w:link w:val="TextkomentraChar"/>
    <w:uiPriority w:val="99"/>
    <w:rsid w:val="00621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1DBF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styleId="Odsekzoznamu">
    <w:name w:val="List Paragraph"/>
    <w:basedOn w:val="Normlny"/>
    <w:uiPriority w:val="34"/>
    <w:qFormat/>
    <w:rsid w:val="00621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C021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021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C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021B6"/>
    <w:rPr>
      <w:rFonts w:cs="Times New Roman"/>
      <w:b/>
    </w:rPr>
  </w:style>
  <w:style w:type="table" w:styleId="Mriekatabuky">
    <w:name w:val="Table Grid"/>
    <w:basedOn w:val="Normlnatabuka"/>
    <w:uiPriority w:val="59"/>
    <w:rsid w:val="00C021B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021B6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944F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4F6"/>
    <w:pPr>
      <w:spacing w:after="20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4F6"/>
    <w:rPr>
      <w:rFonts w:ascii="Times New Roman" w:eastAsia="Times New Roman" w:hAnsi="Times New Roman" w:cs="Times New Roman"/>
      <w:b/>
      <w:bCs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7E0CB8-D304-4B56-84C8-74BA2A7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24</Pages>
  <Words>7250</Words>
  <Characters>41327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48481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Livia</dc:creator>
  <cp:lastModifiedBy>Richterová Lívia</cp:lastModifiedBy>
  <cp:revision>44</cp:revision>
  <cp:lastPrinted>2016-08-05T11:13:00Z</cp:lastPrinted>
  <dcterms:created xsi:type="dcterms:W3CDTF">2016-04-25T05:57:00Z</dcterms:created>
  <dcterms:modified xsi:type="dcterms:W3CDTF">2016-08-05T13:02:00Z</dcterms:modified>
</cp:coreProperties>
</file>