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BC7DB1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BC7DB1" w:rsidRDefault="008A1252" w:rsidP="007B71A4">
            <w:pPr>
              <w:jc w:val="center"/>
              <w:rPr>
                <w:b/>
                <w:sz w:val="24"/>
                <w:szCs w:val="24"/>
              </w:rPr>
            </w:pPr>
            <w:r w:rsidRPr="00BC7DB1">
              <w:rPr>
                <w:b/>
                <w:sz w:val="24"/>
                <w:szCs w:val="24"/>
              </w:rPr>
              <w:t>Analýza v</w:t>
            </w:r>
            <w:r w:rsidR="009F2DFA" w:rsidRPr="00BC7DB1">
              <w:rPr>
                <w:b/>
                <w:sz w:val="24"/>
                <w:szCs w:val="24"/>
              </w:rPr>
              <w:t>plyv</w:t>
            </w:r>
            <w:r w:rsidRPr="00BC7DB1">
              <w:rPr>
                <w:b/>
                <w:sz w:val="24"/>
                <w:szCs w:val="24"/>
              </w:rPr>
              <w:t>ov</w:t>
            </w:r>
            <w:r w:rsidR="009F2DFA" w:rsidRPr="00BC7DB1">
              <w:rPr>
                <w:b/>
                <w:sz w:val="24"/>
                <w:szCs w:val="24"/>
              </w:rPr>
              <w:t xml:space="preserve"> na podnikateľské prostredie </w:t>
            </w:r>
          </w:p>
          <w:p w:rsidR="009F2DFA" w:rsidRPr="00BC7DB1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BC7DB1">
              <w:rPr>
                <w:b/>
                <w:sz w:val="24"/>
                <w:szCs w:val="24"/>
              </w:rPr>
              <w:t xml:space="preserve">(vrátane </w:t>
            </w:r>
            <w:r w:rsidR="00780BA6" w:rsidRPr="00BC7DB1">
              <w:rPr>
                <w:b/>
                <w:sz w:val="24"/>
                <w:szCs w:val="24"/>
              </w:rPr>
              <w:t xml:space="preserve">testu </w:t>
            </w:r>
            <w:r w:rsidRPr="00BC7DB1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BC7DB1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BC7DB1" w:rsidRDefault="009F2DFA" w:rsidP="007B71A4">
            <w:pPr>
              <w:rPr>
                <w:b/>
                <w:sz w:val="24"/>
                <w:szCs w:val="24"/>
              </w:rPr>
            </w:pPr>
            <w:r w:rsidRPr="00BC7DB1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F2DFA" w:rsidRPr="00BC7DB1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540"/>
            </w:tblGrid>
            <w:tr w:rsidR="009F2DFA" w:rsidRPr="00BC7DB1" w:rsidTr="007B71A4">
              <w:sdt>
                <w:sdtPr>
                  <w:rPr>
                    <w:sz w:val="24"/>
                    <w:szCs w:val="24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BC7DB1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7DB1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BC7DB1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BC7DB1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BC7DB1" w:rsidTr="007B71A4">
              <w:sdt>
                <w:sdtPr>
                  <w:rPr>
                    <w:sz w:val="24"/>
                    <w:szCs w:val="24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BC7DB1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7DB1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BC7DB1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BC7DB1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BC7DB1" w:rsidTr="007B71A4">
              <w:sdt>
                <w:sdtPr>
                  <w:rPr>
                    <w:sz w:val="24"/>
                    <w:szCs w:val="24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BC7DB1" w:rsidRDefault="00511EB6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7DB1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BC7DB1" w:rsidRDefault="009F2DFA" w:rsidP="007B71A4">
                  <w:pPr>
                    <w:rPr>
                      <w:sz w:val="24"/>
                      <w:szCs w:val="24"/>
                    </w:rPr>
                  </w:pPr>
                  <w:r w:rsidRPr="00BC7DB1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F2DFA" w:rsidRPr="00BC7DB1" w:rsidRDefault="009F2DFA" w:rsidP="007B71A4">
            <w:pPr>
              <w:rPr>
                <w:b/>
                <w:sz w:val="24"/>
                <w:szCs w:val="24"/>
              </w:rPr>
            </w:pPr>
          </w:p>
        </w:tc>
      </w:tr>
      <w:tr w:rsidR="009F2DFA" w:rsidRPr="00BC7DB1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BC7DB1" w:rsidRDefault="002B1108" w:rsidP="007B71A4">
            <w:pPr>
              <w:rPr>
                <w:b/>
                <w:sz w:val="24"/>
                <w:szCs w:val="24"/>
              </w:rPr>
            </w:pPr>
            <w:r w:rsidRPr="00BC7DB1">
              <w:rPr>
                <w:b/>
                <w:sz w:val="24"/>
                <w:szCs w:val="24"/>
              </w:rPr>
              <w:t>3</w:t>
            </w:r>
            <w:r w:rsidR="009F2DFA" w:rsidRPr="00BC7DB1">
              <w:rPr>
                <w:b/>
                <w:sz w:val="24"/>
                <w:szCs w:val="24"/>
              </w:rPr>
              <w:t>.1 Dotknuté podnikateľské subjekty</w:t>
            </w:r>
          </w:p>
          <w:p w:rsidR="009F2DFA" w:rsidRPr="00BC7DB1" w:rsidRDefault="009F2DFA" w:rsidP="007B71A4">
            <w:pPr>
              <w:ind w:left="284"/>
              <w:rPr>
                <w:b/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 xml:space="preserve"> - </w:t>
            </w:r>
            <w:r w:rsidRPr="00BC7DB1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BC7DB1" w:rsidTr="007D3777">
        <w:trPr>
          <w:trHeight w:val="948"/>
        </w:trPr>
        <w:tc>
          <w:tcPr>
            <w:tcW w:w="9212" w:type="dxa"/>
            <w:tcBorders>
              <w:bottom w:val="single" w:sz="4" w:space="0" w:color="auto"/>
            </w:tcBorders>
          </w:tcPr>
          <w:p w:rsidR="004A2F4D" w:rsidRPr="00BC7DB1" w:rsidRDefault="002A017B" w:rsidP="001B0041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>Návrh zákona, ktorým  sa mení a  dopĺňa zákon č. 563/2009 Z. z. o správe daní (daňový poriadok) a o zmene a doplnení niektorých zákonov v znení neskorších predpisov a ktorým sa menia a dopĺňajú niektoré zákony ovplyvní postupy f</w:t>
            </w:r>
            <w:r w:rsidRPr="00BC7DB1">
              <w:rPr>
                <w:sz w:val="24"/>
                <w:szCs w:val="24"/>
                <w:lang w:eastAsia="en-US"/>
              </w:rPr>
              <w:t>inančnej správy, daňových subjektov a bánk.</w:t>
            </w:r>
            <w:r w:rsidR="00BC7DB1">
              <w:rPr>
                <w:sz w:val="24"/>
                <w:szCs w:val="24"/>
                <w:lang w:eastAsia="en-US"/>
              </w:rPr>
              <w:t xml:space="preserve">  Návrh </w:t>
            </w:r>
            <w:r w:rsidR="00355038">
              <w:rPr>
                <w:sz w:val="24"/>
                <w:szCs w:val="24"/>
                <w:lang w:eastAsia="en-US"/>
              </w:rPr>
              <w:t xml:space="preserve">obsahuje zmeny (opatrenia), ktorými sa má zabezpečiť plnenie </w:t>
            </w:r>
            <w:r w:rsidR="00355038" w:rsidRPr="001B51B5">
              <w:rPr>
                <w:sz w:val="24"/>
                <w:szCs w:val="24"/>
              </w:rPr>
              <w:t>akčného plánu boja proti daňovým podvo</w:t>
            </w:r>
            <w:r w:rsidR="00355038">
              <w:rPr>
                <w:sz w:val="24"/>
                <w:szCs w:val="24"/>
              </w:rPr>
              <w:t xml:space="preserve">dom. Ide najmä o </w:t>
            </w:r>
            <w:r w:rsidR="00355038">
              <w:rPr>
                <w:sz w:val="24"/>
                <w:szCs w:val="24"/>
                <w:lang w:eastAsia="en-US"/>
              </w:rPr>
              <w:t>z</w:t>
            </w:r>
            <w:r w:rsidR="00355038" w:rsidRPr="002C41B7">
              <w:rPr>
                <w:rFonts w:eastAsia="Calibri"/>
                <w:sz w:val="24"/>
                <w:szCs w:val="24"/>
              </w:rPr>
              <w:t>abezpeč</w:t>
            </w:r>
            <w:r w:rsidR="00355038">
              <w:rPr>
                <w:rFonts w:eastAsia="Calibri"/>
                <w:sz w:val="24"/>
                <w:szCs w:val="24"/>
              </w:rPr>
              <w:t xml:space="preserve">enie </w:t>
            </w:r>
            <w:r w:rsidR="00355038" w:rsidRPr="002C41B7">
              <w:rPr>
                <w:rFonts w:eastAsia="Calibri"/>
                <w:sz w:val="24"/>
                <w:szCs w:val="24"/>
              </w:rPr>
              <w:t>majetk</w:t>
            </w:r>
            <w:r w:rsidR="00355038">
              <w:rPr>
                <w:rFonts w:eastAsia="Calibri"/>
                <w:sz w:val="24"/>
                <w:szCs w:val="24"/>
              </w:rPr>
              <w:t>u</w:t>
            </w:r>
            <w:r w:rsidR="00355038" w:rsidRPr="002C41B7">
              <w:rPr>
                <w:rFonts w:eastAsia="Calibri"/>
                <w:sz w:val="24"/>
                <w:szCs w:val="24"/>
              </w:rPr>
              <w:t xml:space="preserve"> aj iných osôb ako je osoba daňového dlžníka</w:t>
            </w:r>
            <w:r w:rsidR="00355038">
              <w:rPr>
                <w:rFonts w:eastAsia="Calibri"/>
                <w:sz w:val="24"/>
                <w:szCs w:val="24"/>
              </w:rPr>
              <w:t>,</w:t>
            </w:r>
            <w:r w:rsidR="00355038" w:rsidRPr="001B51B5">
              <w:rPr>
                <w:sz w:val="24"/>
                <w:szCs w:val="24"/>
              </w:rPr>
              <w:t xml:space="preserve"> inštitút predbežného opatrenia</w:t>
            </w:r>
            <w:r w:rsidR="00355038">
              <w:rPr>
                <w:sz w:val="24"/>
                <w:szCs w:val="24"/>
              </w:rPr>
              <w:t xml:space="preserve"> </w:t>
            </w:r>
            <w:r w:rsidR="00355038" w:rsidRPr="001B51B5">
              <w:rPr>
                <w:sz w:val="24"/>
                <w:szCs w:val="24"/>
              </w:rPr>
              <w:t>s dôrazom na jeho rýchle vydanie a prípadné následné vymáhanie v exekučnom konaní</w:t>
            </w:r>
            <w:r w:rsidR="00355038">
              <w:rPr>
                <w:sz w:val="24"/>
                <w:szCs w:val="24"/>
              </w:rPr>
              <w:t>. Nakoľko však nie je možné predpokladať správanie sa daňových subjektov voči ktorým sú tieto opatrenia namierené, nie je možné kvalitatívne vyhodnotiť dopady na podnikateľské prostredie. V prípade uplatňovania uvedených opat</w:t>
            </w:r>
            <w:r w:rsidR="00744CAA">
              <w:rPr>
                <w:sz w:val="24"/>
                <w:szCs w:val="24"/>
              </w:rPr>
              <w:t>r</w:t>
            </w:r>
            <w:r w:rsidR="00355038">
              <w:rPr>
                <w:sz w:val="24"/>
                <w:szCs w:val="24"/>
              </w:rPr>
              <w:t>ení v</w:t>
            </w:r>
            <w:r w:rsidR="00744CAA">
              <w:rPr>
                <w:sz w:val="24"/>
                <w:szCs w:val="24"/>
              </w:rPr>
              <w:t> </w:t>
            </w:r>
            <w:r w:rsidR="00355038">
              <w:rPr>
                <w:sz w:val="24"/>
                <w:szCs w:val="24"/>
              </w:rPr>
              <w:t>praxi</w:t>
            </w:r>
            <w:r w:rsidR="00744CAA">
              <w:rPr>
                <w:sz w:val="24"/>
                <w:szCs w:val="24"/>
              </w:rPr>
              <w:t>, ktorými</w:t>
            </w:r>
            <w:r w:rsidR="00355038">
              <w:rPr>
                <w:sz w:val="24"/>
                <w:szCs w:val="24"/>
              </w:rPr>
              <w:t xml:space="preserve"> sa </w:t>
            </w:r>
            <w:r w:rsidR="00744CAA">
              <w:rPr>
                <w:sz w:val="24"/>
                <w:szCs w:val="24"/>
              </w:rPr>
              <w:t>eliminuje negatívne správanie daňových subjektov </w:t>
            </w:r>
            <w:r w:rsidR="001B0041">
              <w:rPr>
                <w:sz w:val="24"/>
                <w:szCs w:val="24"/>
              </w:rPr>
              <w:t xml:space="preserve">(porušovanie alebo obchádzanie daňových predpisov) sa v </w:t>
            </w:r>
            <w:r w:rsidR="00744CAA">
              <w:rPr>
                <w:sz w:val="24"/>
                <w:szCs w:val="24"/>
              </w:rPr>
              <w:t xml:space="preserve">konečnom dôsledku </w:t>
            </w:r>
            <w:r w:rsidR="001B0041">
              <w:rPr>
                <w:sz w:val="24"/>
                <w:szCs w:val="24"/>
              </w:rPr>
              <w:t xml:space="preserve">očakáva </w:t>
            </w:r>
            <w:r w:rsidR="00744CAA">
              <w:rPr>
                <w:sz w:val="24"/>
                <w:szCs w:val="24"/>
              </w:rPr>
              <w:t>pozitívn</w:t>
            </w:r>
            <w:r w:rsidR="001B0041">
              <w:rPr>
                <w:sz w:val="24"/>
                <w:szCs w:val="24"/>
              </w:rPr>
              <w:t>y</w:t>
            </w:r>
            <w:r w:rsidR="00744CAA">
              <w:rPr>
                <w:sz w:val="24"/>
                <w:szCs w:val="24"/>
              </w:rPr>
              <w:t xml:space="preserve"> vplyv aj</w:t>
            </w:r>
            <w:r w:rsidR="001B0041">
              <w:rPr>
                <w:sz w:val="24"/>
                <w:szCs w:val="24"/>
              </w:rPr>
              <w:t xml:space="preserve"> na </w:t>
            </w:r>
            <w:r w:rsidR="00744CAA">
              <w:rPr>
                <w:sz w:val="24"/>
                <w:szCs w:val="24"/>
              </w:rPr>
              <w:t>podnikateľsk</w:t>
            </w:r>
            <w:r w:rsidR="001B0041">
              <w:rPr>
                <w:sz w:val="24"/>
                <w:szCs w:val="24"/>
              </w:rPr>
              <w:t>é prostredie.</w:t>
            </w:r>
          </w:p>
        </w:tc>
      </w:tr>
      <w:tr w:rsidR="009F2DFA" w:rsidRPr="00BC7DB1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BC7DB1" w:rsidRDefault="002B1108" w:rsidP="007B71A4">
            <w:pPr>
              <w:rPr>
                <w:b/>
                <w:sz w:val="24"/>
                <w:szCs w:val="24"/>
              </w:rPr>
            </w:pPr>
            <w:r w:rsidRPr="00BC7DB1">
              <w:rPr>
                <w:b/>
                <w:sz w:val="24"/>
                <w:szCs w:val="24"/>
              </w:rPr>
              <w:t>3</w:t>
            </w:r>
            <w:r w:rsidR="009F2DFA" w:rsidRPr="00BC7DB1">
              <w:rPr>
                <w:b/>
                <w:sz w:val="24"/>
                <w:szCs w:val="24"/>
              </w:rPr>
              <w:t>.2 Vyhodnotenie konzultácií</w:t>
            </w:r>
          </w:p>
          <w:p w:rsidR="009F2DFA" w:rsidRPr="00BC7DB1" w:rsidRDefault="009F2DFA" w:rsidP="007B71A4">
            <w:pPr>
              <w:rPr>
                <w:b/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 xml:space="preserve">       - </w:t>
            </w:r>
            <w:r w:rsidRPr="00BC7DB1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BC7DB1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CE733D" w:rsidRDefault="00CE733D" w:rsidP="00CE733D">
            <w:pPr>
              <w:jc w:val="both"/>
              <w:rPr>
                <w:sz w:val="24"/>
                <w:szCs w:val="24"/>
              </w:rPr>
            </w:pPr>
          </w:p>
          <w:p w:rsidR="00CE733D" w:rsidRDefault="00CE733D" w:rsidP="00CE733D">
            <w:pPr>
              <w:jc w:val="both"/>
              <w:rPr>
                <w:sz w:val="24"/>
                <w:szCs w:val="24"/>
              </w:rPr>
            </w:pPr>
            <w:r w:rsidRPr="00B80777">
              <w:rPr>
                <w:sz w:val="24"/>
                <w:szCs w:val="24"/>
              </w:rPr>
              <w:t>Konzultácie sa uskutočn</w:t>
            </w:r>
            <w:r>
              <w:rPr>
                <w:sz w:val="24"/>
                <w:szCs w:val="24"/>
              </w:rPr>
              <w:t>ili formou osobných stretnutí. Vznesené pripomienky boli prediskutované so záverom, že budú predložené zúčastnenými v rámci medzirezortného pripomienkového konania.</w:t>
            </w:r>
          </w:p>
          <w:p w:rsidR="00CE733D" w:rsidRDefault="00CE733D" w:rsidP="00CE733D">
            <w:pPr>
              <w:jc w:val="both"/>
              <w:rPr>
                <w:sz w:val="24"/>
                <w:szCs w:val="24"/>
              </w:rPr>
            </w:pPr>
          </w:p>
          <w:p w:rsidR="00CE733D" w:rsidRDefault="00CE733D" w:rsidP="00CE73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Konzultácií sa zúčastnili:</w:t>
            </w:r>
          </w:p>
          <w:p w:rsidR="00CE733D" w:rsidRPr="00E46D0F" w:rsidRDefault="00CE733D" w:rsidP="00CE733D">
            <w:pPr>
              <w:pStyle w:val="Odsekzoznamu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>Slovenská banková asociácia – bez pripomienok</w:t>
            </w:r>
          </w:p>
          <w:p w:rsidR="00CE733D" w:rsidRPr="005B2D9C" w:rsidRDefault="00CE733D" w:rsidP="00CE733D">
            <w:pPr>
              <w:pStyle w:val="Odsekzoznamu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D9C">
              <w:rPr>
                <w:rFonts w:ascii="Times New Roman" w:hAnsi="Times New Roman"/>
                <w:b/>
                <w:sz w:val="24"/>
                <w:szCs w:val="24"/>
              </w:rPr>
              <w:t>Slovenská asociácia správcovských spoločností - bez pripomienok</w:t>
            </w:r>
          </w:p>
          <w:p w:rsidR="00CE733D" w:rsidRPr="00E46D0F" w:rsidRDefault="00CE733D" w:rsidP="00CE733D">
            <w:pPr>
              <w:pStyle w:val="Odsekzoznamu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>Republiková úni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 xml:space="preserve"> zamestnávateľov – </w:t>
            </w:r>
            <w:r w:rsidR="00E21614">
              <w:rPr>
                <w:rFonts w:ascii="Times New Roman" w:hAnsi="Times New Roman"/>
                <w:b/>
                <w:sz w:val="24"/>
                <w:szCs w:val="24"/>
              </w:rPr>
              <w:t xml:space="preserve">bez </w:t>
            </w: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>pripomien</w:t>
            </w:r>
            <w:r w:rsidR="00E21614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  <w:p w:rsidR="00CE733D" w:rsidRPr="00E46D0F" w:rsidRDefault="00CE733D" w:rsidP="00CE733D">
            <w:pPr>
              <w:pStyle w:val="Odsekzoznamu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 xml:space="preserve">Asociácia zamestnávateľských zväzov a združení SR a Americká obchodná komora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614">
              <w:rPr>
                <w:rFonts w:ascii="Times New Roman" w:hAnsi="Times New Roman"/>
                <w:b/>
                <w:sz w:val="24"/>
                <w:szCs w:val="24"/>
              </w:rPr>
              <w:t xml:space="preserve">bez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pripomien</w:t>
            </w:r>
            <w:r w:rsidR="00E21614">
              <w:rPr>
                <w:rFonts w:ascii="Times New Roman" w:hAnsi="Times New Roman"/>
                <w:b/>
                <w:sz w:val="24"/>
                <w:szCs w:val="24"/>
              </w:rPr>
              <w:t>ok</w:t>
            </w:r>
          </w:p>
          <w:p w:rsidR="00CE733D" w:rsidRPr="00E46D0F" w:rsidRDefault="00CE733D" w:rsidP="00CE733D">
            <w:pPr>
              <w:pStyle w:val="Odsekzoznamu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 xml:space="preserve">Slovenská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komora</w:t>
            </w: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 xml:space="preserve"> daňových poradcov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 pripomienkami</w:t>
            </w:r>
          </w:p>
          <w:p w:rsidR="00CE733D" w:rsidRPr="00CE733D" w:rsidRDefault="00CE733D" w:rsidP="00CE733D">
            <w:pPr>
              <w:pStyle w:val="Odsekzoznamu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0F">
              <w:rPr>
                <w:rFonts w:ascii="Times New Roman" w:hAnsi="Times New Roman"/>
                <w:b/>
                <w:sz w:val="24"/>
                <w:szCs w:val="24"/>
              </w:rPr>
              <w:t>Zväz automobilového priemyslu Slovenskej republiky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614">
              <w:rPr>
                <w:rFonts w:ascii="Times New Roman" w:hAnsi="Times New Roman"/>
                <w:b/>
                <w:sz w:val="24"/>
                <w:szCs w:val="24"/>
              </w:rPr>
              <w:t>– bez pripomienok</w:t>
            </w:r>
          </w:p>
          <w:p w:rsidR="008D0DE1" w:rsidRPr="005D28EF" w:rsidRDefault="008D0DE1" w:rsidP="008D0DE1">
            <w:pPr>
              <w:jc w:val="both"/>
              <w:rPr>
                <w:b/>
                <w:sz w:val="24"/>
                <w:szCs w:val="24"/>
              </w:rPr>
            </w:pPr>
            <w:r w:rsidRPr="005D28EF">
              <w:rPr>
                <w:b/>
                <w:sz w:val="24"/>
                <w:szCs w:val="24"/>
              </w:rPr>
              <w:t>Konzultácie s</w:t>
            </w:r>
            <w:r>
              <w:rPr>
                <w:b/>
                <w:sz w:val="24"/>
                <w:szCs w:val="24"/>
              </w:rPr>
              <w:t>o</w:t>
            </w:r>
            <w:r w:rsidRPr="005D28EF">
              <w:rPr>
                <w:b/>
                <w:sz w:val="24"/>
                <w:szCs w:val="24"/>
              </w:rPr>
              <w:t xml:space="preserve"> </w:t>
            </w:r>
            <w:r w:rsidRPr="00E46D0F">
              <w:rPr>
                <w:b/>
                <w:sz w:val="24"/>
                <w:szCs w:val="24"/>
              </w:rPr>
              <w:t>Slovensk</w:t>
            </w:r>
            <w:r>
              <w:rPr>
                <w:b/>
                <w:sz w:val="24"/>
                <w:szCs w:val="24"/>
              </w:rPr>
              <w:t>ou</w:t>
            </w:r>
            <w:r w:rsidRPr="00E46D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komorou</w:t>
            </w:r>
            <w:r w:rsidRPr="00E46D0F">
              <w:rPr>
                <w:b/>
                <w:sz w:val="24"/>
                <w:szCs w:val="24"/>
              </w:rPr>
              <w:t xml:space="preserve"> daňových poradcov</w:t>
            </w:r>
            <w:r w:rsidRPr="005D28E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SKDP</w:t>
            </w:r>
            <w:r w:rsidRPr="005D28EF">
              <w:rPr>
                <w:b/>
                <w:sz w:val="24"/>
                <w:szCs w:val="24"/>
              </w:rPr>
              <w:t>)</w:t>
            </w:r>
          </w:p>
          <w:p w:rsidR="008D0DE1" w:rsidRDefault="008D0DE1" w:rsidP="008D0DE1">
            <w:pPr>
              <w:jc w:val="both"/>
              <w:rPr>
                <w:sz w:val="24"/>
                <w:szCs w:val="24"/>
              </w:rPr>
            </w:pPr>
          </w:p>
          <w:p w:rsidR="008D0DE1" w:rsidRDefault="008D0DE1" w:rsidP="008D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Zástupcom </w:t>
            </w:r>
            <w:r>
              <w:rPr>
                <w:sz w:val="24"/>
                <w:szCs w:val="24"/>
              </w:rPr>
              <w:t>SKDP</w:t>
            </w:r>
            <w:r>
              <w:rPr>
                <w:sz w:val="24"/>
                <w:szCs w:val="24"/>
              </w:rPr>
              <w:t xml:space="preserve"> bol </w:t>
            </w:r>
            <w:r w:rsidRPr="004C5E61">
              <w:rPr>
                <w:sz w:val="24"/>
                <w:szCs w:val="24"/>
              </w:rPr>
              <w:t>k návrh</w:t>
            </w:r>
            <w:r>
              <w:rPr>
                <w:sz w:val="24"/>
                <w:szCs w:val="24"/>
              </w:rPr>
              <w:t>u</w:t>
            </w:r>
            <w:r w:rsidRPr="004C5E61">
              <w:rPr>
                <w:sz w:val="24"/>
                <w:szCs w:val="24"/>
              </w:rPr>
              <w:t xml:space="preserve"> nov</w:t>
            </w:r>
            <w:r>
              <w:rPr>
                <w:sz w:val="24"/>
                <w:szCs w:val="24"/>
              </w:rPr>
              <w:t>ely zákona prednesený obsah návrhu</w:t>
            </w:r>
            <w:r w:rsidRPr="004C5E61">
              <w:rPr>
                <w:sz w:val="24"/>
                <w:szCs w:val="24"/>
              </w:rPr>
              <w:t>, ku ktor</w:t>
            </w:r>
            <w:r>
              <w:rPr>
                <w:sz w:val="24"/>
                <w:szCs w:val="24"/>
              </w:rPr>
              <w:t>ému</w:t>
            </w:r>
            <w:r w:rsidRPr="004C5E61">
              <w:rPr>
                <w:sz w:val="24"/>
                <w:szCs w:val="24"/>
              </w:rPr>
              <w:t xml:space="preserve"> vzniesli </w:t>
            </w:r>
            <w:r>
              <w:rPr>
                <w:sz w:val="24"/>
                <w:szCs w:val="24"/>
              </w:rPr>
              <w:t>nasledovné</w:t>
            </w:r>
            <w:r w:rsidRPr="004C5E61">
              <w:rPr>
                <w:sz w:val="24"/>
                <w:szCs w:val="24"/>
              </w:rPr>
              <w:t xml:space="preserve"> pri</w:t>
            </w:r>
            <w:r>
              <w:rPr>
                <w:sz w:val="24"/>
                <w:szCs w:val="24"/>
              </w:rPr>
              <w:t>pomienky:</w:t>
            </w:r>
          </w:p>
          <w:p w:rsidR="008D0DE1" w:rsidRDefault="008D0DE1" w:rsidP="008D0DE1">
            <w:pPr>
              <w:jc w:val="both"/>
              <w:rPr>
                <w:sz w:val="24"/>
                <w:szCs w:val="24"/>
              </w:rPr>
            </w:pPr>
          </w:p>
          <w:p w:rsidR="008D0DE1" w:rsidRPr="008D0DE1" w:rsidRDefault="008D0DE1" w:rsidP="008D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0DE1">
              <w:rPr>
                <w:sz w:val="24"/>
                <w:szCs w:val="24"/>
              </w:rPr>
              <w:t xml:space="preserve">k vytýkaciemu konaniu – navrhli doplniť oznamovaciu povinnosť správcovi dane o nedostatkoch podaného daňového priznania, </w:t>
            </w:r>
          </w:p>
          <w:p w:rsidR="008D0DE1" w:rsidRPr="008D0DE1" w:rsidRDefault="008D0DE1" w:rsidP="008D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0DE1">
              <w:rPr>
                <w:sz w:val="24"/>
                <w:szCs w:val="24"/>
              </w:rPr>
              <w:t xml:space="preserve">k § 38 - navrhli zvážiť možnosť vypustiť zadržanie iných vecí pri miestnom zisťovaní na účely vykonania daňovej kontroly, resp. ich bližšie definovať,  </w:t>
            </w:r>
          </w:p>
          <w:p w:rsidR="008D0DE1" w:rsidRPr="008D0DE1" w:rsidRDefault="008D0DE1" w:rsidP="008D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0DE1">
              <w:rPr>
                <w:sz w:val="24"/>
                <w:szCs w:val="24"/>
              </w:rPr>
              <w:t>k predbežnému opatreniu - navrhli definovať pojem „hrozba“ pri nezložení peňažnej sumy tak, aby to nebolo na subjektívnom posúdení správcu dane, resp. vhodnejšie preformulovať uvedené ustanovenie § 50 ods. 2;</w:t>
            </w:r>
          </w:p>
          <w:p w:rsidR="008D0DE1" w:rsidRPr="008D0DE1" w:rsidRDefault="008D0DE1" w:rsidP="008D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0DE1">
              <w:rPr>
                <w:sz w:val="24"/>
                <w:szCs w:val="24"/>
              </w:rPr>
              <w:t>k námietke zaujatosti - vyjadrili nesúlad § 60 ods. 1 s navrhovaným ods. 4, nakoľko podľa ich názoru nie je potrebné predkladať dôkazy, pri pochybnostiach o zaujatosti,</w:t>
            </w:r>
          </w:p>
          <w:p w:rsidR="009F2DFA" w:rsidRPr="00BC7DB1" w:rsidRDefault="008D0DE1" w:rsidP="008D0D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0DE1">
              <w:rPr>
                <w:sz w:val="24"/>
                <w:szCs w:val="24"/>
              </w:rPr>
              <w:t>k novo navrhovanému inštitútu – vyrubovaciemu rozkazu uviedli obavu pri posudzovaní skutočností a dôkazov správcom dane a taktiež poukázali, že pri rozhodovaní  o odmietnutí odporu pre jeho neodôvodnenosť, rozhoduje správca dane, čím nie je dodržaná dvojinštančnosť konania.</w:t>
            </w:r>
          </w:p>
        </w:tc>
      </w:tr>
      <w:tr w:rsidR="009F2DFA" w:rsidRPr="00BC7DB1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BC7DB1" w:rsidRDefault="002B1108" w:rsidP="007B71A4">
            <w:pPr>
              <w:rPr>
                <w:b/>
                <w:sz w:val="24"/>
                <w:szCs w:val="24"/>
              </w:rPr>
            </w:pPr>
            <w:r w:rsidRPr="00BC7DB1">
              <w:rPr>
                <w:b/>
                <w:sz w:val="24"/>
                <w:szCs w:val="24"/>
              </w:rPr>
              <w:t>3</w:t>
            </w:r>
            <w:r w:rsidR="009F2DFA" w:rsidRPr="00BC7DB1">
              <w:rPr>
                <w:b/>
                <w:sz w:val="24"/>
                <w:szCs w:val="24"/>
              </w:rPr>
              <w:t>.3 Náklady regulácie</w:t>
            </w:r>
          </w:p>
          <w:p w:rsidR="009F2DFA" w:rsidRPr="00BC7DB1" w:rsidRDefault="009F2DFA" w:rsidP="007B71A4">
            <w:pPr>
              <w:rPr>
                <w:b/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 xml:space="preserve">      - </w:t>
            </w:r>
            <w:r w:rsidRPr="00BC7DB1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BC7DB1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C7DB1" w:rsidRDefault="002B1108" w:rsidP="001B0041">
            <w:pPr>
              <w:rPr>
                <w:i/>
                <w:sz w:val="24"/>
                <w:szCs w:val="24"/>
              </w:rPr>
            </w:pPr>
            <w:r w:rsidRPr="00BC7DB1">
              <w:rPr>
                <w:b/>
                <w:i/>
                <w:sz w:val="24"/>
                <w:szCs w:val="24"/>
              </w:rPr>
              <w:t>3</w:t>
            </w:r>
            <w:r w:rsidR="009F2DFA" w:rsidRPr="00BC7DB1">
              <w:rPr>
                <w:b/>
                <w:i/>
                <w:sz w:val="24"/>
                <w:szCs w:val="24"/>
              </w:rPr>
              <w:t>.3.1 Priame finančné náklady</w:t>
            </w:r>
          </w:p>
        </w:tc>
      </w:tr>
      <w:tr w:rsidR="009F2DFA" w:rsidRPr="00BC7DB1" w:rsidTr="007B71A4">
        <w:tc>
          <w:tcPr>
            <w:tcW w:w="9212" w:type="dxa"/>
            <w:tcBorders>
              <w:bottom w:val="single" w:sz="4" w:space="0" w:color="auto"/>
            </w:tcBorders>
          </w:tcPr>
          <w:p w:rsidR="00614C87" w:rsidRPr="00BC7DB1" w:rsidRDefault="00BC7DB1" w:rsidP="007B71A4">
            <w:pPr>
              <w:rPr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>Návrh nepredpokladá priame finančné náklady pre daňové subjekty.</w:t>
            </w:r>
          </w:p>
          <w:p w:rsidR="009F2DFA" w:rsidRPr="00BC7DB1" w:rsidRDefault="009F2DFA" w:rsidP="00AE7BBF">
            <w:pPr>
              <w:rPr>
                <w:b/>
                <w:i/>
                <w:sz w:val="24"/>
                <w:szCs w:val="24"/>
              </w:rPr>
            </w:pPr>
          </w:p>
        </w:tc>
      </w:tr>
      <w:tr w:rsidR="009F2DFA" w:rsidRPr="00BC7DB1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C7DB1" w:rsidRDefault="002B1108" w:rsidP="001B0041">
            <w:pPr>
              <w:rPr>
                <w:i/>
                <w:sz w:val="24"/>
                <w:szCs w:val="24"/>
              </w:rPr>
            </w:pPr>
            <w:r w:rsidRPr="00BC7DB1">
              <w:rPr>
                <w:b/>
                <w:i/>
                <w:sz w:val="24"/>
                <w:szCs w:val="24"/>
              </w:rPr>
              <w:t>3</w:t>
            </w:r>
            <w:r w:rsidR="009F2DFA" w:rsidRPr="00BC7DB1">
              <w:rPr>
                <w:b/>
                <w:i/>
                <w:sz w:val="24"/>
                <w:szCs w:val="24"/>
              </w:rPr>
              <w:t>.3.2 Nepriame finančné náklady</w:t>
            </w:r>
          </w:p>
        </w:tc>
      </w:tr>
      <w:tr w:rsidR="009F2DFA" w:rsidRPr="00BC7DB1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C7DB1" w:rsidRDefault="009F2DFA" w:rsidP="007B71A4">
            <w:pPr>
              <w:rPr>
                <w:b/>
                <w:i/>
                <w:sz w:val="24"/>
                <w:szCs w:val="24"/>
              </w:rPr>
            </w:pPr>
          </w:p>
          <w:p w:rsidR="000E2CC9" w:rsidRPr="00BC7DB1" w:rsidRDefault="002A017B" w:rsidP="007B71A4">
            <w:pPr>
              <w:rPr>
                <w:i/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>Predloženým</w:t>
            </w:r>
            <w:r w:rsidR="004A2F4D" w:rsidRPr="00BC7DB1">
              <w:rPr>
                <w:sz w:val="24"/>
                <w:szCs w:val="24"/>
              </w:rPr>
              <w:t xml:space="preserve"> návrh</w:t>
            </w:r>
            <w:r w:rsidRPr="00BC7DB1">
              <w:rPr>
                <w:sz w:val="24"/>
                <w:szCs w:val="24"/>
              </w:rPr>
              <w:t>om</w:t>
            </w:r>
            <w:r w:rsidR="000E2CC9" w:rsidRPr="00BC7DB1">
              <w:rPr>
                <w:sz w:val="24"/>
                <w:szCs w:val="24"/>
              </w:rPr>
              <w:t xml:space="preserve"> </w:t>
            </w:r>
            <w:r w:rsidRPr="00BC7DB1">
              <w:rPr>
                <w:sz w:val="24"/>
                <w:szCs w:val="24"/>
              </w:rPr>
              <w:t xml:space="preserve">môže dôjsť </w:t>
            </w:r>
            <w:r w:rsidR="000E2CC9" w:rsidRPr="00BC7DB1">
              <w:rPr>
                <w:sz w:val="24"/>
                <w:szCs w:val="24"/>
              </w:rPr>
              <w:t xml:space="preserve">k vzniku </w:t>
            </w:r>
            <w:r w:rsidR="00511EB6" w:rsidRPr="00BC7DB1">
              <w:rPr>
                <w:sz w:val="24"/>
                <w:szCs w:val="24"/>
              </w:rPr>
              <w:t xml:space="preserve">nepriamych </w:t>
            </w:r>
            <w:r w:rsidR="000E2CC9" w:rsidRPr="00BC7DB1">
              <w:rPr>
                <w:sz w:val="24"/>
                <w:szCs w:val="24"/>
              </w:rPr>
              <w:t xml:space="preserve">nákladov </w:t>
            </w:r>
            <w:r w:rsidRPr="00BC7DB1">
              <w:rPr>
                <w:sz w:val="24"/>
                <w:szCs w:val="24"/>
              </w:rPr>
              <w:t>súvisiacich s elektronickou komunikáciou bánk s finančnou správou</w:t>
            </w:r>
            <w:r w:rsidR="004A2F4D" w:rsidRPr="00BC7DB1">
              <w:rPr>
                <w:sz w:val="24"/>
                <w:szCs w:val="24"/>
              </w:rPr>
              <w:t xml:space="preserve">. </w:t>
            </w:r>
          </w:p>
          <w:p w:rsidR="009F2DFA" w:rsidRPr="00BC7DB1" w:rsidRDefault="000E2CC9" w:rsidP="007B71A4">
            <w:pPr>
              <w:rPr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>Predkladaný návrh nezvyšuje náklady súvisiace so zamestnávaním.</w:t>
            </w:r>
          </w:p>
          <w:p w:rsidR="004A2F4D" w:rsidRPr="00BC7DB1" w:rsidRDefault="004A2F4D" w:rsidP="004A2F4D">
            <w:pPr>
              <w:rPr>
                <w:b/>
                <w:sz w:val="24"/>
                <w:szCs w:val="24"/>
              </w:rPr>
            </w:pPr>
          </w:p>
        </w:tc>
      </w:tr>
      <w:tr w:rsidR="009F2DFA" w:rsidRPr="00BC7DB1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C7DB1" w:rsidRDefault="002B1108" w:rsidP="001B0041">
            <w:pPr>
              <w:rPr>
                <w:i/>
                <w:sz w:val="24"/>
                <w:szCs w:val="24"/>
              </w:rPr>
            </w:pPr>
            <w:r w:rsidRPr="00BC7DB1">
              <w:rPr>
                <w:b/>
                <w:i/>
                <w:sz w:val="24"/>
                <w:szCs w:val="24"/>
              </w:rPr>
              <w:t>3</w:t>
            </w:r>
            <w:r w:rsidR="009F2DFA" w:rsidRPr="00BC7DB1">
              <w:rPr>
                <w:b/>
                <w:i/>
                <w:sz w:val="24"/>
                <w:szCs w:val="24"/>
              </w:rPr>
              <w:t>.3.3 Administratívne náklady</w:t>
            </w:r>
          </w:p>
        </w:tc>
      </w:tr>
      <w:tr w:rsidR="009F2DFA" w:rsidRPr="00BC7DB1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BC7DB1" w:rsidRDefault="009F2DFA" w:rsidP="007B71A4">
            <w:pPr>
              <w:rPr>
                <w:b/>
                <w:i/>
                <w:sz w:val="24"/>
                <w:szCs w:val="24"/>
              </w:rPr>
            </w:pPr>
          </w:p>
          <w:p w:rsidR="009F2DFA" w:rsidRPr="00BC7DB1" w:rsidRDefault="00BE4F05" w:rsidP="007B71A4">
            <w:pPr>
              <w:rPr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>Predložen</w:t>
            </w:r>
            <w:r w:rsidR="00311B0E" w:rsidRPr="00BC7DB1">
              <w:rPr>
                <w:sz w:val="24"/>
                <w:szCs w:val="24"/>
              </w:rPr>
              <w:t>ý návrh</w:t>
            </w:r>
            <w:r w:rsidRPr="00BC7DB1">
              <w:rPr>
                <w:sz w:val="24"/>
                <w:szCs w:val="24"/>
              </w:rPr>
              <w:t xml:space="preserve"> </w:t>
            </w:r>
            <w:r w:rsidR="00311B0E" w:rsidRPr="00BC7DB1">
              <w:rPr>
                <w:sz w:val="24"/>
                <w:szCs w:val="24"/>
              </w:rPr>
              <w:t xml:space="preserve">zníži </w:t>
            </w:r>
            <w:r w:rsidRPr="00BC7DB1">
              <w:rPr>
                <w:sz w:val="24"/>
                <w:szCs w:val="24"/>
              </w:rPr>
              <w:t>administratívn</w:t>
            </w:r>
            <w:r w:rsidR="00311B0E" w:rsidRPr="00BC7DB1">
              <w:rPr>
                <w:sz w:val="24"/>
                <w:szCs w:val="24"/>
              </w:rPr>
              <w:t>u z</w:t>
            </w:r>
            <w:r w:rsidRPr="00BC7DB1">
              <w:rPr>
                <w:sz w:val="24"/>
                <w:szCs w:val="24"/>
              </w:rPr>
              <w:t>áťaž</w:t>
            </w:r>
            <w:r w:rsidR="00311B0E" w:rsidRPr="00BC7DB1">
              <w:rPr>
                <w:sz w:val="24"/>
                <w:szCs w:val="24"/>
              </w:rPr>
              <w:t xml:space="preserve"> nadväzne na zavedenie elektronickej komunikácie medzi bankami a finančnou správou</w:t>
            </w:r>
            <w:r w:rsidRPr="00BC7DB1">
              <w:rPr>
                <w:sz w:val="24"/>
                <w:szCs w:val="24"/>
              </w:rPr>
              <w:t xml:space="preserve">. </w:t>
            </w:r>
          </w:p>
          <w:p w:rsidR="009F2DFA" w:rsidRPr="00BC7DB1" w:rsidRDefault="009F2DFA" w:rsidP="00A15BDA">
            <w:pPr>
              <w:rPr>
                <w:b/>
                <w:i/>
                <w:sz w:val="24"/>
                <w:szCs w:val="24"/>
              </w:rPr>
            </w:pPr>
          </w:p>
        </w:tc>
      </w:tr>
      <w:tr w:rsidR="009F2DFA" w:rsidRPr="00BC7DB1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BC7DB1" w:rsidRDefault="002B1108" w:rsidP="007B71A4">
            <w:pPr>
              <w:rPr>
                <w:i/>
                <w:sz w:val="24"/>
                <w:szCs w:val="24"/>
              </w:rPr>
            </w:pPr>
            <w:r w:rsidRPr="00BC7DB1">
              <w:rPr>
                <w:b/>
                <w:i/>
                <w:sz w:val="24"/>
                <w:szCs w:val="24"/>
              </w:rPr>
              <w:t>3</w:t>
            </w:r>
            <w:r w:rsidR="009F2DFA" w:rsidRPr="00BC7DB1">
              <w:rPr>
                <w:b/>
                <w:i/>
                <w:sz w:val="24"/>
                <w:szCs w:val="24"/>
              </w:rPr>
              <w:t>.3.4 Súhrnná tabuľka nákladov regulácie</w:t>
            </w:r>
          </w:p>
          <w:p w:rsidR="009F2DFA" w:rsidRPr="00BC7DB1" w:rsidRDefault="009F2DFA" w:rsidP="007B71A4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BC7DB1" w:rsidTr="007B71A4">
              <w:tc>
                <w:tcPr>
                  <w:tcW w:w="2993" w:type="dxa"/>
                </w:tcPr>
                <w:p w:rsidR="009F2DFA" w:rsidRPr="00BC7DB1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9F2DFA" w:rsidRPr="00BC7DB1" w:rsidTr="007B71A4">
              <w:tc>
                <w:tcPr>
                  <w:tcW w:w="2993" w:type="dxa"/>
                </w:tcPr>
                <w:p w:rsidR="009F2DFA" w:rsidRPr="00BC7DB1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BC7DB1" w:rsidTr="007B71A4">
              <w:tc>
                <w:tcPr>
                  <w:tcW w:w="2993" w:type="dxa"/>
                </w:tcPr>
                <w:p w:rsidR="009F2DFA" w:rsidRPr="00BC7DB1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BC7DB1" w:rsidTr="007B71A4">
              <w:tc>
                <w:tcPr>
                  <w:tcW w:w="2993" w:type="dxa"/>
                </w:tcPr>
                <w:p w:rsidR="009F2DFA" w:rsidRPr="00BC7DB1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C7DB1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BC7DB1" w:rsidTr="007B71A4">
              <w:tc>
                <w:tcPr>
                  <w:tcW w:w="2993" w:type="dxa"/>
                </w:tcPr>
                <w:p w:rsidR="009F2DFA" w:rsidRPr="00BC7DB1" w:rsidRDefault="009F2DFA" w:rsidP="007B71A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BC7DB1">
                    <w:rPr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C7DB1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BC7DB1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C7DB1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F2DFA" w:rsidRPr="00BC7DB1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BC7DB1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BC7DB1" w:rsidRDefault="002B1108" w:rsidP="007B71A4">
            <w:pPr>
              <w:rPr>
                <w:b/>
                <w:sz w:val="24"/>
                <w:szCs w:val="24"/>
              </w:rPr>
            </w:pPr>
            <w:r w:rsidRPr="00BC7DB1">
              <w:rPr>
                <w:b/>
                <w:sz w:val="24"/>
                <w:szCs w:val="24"/>
              </w:rPr>
              <w:t>3</w:t>
            </w:r>
            <w:r w:rsidR="009F2DFA" w:rsidRPr="00BC7DB1">
              <w:rPr>
                <w:b/>
                <w:sz w:val="24"/>
                <w:szCs w:val="24"/>
              </w:rPr>
              <w:t>.4 Konkurencieschopnosť a správanie sa podnikov na trhu</w:t>
            </w:r>
          </w:p>
          <w:p w:rsidR="009F2DFA" w:rsidRPr="00BC7DB1" w:rsidRDefault="009F2DFA" w:rsidP="007B71A4">
            <w:pPr>
              <w:rPr>
                <w:sz w:val="24"/>
                <w:szCs w:val="24"/>
              </w:rPr>
            </w:pPr>
            <w:r w:rsidRPr="00BC7DB1">
              <w:rPr>
                <w:b/>
                <w:sz w:val="24"/>
                <w:szCs w:val="24"/>
              </w:rPr>
              <w:t xml:space="preserve">       </w:t>
            </w:r>
            <w:r w:rsidRPr="00BC7DB1">
              <w:rPr>
                <w:sz w:val="24"/>
                <w:szCs w:val="24"/>
              </w:rPr>
              <w:t xml:space="preserve">- </w:t>
            </w:r>
            <w:r w:rsidRPr="00BC7DB1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BC7DB1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511EB6" w:rsidRPr="00BC7DB1" w:rsidRDefault="006A7982" w:rsidP="00BC7DB1">
            <w:pPr>
              <w:jc w:val="both"/>
              <w:rPr>
                <w:b/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 xml:space="preserve">Nedochádza k vytvoreniu bariér pre vstup na trh pre nových dodávateľov alebo poskytovateľov služieb. </w:t>
            </w:r>
            <w:r w:rsidR="00B5276A" w:rsidRPr="00BC7DB1">
              <w:rPr>
                <w:sz w:val="24"/>
                <w:szCs w:val="24"/>
              </w:rPr>
              <w:t>N</w:t>
            </w:r>
            <w:r w:rsidRPr="00BC7DB1">
              <w:rPr>
                <w:sz w:val="24"/>
                <w:szCs w:val="24"/>
              </w:rPr>
              <w:t xml:space="preserve">avrhovaná zmena </w:t>
            </w:r>
            <w:r w:rsidR="00B5276A" w:rsidRPr="00BC7DB1">
              <w:rPr>
                <w:sz w:val="24"/>
                <w:szCs w:val="24"/>
              </w:rPr>
              <w:t xml:space="preserve">nebude mať </w:t>
            </w:r>
            <w:r w:rsidRPr="00BC7DB1">
              <w:rPr>
                <w:sz w:val="24"/>
                <w:szCs w:val="24"/>
              </w:rPr>
              <w:t xml:space="preserve">za následok prísnejšiu reguláciu správania sa </w:t>
            </w:r>
            <w:r w:rsidR="002A017B" w:rsidRPr="00BC7DB1">
              <w:rPr>
                <w:sz w:val="24"/>
                <w:szCs w:val="24"/>
              </w:rPr>
              <w:t xml:space="preserve">niektorých podnikov. </w:t>
            </w:r>
            <w:r w:rsidR="00B5276A" w:rsidRPr="00BC7DB1">
              <w:rPr>
                <w:sz w:val="24"/>
                <w:szCs w:val="24"/>
              </w:rPr>
              <w:t xml:space="preserve">Navrhované zmeny sa dotknú </w:t>
            </w:r>
            <w:r w:rsidR="00311B0E" w:rsidRPr="00BC7DB1">
              <w:rPr>
                <w:sz w:val="24"/>
                <w:szCs w:val="24"/>
              </w:rPr>
              <w:t>rovnako všetkých daňových subjektov</w:t>
            </w:r>
            <w:r w:rsidR="00311B0E" w:rsidRPr="00BC7DB1">
              <w:rPr>
                <w:b/>
                <w:sz w:val="24"/>
                <w:szCs w:val="24"/>
              </w:rPr>
              <w:t xml:space="preserve">.  </w:t>
            </w:r>
            <w:r w:rsidR="00311B0E" w:rsidRPr="00BC7DB1">
              <w:rPr>
                <w:sz w:val="24"/>
                <w:szCs w:val="24"/>
              </w:rPr>
              <w:t>Neovplyvní cenu ani dostupnosť základných zdrojov, ani  prístup k financiám.</w:t>
            </w:r>
            <w:r w:rsidR="00311B0E" w:rsidRPr="00BC7DB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F2DFA" w:rsidRPr="00BC7DB1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BC7DB1" w:rsidRDefault="002B1108" w:rsidP="007B71A4">
            <w:pPr>
              <w:rPr>
                <w:b/>
                <w:sz w:val="24"/>
                <w:szCs w:val="24"/>
              </w:rPr>
            </w:pPr>
            <w:r w:rsidRPr="00BC7DB1">
              <w:rPr>
                <w:b/>
                <w:sz w:val="24"/>
                <w:szCs w:val="24"/>
              </w:rPr>
              <w:t>3</w:t>
            </w:r>
            <w:r w:rsidR="009F2DFA" w:rsidRPr="00BC7DB1">
              <w:rPr>
                <w:b/>
                <w:sz w:val="24"/>
                <w:szCs w:val="24"/>
              </w:rPr>
              <w:t xml:space="preserve">.5 Inovácie </w:t>
            </w:r>
          </w:p>
          <w:p w:rsidR="009F2DFA" w:rsidRPr="00BC7DB1" w:rsidRDefault="009F2DFA" w:rsidP="007B71A4">
            <w:pPr>
              <w:rPr>
                <w:b/>
                <w:sz w:val="24"/>
                <w:szCs w:val="24"/>
              </w:rPr>
            </w:pPr>
            <w:r w:rsidRPr="00BC7DB1">
              <w:rPr>
                <w:sz w:val="24"/>
                <w:szCs w:val="24"/>
              </w:rPr>
              <w:t xml:space="preserve">       - </w:t>
            </w:r>
            <w:r w:rsidRPr="00BC7DB1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BC7DB1" w:rsidTr="007B71A4">
        <w:trPr>
          <w:trHeight w:val="1747"/>
        </w:trPr>
        <w:tc>
          <w:tcPr>
            <w:tcW w:w="9212" w:type="dxa"/>
          </w:tcPr>
          <w:p w:rsidR="00511EB6" w:rsidRPr="00BC7DB1" w:rsidRDefault="00511EB6" w:rsidP="00511EB6">
            <w:pPr>
              <w:rPr>
                <w:sz w:val="24"/>
                <w:szCs w:val="24"/>
              </w:rPr>
            </w:pPr>
          </w:p>
          <w:p w:rsidR="009F2DFA" w:rsidRPr="001B0041" w:rsidRDefault="00511EB6" w:rsidP="00511EB6">
            <w:pPr>
              <w:rPr>
                <w:i/>
                <w:sz w:val="24"/>
                <w:szCs w:val="24"/>
              </w:rPr>
            </w:pPr>
            <w:r w:rsidRPr="001B0041">
              <w:rPr>
                <w:sz w:val="24"/>
                <w:szCs w:val="24"/>
              </w:rPr>
              <w:t xml:space="preserve">Návrh nemá vplyv na inovácie. </w:t>
            </w:r>
          </w:p>
        </w:tc>
      </w:tr>
    </w:tbl>
    <w:p w:rsidR="009F2DFA" w:rsidRPr="00BC7DB1" w:rsidRDefault="009F2DFA" w:rsidP="00B54669">
      <w:pPr>
        <w:rPr>
          <w:b/>
          <w:sz w:val="24"/>
          <w:szCs w:val="24"/>
        </w:rPr>
      </w:pPr>
    </w:p>
    <w:p w:rsidR="00BC7DB1" w:rsidRPr="00BC7DB1" w:rsidRDefault="00BC7DB1">
      <w:pPr>
        <w:rPr>
          <w:b/>
          <w:sz w:val="24"/>
          <w:szCs w:val="24"/>
        </w:rPr>
      </w:pPr>
    </w:p>
    <w:sectPr w:rsidR="00BC7DB1" w:rsidRPr="00BC7D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2B" w:rsidRDefault="00C1612B" w:rsidP="009F2DFA">
      <w:r>
        <w:separator/>
      </w:r>
    </w:p>
  </w:endnote>
  <w:endnote w:type="continuationSeparator" w:id="0">
    <w:p w:rsidR="00C1612B" w:rsidRDefault="00C1612B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55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2B" w:rsidRDefault="00C1612B" w:rsidP="009F2DFA">
      <w:r>
        <w:separator/>
      </w:r>
    </w:p>
  </w:footnote>
  <w:footnote w:type="continuationSeparator" w:id="0">
    <w:p w:rsidR="00C1612B" w:rsidRDefault="00C1612B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E9E"/>
    <w:multiLevelType w:val="hybridMultilevel"/>
    <w:tmpl w:val="94E22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7971"/>
    <w:multiLevelType w:val="hybridMultilevel"/>
    <w:tmpl w:val="F35E1442"/>
    <w:lvl w:ilvl="0" w:tplc="670EF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C014B4"/>
    <w:multiLevelType w:val="hybridMultilevel"/>
    <w:tmpl w:val="07B889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2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8491F"/>
    <w:rsid w:val="000D5489"/>
    <w:rsid w:val="000E2CC9"/>
    <w:rsid w:val="00154881"/>
    <w:rsid w:val="001B0041"/>
    <w:rsid w:val="002029BF"/>
    <w:rsid w:val="00290F5D"/>
    <w:rsid w:val="002A017B"/>
    <w:rsid w:val="002B1108"/>
    <w:rsid w:val="002B1585"/>
    <w:rsid w:val="00311B0E"/>
    <w:rsid w:val="00355038"/>
    <w:rsid w:val="00366E9F"/>
    <w:rsid w:val="004A2F4D"/>
    <w:rsid w:val="004D5D4F"/>
    <w:rsid w:val="00511EB6"/>
    <w:rsid w:val="00516142"/>
    <w:rsid w:val="0052297F"/>
    <w:rsid w:val="005B7859"/>
    <w:rsid w:val="00614C87"/>
    <w:rsid w:val="006726A0"/>
    <w:rsid w:val="00683C95"/>
    <w:rsid w:val="006A7982"/>
    <w:rsid w:val="00744CAA"/>
    <w:rsid w:val="00780BA6"/>
    <w:rsid w:val="007D3777"/>
    <w:rsid w:val="007F0986"/>
    <w:rsid w:val="00801B55"/>
    <w:rsid w:val="00832872"/>
    <w:rsid w:val="00837639"/>
    <w:rsid w:val="008505F2"/>
    <w:rsid w:val="00865787"/>
    <w:rsid w:val="008A1252"/>
    <w:rsid w:val="008D0DE1"/>
    <w:rsid w:val="008E1C03"/>
    <w:rsid w:val="00904C9B"/>
    <w:rsid w:val="00936DF3"/>
    <w:rsid w:val="009A6122"/>
    <w:rsid w:val="009C5834"/>
    <w:rsid w:val="009F2DFA"/>
    <w:rsid w:val="00A15BDA"/>
    <w:rsid w:val="00AE35EB"/>
    <w:rsid w:val="00AE7BBF"/>
    <w:rsid w:val="00B31A8E"/>
    <w:rsid w:val="00B5276A"/>
    <w:rsid w:val="00B54669"/>
    <w:rsid w:val="00BA073A"/>
    <w:rsid w:val="00BC7DB1"/>
    <w:rsid w:val="00BE4F05"/>
    <w:rsid w:val="00C10341"/>
    <w:rsid w:val="00C1612B"/>
    <w:rsid w:val="00CB3623"/>
    <w:rsid w:val="00CC0059"/>
    <w:rsid w:val="00CE733D"/>
    <w:rsid w:val="00CF699A"/>
    <w:rsid w:val="00DD112C"/>
    <w:rsid w:val="00E06014"/>
    <w:rsid w:val="00E21614"/>
    <w:rsid w:val="00E86AD1"/>
    <w:rsid w:val="00F41620"/>
    <w:rsid w:val="00FB5C13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1065A-EBFD-43C1-8919-4F0D3572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08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Bado Tomas</cp:lastModifiedBy>
  <cp:revision>4</cp:revision>
  <cp:lastPrinted>2016-04-29T06:20:00Z</cp:lastPrinted>
  <dcterms:created xsi:type="dcterms:W3CDTF">2016-08-04T09:05:00Z</dcterms:created>
  <dcterms:modified xsi:type="dcterms:W3CDTF">2016-08-04T09:08:00Z</dcterms:modified>
</cp:coreProperties>
</file>