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AC14B6"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9F2DFA" w:rsidRPr="00F04CCD" w:rsidRDefault="001B5B42" w:rsidP="001B5B42">
            <w:pPr>
              <w:rPr>
                <w:i/>
              </w:rPr>
            </w:pPr>
            <w:r>
              <w:rPr>
                <w:i/>
              </w:rPr>
              <w:t xml:space="preserve">Podnikateľské subjekty, ktoré sa uchádzajú alebo prijímajú verejné zdroje nad zákonom určený finančný limit.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F04CCD" w:rsidRDefault="001B5B42" w:rsidP="007B71A4">
            <w:pPr>
              <w:rPr>
                <w:i/>
              </w:rPr>
            </w:pPr>
            <w:r>
              <w:rPr>
                <w:i/>
              </w:rPr>
              <w:t>Konzultácie neboli vykonané.</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1B5B42" w:rsidRDefault="001B5B42" w:rsidP="007B71A4">
            <w:pPr>
              <w:rPr>
                <w:i/>
              </w:rPr>
            </w:pPr>
            <w:r w:rsidRPr="001B5B42">
              <w:rPr>
                <w:i/>
              </w:rPr>
              <w:t xml:space="preserve">Návrh zákona predpokladá náklady spojené so spoluprácou s oprávnenou osobou (advokát, banka, pobočka zahraničnej banky, audítor, daňový poradca). Oprávnená osoba bude zabezpečovať zápis pre partnera verejného sektora, ktorým môže byť aj podnikateľ, do registra partnerov verejného sektora. Oprávnená osoba bude túto činnosť vykonávať ako komerčnú činnosť. Cenotvorba v tomto prípade nie je regulovaná a je vecou dohody klienta a toho, kto klientovi poskytuje službu. Z uvedeného dôvodu nie je možné odhadnúť finančné náklady na podnikateľov. </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AC14B6" w:rsidRDefault="001B5B42" w:rsidP="007B71A4">
            <w:pPr>
              <w:rPr>
                <w:i/>
              </w:rPr>
            </w:pPr>
            <w:r w:rsidRPr="00AC14B6">
              <w:rPr>
                <w:i/>
              </w:rPr>
              <w:t xml:space="preserve">Nie, návrh zákona nevyžaduje dodatočné náklady. </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1B5B42" w:rsidRDefault="001B5B42" w:rsidP="007B71A4">
            <w:pPr>
              <w:rPr>
                <w:i/>
              </w:rPr>
            </w:pPr>
            <w:r w:rsidRPr="001B5B42">
              <w:rPr>
                <w:i/>
              </w:rPr>
              <w:t xml:space="preserve">Zavádzajú sa nové administratívne povinnosti, a to zápis do registra partnerov verejného sektora ako </w:t>
            </w:r>
            <w:r w:rsidRPr="001B5B42">
              <w:rPr>
                <w:i/>
              </w:rPr>
              <w:lastRenderedPageBreak/>
              <w:t xml:space="preserve">podmienka prístupu k verejným zdrojom nad zákonom určený limit. </w:t>
            </w:r>
            <w:r>
              <w:rPr>
                <w:i/>
              </w:rPr>
              <w:t>Zápis do registra bude za partnera verejného sektora podávať oprávnená osoba; k tomu pozri bod 3.3.1.</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lastRenderedPageBreak/>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1B5B42" w:rsidP="007B71A4">
            <w:pPr>
              <w:rPr>
                <w:i/>
              </w:rPr>
            </w:pPr>
            <w:r>
              <w:rPr>
                <w:i/>
              </w:rPr>
              <w:t xml:space="preserve">Návrh zákona podmieňuje prístup k verejným zdrojom </w:t>
            </w:r>
            <w:r w:rsidR="00AC14B6">
              <w:rPr>
                <w:i/>
              </w:rPr>
              <w:t xml:space="preserve">zápisom do registra partnerov verejného sektora. </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AC14B6" w:rsidP="007B71A4">
            <w:pPr>
              <w:rPr>
                <w:i/>
              </w:rPr>
            </w:pPr>
            <w:r>
              <w:rPr>
                <w:i/>
              </w:rPr>
              <w:t xml:space="preserve">Návrh zákona nezakladá vplyvy v sledovanej oblasti. </w:t>
            </w:r>
          </w:p>
        </w:tc>
      </w:tr>
    </w:tbl>
    <w:p w:rsidR="009F2DFA" w:rsidRPr="00F04CCD" w:rsidRDefault="009F2DFA" w:rsidP="009F2DFA"/>
    <w:p w:rsidR="009F2DFA" w:rsidRDefault="009F2DFA" w:rsidP="009F2DFA"/>
    <w:p w:rsidR="009F2DFA" w:rsidRDefault="009F2DFA" w:rsidP="009F2DFA">
      <w:bookmarkStart w:id="0" w:name="_GoBack"/>
      <w:bookmarkEnd w:id="0"/>
    </w:p>
    <w:p w:rsidR="009F2DFA" w:rsidRDefault="009F2DFA" w:rsidP="009F2DFA"/>
    <w:p w:rsidR="009F2DFA" w:rsidRDefault="009F2DFA" w:rsidP="009F2DFA">
      <w:pPr>
        <w:rPr>
          <w:b/>
          <w:sz w:val="24"/>
        </w:rPr>
      </w:pPr>
    </w:p>
    <w:sectPr w:rsidR="009F2DFA" w:rsidSect="00010615">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D8" w:rsidRDefault="00C17BD8" w:rsidP="009F2DFA">
      <w:r>
        <w:separator/>
      </w:r>
    </w:p>
  </w:endnote>
  <w:endnote w:type="continuationSeparator" w:id="0">
    <w:p w:rsidR="00C17BD8" w:rsidRDefault="00C17BD8"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03161940"/>
      <w:docPartObj>
        <w:docPartGallery w:val="Page Numbers (Bottom of Page)"/>
        <w:docPartUnique/>
      </w:docPartObj>
    </w:sdtPr>
    <w:sdtContent>
      <w:p w:rsidR="00010615" w:rsidRPr="00010615" w:rsidRDefault="00010615">
        <w:pPr>
          <w:pStyle w:val="Pta"/>
          <w:jc w:val="center"/>
          <w:rPr>
            <w:sz w:val="24"/>
            <w:szCs w:val="24"/>
          </w:rPr>
        </w:pPr>
        <w:r w:rsidRPr="00010615">
          <w:rPr>
            <w:sz w:val="24"/>
            <w:szCs w:val="24"/>
          </w:rPr>
          <w:fldChar w:fldCharType="begin"/>
        </w:r>
        <w:r w:rsidRPr="00010615">
          <w:rPr>
            <w:sz w:val="24"/>
            <w:szCs w:val="24"/>
          </w:rPr>
          <w:instrText>PAGE   \* MERGEFORMAT</w:instrText>
        </w:r>
        <w:r w:rsidRPr="00010615">
          <w:rPr>
            <w:sz w:val="24"/>
            <w:szCs w:val="24"/>
          </w:rPr>
          <w:fldChar w:fldCharType="separate"/>
        </w:r>
        <w:r>
          <w:rPr>
            <w:noProof/>
            <w:sz w:val="24"/>
            <w:szCs w:val="24"/>
          </w:rPr>
          <w:t>2</w:t>
        </w:r>
        <w:r w:rsidRPr="00010615">
          <w:rPr>
            <w:sz w:val="24"/>
            <w:szCs w:val="24"/>
          </w:rPr>
          <w:fldChar w:fldCharType="end"/>
        </w:r>
      </w:p>
    </w:sdtContent>
  </w:sdt>
  <w:p w:rsidR="00010615" w:rsidRPr="00010615" w:rsidRDefault="00010615">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D8" w:rsidRDefault="00C17BD8" w:rsidP="009F2DFA">
      <w:r>
        <w:separator/>
      </w:r>
    </w:p>
  </w:footnote>
  <w:footnote w:type="continuationSeparator" w:id="0">
    <w:p w:rsidR="00C17BD8" w:rsidRDefault="00C17BD8"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10615"/>
    <w:rsid w:val="00154881"/>
    <w:rsid w:val="001B5B42"/>
    <w:rsid w:val="002B1108"/>
    <w:rsid w:val="0052297F"/>
    <w:rsid w:val="00780BA6"/>
    <w:rsid w:val="00837639"/>
    <w:rsid w:val="008A1252"/>
    <w:rsid w:val="00904C9B"/>
    <w:rsid w:val="009F2DFA"/>
    <w:rsid w:val="00AC14B6"/>
    <w:rsid w:val="00B31A8E"/>
    <w:rsid w:val="00BA073A"/>
    <w:rsid w:val="00C17BD8"/>
    <w:rsid w:val="00CB3623"/>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Relationship Id="rId8" Type="http://schemas.openxmlformats.org/officeDocument/2006/relationships/header" Target="header1.xml"></Relationship><Relationship Id="rId3" Type="http://schemas.microsoft.com/office/2007/relationships/stylesWithEffects" Target="stylesWithEffects.xml"></Relationship><Relationship Id="rId7" Type="http://schemas.openxmlformats.org/officeDocument/2006/relationships/endnotes" Target="endnote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1.xml"></Relationship><Relationship Id="rId12"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_vplyvy_podnikatelia"/>
    <f:field ref="objsubject" par="" edit="true" text=""/>
    <f:field ref="objcreatedby" par="" text="Palúš, Juraj, JUDr."/>
    <f:field ref="objcreatedat" par="" text="30.6.2016 16:56:50"/>
    <f:field ref="objchangedby" par="" text="Administrator, System"/>
    <f:field ref="objmodifiedat" par="" text="30.6.2016 16:56: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PALUS  Juraj</cp:lastModifiedBy>
  <cp:revision>2</cp:revision>
  <dcterms:created xsi:type="dcterms:W3CDTF">2016-06-28T05:20:00Z</dcterms:created>
  <dcterms:modified xsi:type="dcterms:W3CDTF">2016-06-28T05:20:00Z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border="1" cellpadding="0" cellspacing="0" width="100%"&gt;_x0009_&lt;tbody&gt;_x0009__x0009_&lt;tr&gt;_x0009__x0009__x0009_&lt;td colspan="5" style="width:100.0%;height:37px;"&gt;_x0009__x0009__x0009_&lt;h2 align="center"&gt;Správa o účasti verejnosti na tvorbe právneho predpisu&lt;/h2&gt;_x0009__x0009__x0009_&lt;h2&gt;Scenár 3: Verejnosť sa zúčastňuje na tvorbe právneho predpisu&lt;/h2&gt;_x0009__x0009__x0009_&lt;/td&gt;_x0009__x0009_&lt;/tr&gt;_x0009__x0009_&lt;tr&gt;_x0009__x0009__x0009_&lt;td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predpisu?&lt;sup&gt;1&lt;/sup&gt;)&lt;/p&gt;_x0009__x0009__x0009_&lt;/td&gt;_x0009__x0009__x0009_&lt;td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a&amp;nbsp;jednotlivcov&lt;sup&gt;3&lt;/sup&gt;)&lt;/p&gt;_x0009__x0009__x0009_&lt;/td&gt;_x0009__x0009__x0009_&lt;td style="width:48.5%;height:38px;"&gt;_x0009__x0009__x0009_&lt;p&gt;Bola vykonaná identifikácia zainteresovaných skupín a&amp;nbsp;jednotlivcov?&lt;sup&gt;2&lt;/sup&gt;)&lt;/p&gt;_x0009__x0009__x0009_&lt;/td&gt;_x0009__x0009__x0009_&lt;td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kvalite?&lt;sup&gt;4&lt;/sup&gt;)&lt;/p&gt;_x0009__x0009__x0009_&lt;/td&gt;_x0009__x0009__x0009_&lt;td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predpisu?&lt;sup&gt;5&lt;/sup&gt;)&lt;/p&gt;_x0009__x0009__x0009_&lt;/td&gt;_x0009__x0009__x0009_&lt;td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aktéri&lt;sup&gt;6&lt;/sup&gt;)&lt;/p&gt;_x0009__x0009__x0009_&lt;/td&gt;_x0009__x0009__x0009_&lt;td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metódy&lt;sup&gt;8&lt;/sup&gt;)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predpisu?&lt;sup&gt;9&lt;/sup&gt;)&lt;/p&gt;_x0009__x0009__x0009_&lt;/td&gt;_x0009__x0009__x0009_&lt;td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style="width:6.14%;height:38px;"&gt;_x0009__x0009__x0009_&lt;p&gt;☐&lt;/p&gt;_x0009__x0009__x0009_&lt;/td&gt;_x0009__x0009_&lt;/tr&gt;_x0009_&lt;/tbody&gt;&lt;/table&gt;&lt;p&gt;&amp;nbsp;&lt;/p&gt;&lt;p&gt;&lt;span style="font-size:10px;"&gt;&lt;strong&gt;Vysvetlivky&lt;/strong&gt;&lt;/span&gt;&lt;/p&gt;&lt;p&gt;&lt;span style="font-size:10px;"&gt;1) Cieľ účasti verejnosti na tvorbe právneho predpisu závisí od zamýšľanej intenzity zapojenia verejnosti do tvorby právneho predpisu:&lt;/span&gt;&lt;/p&gt;&lt;p&gt;&lt;span style="font-size:10px;"&gt;• Scenár 1 - informovať verejnosť o procese tvorby právneho predpisu&lt;/span&gt;&lt;/p&gt;&lt;p&gt;&lt;span style="font-size:10px;"&gt;• Scenár 2 – zapojiť verejnosť do diskusie o tvorbe právneho predpisu&lt;/span&gt;&lt;/p&gt;&lt;p&gt;&lt;span style="font-size:10px;"&gt;• Scenár 3 – zapojiť verejnosť do tvorby právneho predpisu&lt;/span&gt;&lt;/p&gt;&lt;p&gt;&lt;span style="font-size:10px;"&gt;• Scenár 4 – zapojiť čo najširšiu verejnosť do tvorby právneho predpisu v rovnocennom postavení s predkladateľom právneho predpisu&lt;/span&gt;&lt;/p&gt;&lt;p&gt;&lt;span style="font-size:10px;"&gt;Cieľ účasti verejnosti na tvorbe právneho predpisu je súčasťou hodnotiacej správy procesu tvorby právneho predpisu (pozri vysvetlivku č. 9).&lt;/span&gt;&lt;/p&gt;&lt;p&gt;&lt;span style="font-size:10px;"&gt;2) Vypĺňa sa na základe hodnotiacej správy (pozri vysvetlivku č. 9).&lt;/span&gt;&lt;/p&gt;&lt;p&gt;&lt;span style="font-size:10px;"&gt;3) Zainteresovanými skupinami a jednotlivcami sa rozumejú skupiny alebo jednotlivci, ktorí:&lt;/span&gt;&lt;/p&gt;&lt;p&gt;&lt;span style="font-size:10px;"&gt;• budú právnym predpisom ovplyvnení a/alebo majú nejaký záujem na výslednej podobe právneho predpisu,&lt;/span&gt;&lt;/p&gt;&lt;p&gt;&lt;span style="font-size:10px;"&gt;• môžu nejakým spôsobom ovplyvniť, ohroziť alebo znemožniť tvorbu právneho predpisu.&lt;/span&gt;&lt;/p&gt;&lt;p&gt;&lt;span style="font-size:10px;"&gt;4) Informácie boli poskytnuté v takej forme, aby boli prístupné aj osobám so zdravotným postihnutím a ďalším skupinám osôb znevýhodneným obmedzeným prístupom k informáciám a vo forme, ktorá je strojovo spracovateľná.&lt;/span&gt;&lt;/p&gt;&lt;p&gt;&lt;span style="font-size:10px;"&gt;5) V základnom rámci procesu tvorby právneho predpisu majú byť zadefinované najmä:&lt;/span&gt;&lt;/p&gt;&lt;p&gt;&lt;span style="font-size:10px;"&gt;• záväzky a povinnosti zapojených aktérov a ich mandát v procese,&lt;/span&gt;&lt;/p&gt;&lt;p&gt;&lt;span style="font-size:10px;"&gt;• zvolené participatívne metódy&lt;/span&gt;&lt;/p&gt;&lt;p&gt;&lt;span style="font-size:10px;"&gt;• preferované postupy rozhodovania,&lt;/span&gt;&lt;/p&gt;&lt;p&gt;&lt;span style="font-size:10px;"&gt;• spôsob riešenia názorových a hodnotových rozdielov medzi zainteresovanými skupinami.&lt;/span&gt;&lt;/p&gt;&lt;p&gt;&lt;span style="font-size:10px;"&gt;Základný rámec procesu tvorby právneho predpisu je súčasťou hodnotiacej správy procesu tvorby právneho predpisu (pozri vysvetlivku č. 9).&lt;/span&gt;&lt;/p&gt;&lt;p&gt;&lt;span style="font-size:10px;"&gt;6) Zapojenými aktérmi sa rozumejú zainteresované skupiny a jednotlivci, ktorí boli aktívne zapojení do tvorby právneho predpisu.&lt;/span&gt;&lt;/p&gt;&lt;p&gt;&lt;span style="font-size:10px;"&gt;7) Vypĺňa sa na základe stanoviska zapojených aktérov. Stanovisko zapojených aktérov je súčasťou hodnotiacej správy procesu tvorby právneho predpisu (pozri vysvetlivku č. 9).&lt;/span&gt;&lt;/p&gt;&lt;p&gt;&lt;span style="font-size:10px;"&gt;8) Participatívnymi metódami sa rozumejú napríklad:&lt;/span&gt;&lt;/p&gt;&lt;p&gt;&lt;span style="font-size:10px;"&gt;• ad-hoc osobné konzultácie s vybranými odborníkmi resp. zainteresovanými skupinami a jednotlivcami,&lt;/span&gt;&lt;/p&gt;&lt;p&gt;&lt;span style="font-size:10px;"&gt;• pracovné a poradné skupiny vytvorené zo zástupcov predkladateľa právneho predpisu a zainteresovaných skupín a jednotlivcov,&lt;/span&gt;&lt;/p&gt;&lt;p&gt;&lt;span style="font-size:10px;"&gt;• konferencie a workshopy,&lt;/span&gt;&lt;/p&gt;&lt;p&gt;&lt;span style="font-size:10px;"&gt;• verejné vypočutia,&lt;/span&gt;&lt;/p&gt;&lt;p&gt;&lt;span style="font-size:10px;"&gt;• diskusné a deliberačné fóra.&lt;/span&gt;&lt;/p&gt;&lt;p&gt;&lt;span style="font-size:10px;"&gt;Zvolené participatívne metódy sú súčasťou hodnotiacej správy procesu tvorby právneho predpisu (pozri vysvetlivku č. 9).&lt;/span&gt;&lt;/p&gt;&lt;p&gt;&lt;span style="font-size:10px;"&gt;9) Hodnotiaca správa procesu tvorby právneho predpisu obsahuje najmä:&lt;/span&gt;&lt;/p&gt;&lt;p&gt;&lt;span style="font-size:10px;"&gt;• cieľ účasti verejnosti na tvorbe právneho predpisu,&lt;/span&gt;&lt;/p&gt;&lt;p&gt;&lt;span style="font-size:10px;"&gt;• spôsob identifikácie problému a alternatív riešení,&lt;/span&gt;&lt;/p&gt;&lt;p&gt;&lt;span style="font-size:10px;"&gt;• spôsob identifikácie zainteresovaných skupín a jednotlivcov,&lt;/span&gt;&lt;/p&gt;&lt;p&gt;&lt;span style="font-size:10px;"&gt;• spôsob identifikácie záujmov a možných konfliktov zainteresovaných skupín a jednotlivcov,&lt;/span&gt;&lt;/p&gt;&lt;p&gt;&lt;span style="font-size:10px;"&gt;• spôsob zapojenia zainteresovaných skupín a jednotlivcov do tvorby právneho predpisu,&lt;/span&gt;&lt;/p&gt;&lt;p&gt;&lt;span style="font-size:10px;"&gt;• zoznam zapojených aktérov,&lt;/span&gt;&lt;/p&gt;&lt;p&gt;&lt;span style="font-size:10px;"&gt;• zvolené a použité participatívne metódy,&lt;/span&gt;&lt;/p&gt;&lt;p&gt;&lt;span style="font-size:10px;"&gt;• stanoviská zapojených aktérov podľa zvoleného scenára účasti verejnosti na tvorbe právneho predpisu.&lt;/span&gt;&lt;/p&gt;&lt;p&gt;&lt;span style="font-size:10px;"&gt;Hodnotiaca správa je prílohou k správe o účasti verejnosti na tvorbe právneho predpisu, ak je vypracovaná.&lt;/span&gt;&lt;/p&gt;&lt;p&gt;&amp;nbsp;&lt;/p&gt;</vt:lpwstr>
  </property>
  <property name="FSC#SKEDITIONSLOVLEX@103.510:typpredpis" pid="3" fmtid="{D5CDD505-2E9C-101B-9397-08002B2CF9AE}">
    <vt:lpwstr>Zákon</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Obchodné právo_x000d__x000a_Občianske právo_x000d__x000a_Správne právo_x000d__x000a_Finančné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Juraj Palúš</vt:lpwstr>
  </property>
  <property name="FSC#SKEDITIONSLOVLEX@103.510:zodppredkladatel" pid="12" fmtid="{D5CDD505-2E9C-101B-9397-08002B2CF9AE}">
    <vt:lpwstr>Lucia Žitňanská</vt:lpwstr>
  </property>
  <property name="FSC#SKEDITIONSLOVLEX@103.510:dalsipredkladatel" pid="13" fmtid="{D5CDD505-2E9C-101B-9397-08002B2CF9AE}">
    <vt:lpwstr/>
  </property>
  <property name="FSC#SKEDITIONSLOVLEX@103.510:nazovpredpis" pid="14" fmtid="{D5CDD505-2E9C-101B-9397-08002B2CF9AE}">
    <vt:lpwstr> o registri partnerov verejného sektora a o zmene a doplnení niektorých zákonov</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spravodlivosti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mesiace jún až december 2016</vt:lpwstr>
  </property>
  <property name="FSC#SKEDITIONSLOVLEX@103.510:plnynazovpredpis" pid="23" fmtid="{D5CDD505-2E9C-101B-9397-08002B2CF9AE}">
    <vt:lpwstr> Zákon o registri partnerov verejného sektora a o zmene a doplnení niektorých zákonov</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44640/2016/100</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LP/2016/677</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upravená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spravodlivosti Slovenskej republiky</vt:lpwstr>
  </property>
  <property name="FSC#SKEDITIONSLOVLEX@103.510:AttrDateDocPropZaciatokPKK" pid="58" fmtid="{D5CDD505-2E9C-101B-9397-08002B2CF9AE}">
    <vt:lpwstr>1. 7. 2016</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posudzované nakoľko Programové vyhlásenie vlády SR exaktne vymedzuje zadanie, ktoré je premietnuté do návrhu zákona.</vt:lpwstr>
  </property>
  <property name="FSC#SKEDITIONSLOVLEX@103.510:AttrStrListDocPropStanoviskoGest" pid="67" fmtid="{D5CDD505-2E9C-101B-9397-08002B2CF9AE}">
    <vt:lpwstr/>
  </property>
  <property name="FSC#SKEDITIONSLOVLEX@103.510:AttrStrListDocPropTextKomunike" pid="68" fmtid="{D5CDD505-2E9C-101B-9397-08002B2CF9AE}">
    <vt:lpwstr>Vláda Slovenskej republiky na svojom rokovaní dňa ... prerokovala a schválila návrh zákona o registri partnerov verejného sektora a o zmene a doplnení niektorých zákonov.</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republiky_x000d__x000a_podpredsedníčka vlády a ministerka spravodlivosti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podpredsedníčka vlády a ministerka spravodlivosti Slovenskej republiky</vt:lpwstr>
  </property>
  <property name="FSC#SKEDITIONSLOVLEX@103.510:funkciaZodpPredAkuzativ" pid="142" fmtid="{D5CDD505-2E9C-101B-9397-08002B2CF9AE}">
    <vt:lpwstr>podpredsedníčku vlády a ministerku spravodlivosti Slovenskej republiky</vt:lpwstr>
  </property>
  <property name="FSC#SKEDITIONSLOVLEX@103.510:funkciaZodpPredDativ" pid="143" fmtid="{D5CDD505-2E9C-101B-9397-08002B2CF9AE}">
    <vt:lpwstr>podpredsedníčke vlády a ministerke spravodlivosti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Lucia Žitňanská_x000d__x000a_podpredsedníčka vlády a ministerka spravodlivosti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spravodlivosti Slovenskej republiky predkladá do pripomienkového konania návrh zákona o registri partnerov verejného sektora a o zmene a doplnení niektorých zákonov (ďalej len „návrh zákona“).&lt;/p&gt;&lt;p style="text-align: justify;"&gt;Návrh zákona bol vypracovaný na základe Plánu legislatívnych úloh vlády Slovenskej republiky na mesiace jún až december 2016 a&amp;nbsp;vecne vychádza z&amp;nbsp;Programového vyhlásenia vlády Slovenskej republiky, ktoré tým napĺňa.&amp;nbsp;Súčasne predstavuje kľúčové opatrenie v politike boja proti korupcii vrátane boja proti praniu špinavých peňazí.&lt;/p&gt;&lt;p style="text-align: justify;"&gt;Účelom návrhu zákona je zavedenie registra partnerov verejného sektora (ďalej len „register“), ako aj úprava s&amp;nbsp;tým súvisiacich otázok s&amp;nbsp;cieľom legislatívne vymedziť požiadavky na subjekty, s ktorými vstupuje štát, resp. subjekty verejného práva do právnych vzťahov, resp. v rámci ktorých tretia osoba prijíma akékoľvek plnenie vrátane predaja majetku štátu.&lt;/p&gt;&lt;p style="text-align: justify;"&gt;Návrh zákona sleduje cieľ stať sa účinným protischránkovým zákonom vzťahujúcim sa na všetky verejné zdroje, ktorý nad rámec svojich medzinárodnoprávnych záväzkov v oblasti boja proti praniu špinavých peňazí upraví požiadavky na subjekty, s ktorými vstupuje štát, resp. subjekty verejného práva do obchodného vzťahu, resp. v rámci ktorého tretia osoba prijíma akékoľvek plnenie vrátane predaja majetku štátu. Právna úprava nadväzuje na existujúcu právnu úpravu pokiaľ ide o verejnú kontrolu registra konečných užívateľov výhod, pričom prehodnocuje definíciu konečného užívateľa výhod, rozširuje okruh osôb na všetky subjekty, ktoré prijímajú plnenie od štátu a zvyšuje reálnu vymáhateľnosť zákona primeranými sankciami, ktoré budú citeľne odstrašujúce pre osoby, ktoré uviedli nepravdivé údaje, a odoberajú hospodársky prospech tým, ktorí ho protizákonným konaním získali.&lt;/p&gt;&lt;p style="text-align: justify;"&gt;Súčasťou návrhu zákona sú aj novelizácie súvisiacich zákonov, a&amp;nbsp;to primárne tých, ktoré regulujú nakladanie s&amp;nbsp;verejnými zdrojmi. Definícia konečného užívateľa výhod bude obsiahnutá v&amp;nbsp;zákone č. č. 297/2008 Z. z. o ochrane pred legalizáciou príjmov z trestnej činnosti a o ochrane pred financovaním terorizmu v&amp;nbsp;znení neskorších predpisov, ktorého novelizácia sa taktiež navrhuje.&lt;/p&gt;&lt;p style="text-align: justify;"&gt;Návrh zákona je v súlade s&amp;nbsp;Ústavou Slovenskej republiky, ústavnými zákonmi, medzinárodnými zmluvami, ktorými je Slovenská republika viazaná a&amp;nbsp;zákonmi a súčasne je v&amp;nbsp;súlade s&amp;nbsp;právom Európskej únie.&lt;/p&gt;&lt;p style="text-align: justify;"&gt;Návrh zákona základ vplyvy na verejné financie, podnikateľské prostredie a&amp;nbsp;informatizáciu spoločnosti; tieto vplyvy sú detailne popísané v&amp;nbsp;doložke vybraných vplyvov. Návrh zákona nebude mať sociálny vplyv, ani vplyv životné prostredie a na služby verejnej správy pre občana. Podrobnosti sú uvedené v&amp;nbsp;doložke vybraných vplyvov a&amp;nbsp;príslušných prílohách doložky vybraných vplyvov.&lt;/p&gt;</vt:lpwstr>
  </property>
  <property name="FSC#COOSYSTEM@1.1:Container" pid="150" fmtid="{D5CDD505-2E9C-101B-9397-08002B2CF9AE}">
    <vt:lpwstr>COO.2145.1000.3.1486359</vt:lpwstr>
  </property>
  <property name="FSC#FSCFOLIO@1.1001:docpropproject" pid="151" fmtid="{D5CDD505-2E9C-101B-9397-08002B2CF9AE}">
    <vt:lpwstr/>
  </property>
</Properties>
</file>