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A5" w:rsidRPr="002A7595" w:rsidRDefault="002A7595" w:rsidP="002A7595">
      <w:pPr>
        <w:widowControl/>
        <w:spacing w:after="0" w:line="240" w:lineRule="auto"/>
        <w:rPr>
          <w:rFonts w:ascii="Times New Roman" w:hAnsi="Times New Roman"/>
          <w:b/>
          <w:sz w:val="25"/>
          <w:szCs w:val="25"/>
        </w:rPr>
      </w:pPr>
      <w:r w:rsidRPr="002A7595">
        <w:rPr>
          <w:rFonts w:ascii="Times New Roman" w:hAnsi="Times New Roman"/>
          <w:b/>
          <w:color w:val="000000"/>
          <w:sz w:val="25"/>
          <w:szCs w:val="25"/>
          <w:lang w:eastAsia="sk-SK"/>
        </w:rPr>
        <w:t>B. Osobitná časť</w:t>
      </w:r>
    </w:p>
    <w:p w:rsidR="002F00DB" w:rsidRPr="005A1161" w:rsidRDefault="002F00DB" w:rsidP="00D710A5">
      <w:pPr>
        <w:widowControl/>
        <w:spacing w:after="0" w:line="240" w:lineRule="auto"/>
        <w:jc w:val="center"/>
        <w:rPr>
          <w:rFonts w:ascii="Times New Roman" w:hAnsi="Times New Roman" w:cs="Calibri"/>
          <w:b/>
          <w:caps/>
          <w:sz w:val="20"/>
          <w:szCs w:val="20"/>
        </w:rPr>
      </w:pPr>
    </w:p>
    <w:p w:rsidR="00AB1F57" w:rsidRDefault="00AB1F57" w:rsidP="00D710A5">
      <w:pPr>
        <w:widowControl/>
        <w:spacing w:after="0" w:line="240" w:lineRule="auto"/>
        <w:jc w:val="center"/>
        <w:rPr>
          <w:rFonts w:ascii="Times New Roman" w:hAnsi="Times New Roman" w:cs="Calibri"/>
          <w:iCs/>
          <w:sz w:val="20"/>
          <w:szCs w:val="20"/>
        </w:rPr>
      </w:pPr>
    </w:p>
    <w:p w:rsidR="004F6A09" w:rsidRDefault="004F6A09">
      <w:pPr>
        <w:divId w:val="372653723"/>
        <w:rPr>
          <w:rFonts w:ascii="Times" w:hAnsi="Times" w:cs="Times"/>
          <w:b/>
          <w:bCs/>
          <w:sz w:val="25"/>
          <w:szCs w:val="25"/>
        </w:rPr>
      </w:pPr>
      <w:r>
        <w:rPr>
          <w:rFonts w:ascii="Times" w:hAnsi="Times" w:cs="Times"/>
          <w:b/>
          <w:bCs/>
          <w:sz w:val="25"/>
          <w:szCs w:val="25"/>
        </w:rPr>
        <w:t>K § 1</w:t>
      </w:r>
    </w:p>
    <w:p w:rsidR="004F6A09" w:rsidRDefault="004F6A09">
      <w:pPr>
        <w:jc w:val="both"/>
        <w:divId w:val="372653723"/>
        <w:rPr>
          <w:rFonts w:ascii="Times" w:hAnsi="Times" w:cs="Times"/>
          <w:sz w:val="25"/>
          <w:szCs w:val="25"/>
        </w:rPr>
      </w:pPr>
      <w:r>
        <w:rPr>
          <w:rFonts w:ascii="Times" w:hAnsi="Times" w:cs="Times"/>
          <w:sz w:val="25"/>
          <w:szCs w:val="25"/>
        </w:rPr>
        <w:t>​</w:t>
      </w:r>
      <w:r>
        <w:rPr>
          <w:rFonts w:ascii="Times" w:hAnsi="Times" w:cs="Times"/>
          <w:sz w:val="25"/>
          <w:szCs w:val="25"/>
        </w:rPr>
        <w:br/>
        <w:t>Nariadenie vlády SR ďalej bližšie popisuje obsah a štruktúru záväzného plánu operačného programu, postup jeho schvaľovania Úradom podpredsedu vlády Slovenskej republiky pre investície a informatizáciu (ďalej len ,,Úrad“), povinnosť riadiaceho orgánu predkladať podklady pre potreby priebežného sledovania plnenia záväzného plánu ako aj spôsob ročného vyhodnotenia plnenia záväzného plánu operačného programu.</w:t>
      </w:r>
      <w:r>
        <w:rPr>
          <w:rFonts w:ascii="Times" w:hAnsi="Times" w:cs="Times"/>
          <w:sz w:val="25"/>
          <w:szCs w:val="25"/>
        </w:rPr>
        <w:br/>
        <w:t>Cieľom záväzných plánov operačných programov riadiacich orgánov  je posilnenie postavenia Úradu v oblasti riadenia, koordinácie a dohľadu nad využívaním fondov Európskej únie. Navrhované schvaľovanie záväzných plánov zároveň smeruje k naplneniu Programového vyhlásenia vlády Slovenskej republiky, v ktorom si vláda Slovenskej republiky stanovila zlepšenie implementácie európskych štrukturálnych a investičných fondov (ďalej len ,,EŠIF“) a dosahovanie ich výsledkovej orientácie.</w:t>
      </w:r>
      <w:r>
        <w:rPr>
          <w:rFonts w:ascii="Times" w:hAnsi="Times" w:cs="Times"/>
          <w:sz w:val="25"/>
          <w:szCs w:val="25"/>
        </w:rPr>
        <w:br/>
        <w:t>V súlade s Programovým vyhlásením vlády Slovenskej republiky, vláda považuje úspešné a transparentné čerpanie fondov Európskej únie za rozhodujúce vo vzťahu k poľnohospodárstvu a rozvoju vidieka. Z uvedeného dôvodu sa rozšírené kompetencie Úradu aj na Program rozvoja vidieka SR 2014-2020. Vzor záväzného plánu operačného programu tvorí prílohu nariadenia vlády SR.</w:t>
      </w:r>
      <w:r w:rsidR="002F4000">
        <w:rPr>
          <w:rFonts w:ascii="Times" w:hAnsi="Times" w:cs="Times"/>
          <w:sz w:val="25"/>
          <w:szCs w:val="25"/>
        </w:rPr>
        <w:t xml:space="preserve"> </w:t>
      </w:r>
      <w:r>
        <w:rPr>
          <w:rFonts w:ascii="Times" w:hAnsi="Times" w:cs="Times"/>
          <w:sz w:val="25"/>
          <w:szCs w:val="25"/>
        </w:rPr>
        <w:t>Povinnosti uvedené v § 1 plní vo vzťahu k Úradu riadiaci orgán a to aj za sprostredkovateľský orgán, ak riadiaci orgán plní niektoré úlohy v rámci operačného programu prostredníctvom sprostredkovateľského orgánu. V prípade ak je výkon relevantných úloh plnený prostredníctvom Pôdohospodárskej platobnej agentúry, rovnako sa povinnosti uvedené v § 1 plnia vo vzťahu k Úradu prostredníctvom riadiaceho orgánu. </w:t>
      </w:r>
    </w:p>
    <w:p w:rsidR="004F6A09" w:rsidRDefault="004F6A09">
      <w:pPr>
        <w:spacing w:after="240"/>
        <w:divId w:val="372653723"/>
      </w:pPr>
    </w:p>
    <w:p w:rsidR="004F6A09" w:rsidRDefault="004F6A09">
      <w:pPr>
        <w:divId w:val="372653723"/>
        <w:rPr>
          <w:rFonts w:ascii="Times" w:hAnsi="Times" w:cs="Times"/>
          <w:b/>
          <w:bCs/>
          <w:sz w:val="25"/>
          <w:szCs w:val="25"/>
        </w:rPr>
      </w:pPr>
      <w:r>
        <w:rPr>
          <w:rFonts w:ascii="Times" w:hAnsi="Times" w:cs="Times"/>
          <w:b/>
          <w:bCs/>
          <w:sz w:val="25"/>
          <w:szCs w:val="25"/>
        </w:rPr>
        <w:t>K § 2</w:t>
      </w:r>
    </w:p>
    <w:p w:rsidR="004F6A09" w:rsidRDefault="004F6A09">
      <w:pPr>
        <w:jc w:val="both"/>
        <w:divId w:val="372653723"/>
        <w:rPr>
          <w:rFonts w:ascii="Times" w:hAnsi="Times" w:cs="Times"/>
          <w:sz w:val="25"/>
          <w:szCs w:val="25"/>
        </w:rPr>
      </w:pPr>
      <w:r>
        <w:rPr>
          <w:rFonts w:ascii="Times" w:hAnsi="Times" w:cs="Times"/>
          <w:sz w:val="25"/>
          <w:szCs w:val="25"/>
        </w:rPr>
        <w:t>Partnerská dohoda Slovenskej republiky na roky 2014 – 2020 jasne pomenováva nedostatky v oblasti plánovania a prípravy v predošlom programovom období 2007-2013, kedy  synergia, integrita a </w:t>
      </w:r>
      <w:proofErr w:type="spellStart"/>
      <w:r>
        <w:rPr>
          <w:rFonts w:ascii="Times" w:hAnsi="Times" w:cs="Times"/>
          <w:sz w:val="25"/>
          <w:szCs w:val="25"/>
        </w:rPr>
        <w:t>komplementarita</w:t>
      </w:r>
      <w:proofErr w:type="spellEnd"/>
      <w:r>
        <w:rPr>
          <w:rFonts w:ascii="Times" w:hAnsi="Times" w:cs="Times"/>
          <w:sz w:val="25"/>
          <w:szCs w:val="25"/>
        </w:rPr>
        <w:t xml:space="preserve"> výziev nebola riešená vôbec alebo veľmi povrchne.  Bez  vzájomnej previazanosti výziev a projektov dochádzalo k presadzovaniu individuálnych projektov, ktoré majú a mali slabší vplyv na celkové dosiahnutie stanovených cieľov v programovom období 2007-2013.</w:t>
      </w:r>
      <w:r>
        <w:rPr>
          <w:rFonts w:ascii="Times" w:hAnsi="Times" w:cs="Times"/>
          <w:sz w:val="25"/>
          <w:szCs w:val="25"/>
        </w:rPr>
        <w:br/>
        <w:t xml:space="preserve">Cieľom tohto paragrafu  je zabezpečiť </w:t>
      </w:r>
      <w:proofErr w:type="spellStart"/>
      <w:r>
        <w:rPr>
          <w:rFonts w:ascii="Times" w:hAnsi="Times" w:cs="Times"/>
          <w:sz w:val="25"/>
          <w:szCs w:val="25"/>
        </w:rPr>
        <w:t>komplementaritu</w:t>
      </w:r>
      <w:proofErr w:type="spellEnd"/>
      <w:r>
        <w:rPr>
          <w:rFonts w:ascii="Times" w:hAnsi="Times" w:cs="Times"/>
          <w:sz w:val="25"/>
          <w:szCs w:val="25"/>
        </w:rPr>
        <w:t xml:space="preserve"> a synergiu jednotlivých operačných programov v zmysle čl. 4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w:t>
      </w:r>
      <w:r>
        <w:rPr>
          <w:rFonts w:ascii="Times" w:hAnsi="Times" w:cs="Times"/>
          <w:sz w:val="25"/>
          <w:szCs w:val="25"/>
        </w:rPr>
        <w:lastRenderedPageBreak/>
        <w:t>a ktorým sa zrušuje nariadenie Rady (ES) č. 1083/2006 (Ú. v. EÚ L 347, 20. 12. 2013) ustanovuje pre jednotlivé členské štáty povinnosť  zabezpečiť aby sa intervencie podporované z EŠIF vzájomne dopĺňali a vykonávali koordinovaným spôsobom s cieľom vytvoriť synergické účinky. Uvedené nariadenie č. 1303/2013 vyzýva k podporovaniu spoločných prístupov medzi EŠIF, pokiaľ ide o usmerňovanie rozvoja operácií, výziev na predkladanie návrhov a výberových postupov.</w:t>
      </w:r>
      <w:r>
        <w:rPr>
          <w:rFonts w:ascii="Times" w:hAnsi="Times" w:cs="Times"/>
          <w:sz w:val="25"/>
          <w:szCs w:val="25"/>
        </w:rPr>
        <w:br/>
        <w:t xml:space="preserve">Postupom uvedeným v §2  Slovenská republika prostredníctvom Úradu  zabezpečí integrovaný prístup k využívaniu EŠIF a k územnému rozvoju a tým prispeje k zabezpečeniu inteligentného, udržateľného a </w:t>
      </w:r>
      <w:proofErr w:type="spellStart"/>
      <w:r>
        <w:rPr>
          <w:rFonts w:ascii="Times" w:hAnsi="Times" w:cs="Times"/>
          <w:sz w:val="25"/>
          <w:szCs w:val="25"/>
        </w:rPr>
        <w:t>inkluzívnehu</w:t>
      </w:r>
      <w:proofErr w:type="spellEnd"/>
      <w:r>
        <w:rPr>
          <w:rFonts w:ascii="Times" w:hAnsi="Times" w:cs="Times"/>
          <w:sz w:val="25"/>
          <w:szCs w:val="25"/>
        </w:rPr>
        <w:t xml:space="preserve"> rastu Európskej únie.</w:t>
      </w:r>
      <w:r w:rsidR="002F4000">
        <w:rPr>
          <w:rFonts w:ascii="Times" w:hAnsi="Times" w:cs="Times"/>
          <w:sz w:val="25"/>
          <w:szCs w:val="25"/>
        </w:rPr>
        <w:t xml:space="preserve"> </w:t>
      </w:r>
      <w:r>
        <w:rPr>
          <w:rFonts w:ascii="Times" w:hAnsi="Times" w:cs="Times"/>
          <w:sz w:val="25"/>
          <w:szCs w:val="25"/>
        </w:rPr>
        <w:t>Povinnosti uvedené v § 2 plní vo vzťahu k Úradu riadiaci orgán a to aj za sprostredkovateľský orgán, ak riadiaci orgán plní niektoré úlohy v rámci operačného programu prostredníctvom sprostredkovateľského orgánu. V prípade ak je výkon relevantných úloh plnený prostredníctvom Pôdohospodárskej platobnej agentúry, rovnako sa povinnosti uvedené v § 2 plnia vo vzťahu k Úradu prostredníctvom riadiaceho orgánu.</w:t>
      </w:r>
      <w:r>
        <w:rPr>
          <w:rFonts w:ascii="Times" w:hAnsi="Times" w:cs="Times"/>
          <w:sz w:val="25"/>
          <w:szCs w:val="25"/>
        </w:rPr>
        <w:br/>
        <w:t>V prípade, ak sa riadiacemu orgánu doručí nesúhlasné stanovisko s vyhlásením výzvy podľa §2 ods. 7, za odstránenie rozporu ohľadne spôsobu odstránenia identifikovaných nedostatkov sa považuje písomné alebo elektronické odsúhlasenie možnosti vyhlásiť výzvu centrálnym koordinačným orgánom, pričom predloženie upraveného znenia výzvy na opätovné posúdenie nie je potrebné.</w:t>
      </w:r>
    </w:p>
    <w:p w:rsidR="004F6A09" w:rsidRDefault="004F6A09">
      <w:pPr>
        <w:spacing w:after="240"/>
        <w:divId w:val="372653723"/>
      </w:pPr>
    </w:p>
    <w:p w:rsidR="004F6A09" w:rsidRDefault="004F6A09">
      <w:pPr>
        <w:divId w:val="372653723"/>
        <w:rPr>
          <w:rFonts w:ascii="Times" w:hAnsi="Times" w:cs="Times"/>
          <w:b/>
          <w:bCs/>
          <w:sz w:val="25"/>
          <w:szCs w:val="25"/>
        </w:rPr>
      </w:pPr>
      <w:r>
        <w:rPr>
          <w:rFonts w:ascii="Times" w:hAnsi="Times" w:cs="Times"/>
          <w:b/>
          <w:bCs/>
          <w:sz w:val="25"/>
          <w:szCs w:val="25"/>
        </w:rPr>
        <w:t>K § 3</w:t>
      </w:r>
    </w:p>
    <w:p w:rsidR="004F6A09" w:rsidRDefault="004F6A09">
      <w:pPr>
        <w:jc w:val="both"/>
        <w:divId w:val="372653723"/>
        <w:rPr>
          <w:rFonts w:ascii="Times" w:hAnsi="Times" w:cs="Times"/>
          <w:sz w:val="25"/>
          <w:szCs w:val="25"/>
        </w:rPr>
      </w:pPr>
      <w:r>
        <w:rPr>
          <w:rFonts w:ascii="Times" w:hAnsi="Times" w:cs="Times"/>
          <w:sz w:val="25"/>
          <w:szCs w:val="25"/>
        </w:rPr>
        <w:t>​</w:t>
      </w:r>
      <w:r>
        <w:rPr>
          <w:rFonts w:ascii="Times" w:hAnsi="Times" w:cs="Times"/>
          <w:sz w:val="25"/>
          <w:szCs w:val="25"/>
        </w:rPr>
        <w:br/>
        <w:t>Cieľom paragrafu 3 je zadefinovať krízové riadenie ako súbor opatrení, ktoré Úrad navrhne po konzultácií s dotknutým riadiacim orgánom, s cieľom nastoliť súlad s kritériami záväzného plánu operačného programu schvaľovaného v zmysle § 1.  Návrh opatrení bude obsahovať aj časový harmonogram zavedenia opatrení.</w:t>
      </w:r>
      <w:r>
        <w:rPr>
          <w:rFonts w:ascii="Times" w:hAnsi="Times" w:cs="Times"/>
          <w:sz w:val="25"/>
          <w:szCs w:val="25"/>
        </w:rPr>
        <w:br/>
        <w:t>Úrad bude priebežne sledovať účinky jednotlivých opatrení a riadiacemu orgánu poskytne potrebnú súčinnosť. O zavedení krízového riadenia ako aj jeho zrušení rozhoduje vláda Slovenskej republiky na základe návrhu predsedu vlády Slovenskej republiky.</w:t>
      </w:r>
      <w:r w:rsidR="002F4000">
        <w:rPr>
          <w:rFonts w:ascii="Times" w:hAnsi="Times" w:cs="Times"/>
          <w:sz w:val="25"/>
          <w:szCs w:val="25"/>
        </w:rPr>
        <w:t xml:space="preserve"> </w:t>
      </w:r>
      <w:r>
        <w:rPr>
          <w:rFonts w:ascii="Times" w:hAnsi="Times" w:cs="Times"/>
          <w:sz w:val="25"/>
          <w:szCs w:val="25"/>
        </w:rPr>
        <w:t>Povinnosti uvedené v § 3 plní vo vzťahu k Úradu riadiaci orgán a to aj za sprostredkovateľský orgán, ak riadiaci orgán plní niektoré úlohy v rámci operačného programu prostredníctvom sprostredkovateľského orgánu. V prípade ak je výkon relevantných úloh plnený prostredníctvom Pôdohospodárskej platobnej agentúry, rovnako sa povinnosti uvedené v § 3 plnia vo vzťahu k Úradu prostredníctvom riadiaceho orgánu.</w:t>
      </w:r>
    </w:p>
    <w:p w:rsidR="004F6A09" w:rsidRDefault="004F6A09">
      <w:pPr>
        <w:divId w:val="372653723"/>
        <w:rPr>
          <w:rFonts w:ascii="Times" w:hAnsi="Times" w:cs="Times"/>
          <w:b/>
          <w:bCs/>
          <w:sz w:val="25"/>
          <w:szCs w:val="25"/>
        </w:rPr>
      </w:pPr>
      <w:r>
        <w:rPr>
          <w:rFonts w:ascii="Times" w:hAnsi="Times" w:cs="Times"/>
          <w:b/>
          <w:bCs/>
          <w:sz w:val="25"/>
          <w:szCs w:val="25"/>
        </w:rPr>
        <w:t>K § 4</w:t>
      </w:r>
    </w:p>
    <w:p w:rsidR="00D710A5" w:rsidRPr="005A1161" w:rsidRDefault="004F6A09" w:rsidP="0076706F">
      <w:pPr>
        <w:jc w:val="both"/>
        <w:rPr>
          <w:rFonts w:ascii="Times New Roman" w:hAnsi="Times New Roman" w:cs="Calibri"/>
          <w:iCs/>
          <w:sz w:val="20"/>
          <w:szCs w:val="20"/>
        </w:rPr>
      </w:pPr>
      <w:r>
        <w:rPr>
          <w:rFonts w:ascii="Times" w:hAnsi="Times" w:cs="Times"/>
          <w:sz w:val="25"/>
          <w:szCs w:val="25"/>
        </w:rPr>
        <w:t>​Stanovuje sa presný termín na predloženie záväzného plánu na rok 2016, ako aj termín pre jeho schválenie zo strany Úradu.</w:t>
      </w:r>
      <w:bookmarkStart w:id="0" w:name="_GoBack"/>
      <w:bookmarkEnd w:id="0"/>
    </w:p>
    <w:p w:rsidR="008F1A80" w:rsidRPr="005A1161" w:rsidRDefault="008F1A80" w:rsidP="00D710A5">
      <w:pPr>
        <w:widowControl/>
        <w:spacing w:after="0" w:line="240" w:lineRule="auto"/>
        <w:jc w:val="center"/>
        <w:rPr>
          <w:rFonts w:ascii="Times New Roman" w:hAnsi="Times New Roman" w:cs="Calibri"/>
          <w:iCs/>
          <w:sz w:val="20"/>
          <w:szCs w:val="20"/>
        </w:rPr>
      </w:pPr>
    </w:p>
    <w:p w:rsidR="00D710A5" w:rsidRPr="005A1161" w:rsidRDefault="00D710A5" w:rsidP="00D710A5">
      <w:pPr>
        <w:widowControl/>
        <w:spacing w:after="0" w:line="240" w:lineRule="auto"/>
        <w:rPr>
          <w:rFonts w:ascii="Times New Roman" w:hAnsi="Times New Roman" w:cs="Calibri"/>
          <w:sz w:val="20"/>
          <w:szCs w:val="20"/>
        </w:rPr>
      </w:pPr>
    </w:p>
    <w:sectPr w:rsidR="00D710A5" w:rsidRPr="005A1161" w:rsidSect="00AB1F57">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2A7595"/>
    <w:rsid w:val="002C2B40"/>
    <w:rsid w:val="002F00DB"/>
    <w:rsid w:val="002F4000"/>
    <w:rsid w:val="00327A2D"/>
    <w:rsid w:val="003A35EB"/>
    <w:rsid w:val="003C009A"/>
    <w:rsid w:val="004C083B"/>
    <w:rsid w:val="004F6A09"/>
    <w:rsid w:val="005A1161"/>
    <w:rsid w:val="00661635"/>
    <w:rsid w:val="006A0E56"/>
    <w:rsid w:val="00761851"/>
    <w:rsid w:val="0076706F"/>
    <w:rsid w:val="00773CE7"/>
    <w:rsid w:val="008461A5"/>
    <w:rsid w:val="00873337"/>
    <w:rsid w:val="008F1A80"/>
    <w:rsid w:val="00A17C3D"/>
    <w:rsid w:val="00A50574"/>
    <w:rsid w:val="00A56287"/>
    <w:rsid w:val="00AA4FD0"/>
    <w:rsid w:val="00AB1F57"/>
    <w:rsid w:val="00AB2B8F"/>
    <w:rsid w:val="00B3505E"/>
    <w:rsid w:val="00B50E2A"/>
    <w:rsid w:val="00B51490"/>
    <w:rsid w:val="00BA14D6"/>
    <w:rsid w:val="00D02827"/>
    <w:rsid w:val="00D17ED7"/>
    <w:rsid w:val="00D463B0"/>
    <w:rsid w:val="00D710A5"/>
    <w:rsid w:val="00DD1B41"/>
    <w:rsid w:val="00DF7EB5"/>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C765A-8CE8-47AD-81A5-6C370E0C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 správa - Osobitná časť"/>
    <f:field ref="objsubject" par="" edit="true" text="Dôvodová správa - Osobitná časť"/>
    <f:field ref="objcreatedby" par="" text="Administrator, System"/>
    <f:field ref="objcreatedat" par="" text="10.8.2016 13:11:43"/>
    <f:field ref="objchangedby" par="" text="Administrator, System"/>
    <f:field ref="objmodifiedat" par="" text="10.8.2016 13:11:44"/>
    <f:field ref="doc_FSCFOLIO_1_1001_FieldDocumentNumber" par="" text=""/>
    <f:field ref="doc_FSCFOLIO_1_1001_FieldSubject" par="" edit="true" text="Dôvodová správa - Osobit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D6DBA0A-228A-409F-A8E5-168FA213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4522</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Semanco Martin</cp:lastModifiedBy>
  <cp:revision>2</cp:revision>
  <dcterms:created xsi:type="dcterms:W3CDTF">2016-08-10T12:03:00Z</dcterms:created>
  <dcterms:modified xsi:type="dcterms:W3CDTF">2016-08-10T12:03:00Z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nariadenia vlády Slovenskej republiky ktorým sa ustanovuje systém uplatňovania niektorých právomocí Úradu podpredsedu vlády Slovenskej republiky pre investície a informatizáciu nebol&amp;nbsp;predmetom prerokovania s verejnosťou&amp;nbsp;vzhľadom na skut</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Štátna správa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Tibor Barna</vt:lpwstr>
  </property>
  <property fmtid="{D5CDD505-2E9C-101B-9397-08002B2CF9AE}" pid="11" name="FSC#SKEDITIONSLOVLEX@103.510:zodppredkladatel">
    <vt:lpwstr>Peter Pellegrini</vt:lpwstr>
  </property>
  <property fmtid="{D5CDD505-2E9C-101B-9397-08002B2CF9AE}" pid="12" name="FSC#SKEDITIONSLOVLEX@103.510:dalsipredkladatel">
    <vt:lpwstr/>
  </property>
  <property fmtid="{D5CDD505-2E9C-101B-9397-08002B2CF9AE}" pid="13" name="FSC#SKEDITIONSLOVLEX@103.510:nazovpredpis">
    <vt:lpwstr> ktorým sa ustanovuje systém uplatňovania niektorých právomocí Úradu podpredsedu vlády Slovenskej republiky pre investície a informatizáciu</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podpredsedu vlády Slovenskej republiky pre investície a informatizáciu</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6 ods. 4 zákona č. 292/2014 Z. z. o príspevku poskytovanom z európskych štrukturálnych a investičných fondov a o zmene a doplnení niektorých zákonov v znení zákona č. 171/2016 Z. z.</vt:lpwstr>
  </property>
  <property fmtid="{D5CDD505-2E9C-101B-9397-08002B2CF9AE}" pid="22" name="FSC#SKEDITIONSLOVLEX@103.510:plnynazovpredpis">
    <vt:lpwstr> Nariadenie vlády  Slovenskej republiky ktorým sa ustanovuje systém uplatňovania niektorých právomocí Úradu podpredsedu vlády Slovenskej republiky pre investície a informatizáciu</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5971/2016/OM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LP/2016/522</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upravená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Úrad vlády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Nerelevantné.</vt:lpwstr>
  </property>
  <property fmtid="{D5CDD505-2E9C-101B-9397-08002B2CF9AE}" pid="65" name="FSC#SKEDITIONSLOVLEX@103.510:AttrStrListDocPropAltRiesenia">
    <vt:lpwstr>Alternatívne riešenia neboli posudzované.</vt:lpwstr>
  </property>
  <property fmtid="{D5CDD505-2E9C-101B-9397-08002B2CF9AE}" pid="66" name="FSC#SKEDITIONSLOVLEX@103.510:AttrStrListDocPropStanoviskoGest">
    <vt:lpwstr>Nerelevantné.</vt:lpwstr>
  </property>
  <property fmtid="{D5CDD505-2E9C-101B-9397-08002B2CF9AE}" pid="67" name="FSC#SKEDITIONSLOVLEX@103.510:AttrStrListDocPropTextKomunike">
    <vt:lpwstr>Vláda Slovenskej republiky na svojom rokovaní dňa ....................... prerokovala a schválila návrh nariadenia vlády Slovenskej republiky ktorým sa ustanovuje systém uplatňovania niektorých právomocí Úradu podpredsedu vlády Slovenskej republiky pre in</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Slovenskej republiky pre investície a informatizáciu</vt:lpwstr>
  </property>
  <property fmtid="{D5CDD505-2E9C-101B-9397-08002B2CF9AE}" pid="141" name="FSC#SKEDITIONSLOVLEX@103.510:funkciaZodpPredAkuzativ">
    <vt:lpwstr>podpredsedu vlády Slovenskej republiky pre investície a informatizáciu</vt:lpwstr>
  </property>
  <property fmtid="{D5CDD505-2E9C-101B-9397-08002B2CF9AE}" pid="142" name="FSC#SKEDITIONSLOVLEX@103.510:funkciaZodpPredDativ">
    <vt:lpwstr>podpredsedovi vlády Slovenskej republiky pre investície a informatizáciu</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Peter Pellegrini_x000d_
podpredseda vlády Slovenskej republiky pre investície a informatizáciu</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style="margin: 0cm 0cm 0pt; text-align: justify; -ms-text-justify: inter-ideograph;"&gt;Návrh nariadenia vlády, ktorým sa ustanovuje systém uplatňovania niektorých právomocí Úradu podpredsedu vlády Slovenskej republiky pre investície a&amp;nbsp;informatizáciu</vt:lpwstr>
  </property>
  <property fmtid="{D5CDD505-2E9C-101B-9397-08002B2CF9AE}" pid="149" name="FSC#COOSYSTEM@1.1:Container">
    <vt:lpwstr>COO.2145.1000.3.1564144</vt:lpwstr>
  </property>
  <property fmtid="{D5CDD505-2E9C-101B-9397-08002B2CF9AE}" pid="150" name="FSC#FSCFOLIO@1.1001:docpropproject">
    <vt:lpwstr/>
  </property>
  <property fmtid="{D5CDD505-2E9C-101B-9397-08002B2CF9AE}" pid="151" name="FSC#SKEDITIONSLOVLEX@103.510:aktualnyrok">
    <vt:lpwstr>2016</vt:lpwstr>
  </property>
</Properties>
</file>