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3E" w:rsidRDefault="00484C21">
      <w:pPr>
        <w:spacing w:after="200"/>
        <w:jc w:val="center"/>
      </w:pPr>
      <w:r>
        <w:rPr>
          <w:b/>
          <w:sz w:val="24"/>
        </w:rPr>
        <w:cr/>
      </w:r>
      <w:r>
        <w:rPr>
          <w:b/>
          <w:sz w:val="24"/>
        </w:rPr>
        <w:cr/>
      </w:r>
      <w:r>
        <w:rPr>
          <w:b/>
          <w:sz w:val="24"/>
        </w:rPr>
        <w:cr/>
      </w:r>
      <w:r>
        <w:rPr>
          <w:b/>
          <w:sz w:val="24"/>
        </w:rPr>
        <w:cr/>
      </w:r>
      <w:r>
        <w:rPr>
          <w:b/>
          <w:sz w:val="24"/>
        </w:rPr>
        <w:cr/>
        <w:t>(Návrh)</w:t>
      </w:r>
      <w:r>
        <w:rPr>
          <w:b/>
          <w:sz w:val="24"/>
        </w:rPr>
        <w:cr/>
      </w:r>
    </w:p>
    <w:p w:rsidR="0077243E" w:rsidRDefault="0077243E"/>
    <w:p w:rsidR="0077243E" w:rsidRDefault="00484C21">
      <w:pPr>
        <w:spacing w:after="200"/>
        <w:jc w:val="center"/>
      </w:pPr>
      <w:r>
        <w:rPr>
          <w:b/>
          <w:sz w:val="24"/>
        </w:rPr>
        <w:t xml:space="preserve"> </w:t>
      </w:r>
    </w:p>
    <w:p w:rsidR="0077243E" w:rsidRDefault="00484C21">
      <w:pPr>
        <w:spacing w:after="200"/>
        <w:jc w:val="center"/>
      </w:pPr>
      <w:r>
        <w:rPr>
          <w:b/>
          <w:sz w:val="24"/>
        </w:rPr>
        <w:t>NARIADENIE VLÁDY SLOVENSKEJ REPUBLIKY</w:t>
      </w:r>
    </w:p>
    <w:p w:rsidR="0077243E" w:rsidRDefault="0077243E"/>
    <w:p w:rsidR="0077243E" w:rsidRDefault="0077243E">
      <w:pPr>
        <w:spacing w:after="200"/>
        <w:jc w:val="center"/>
      </w:pPr>
    </w:p>
    <w:p w:rsidR="0077243E" w:rsidRDefault="0077243E"/>
    <w:p w:rsidR="0077243E" w:rsidRDefault="0077243E">
      <w:pPr>
        <w:spacing w:after="200"/>
        <w:jc w:val="center"/>
      </w:pPr>
    </w:p>
    <w:p w:rsidR="0077243E" w:rsidRDefault="00484C21">
      <w:pPr>
        <w:spacing w:after="200"/>
        <w:jc w:val="center"/>
      </w:pPr>
      <w:r>
        <w:rPr>
          <w:b/>
          <w:sz w:val="24"/>
        </w:rPr>
        <w:t>ktorým sa ustanovuje systém uplatňovania niektorých právomocí Úradu podpredsedu vlády Slovenskej republiky pre investície a informatizáciu</w:t>
      </w:r>
    </w:p>
    <w:p w:rsidR="0077243E" w:rsidRDefault="0077243E"/>
    <w:p w:rsidR="0077243E" w:rsidRDefault="0077243E"/>
    <w:p w:rsidR="0077243E" w:rsidRDefault="0077243E">
      <w:pPr>
        <w:jc w:val="both"/>
      </w:pPr>
    </w:p>
    <w:p w:rsidR="0077243E" w:rsidRDefault="00484C21" w:rsidP="00F20F05">
      <w:pPr>
        <w:jc w:val="both"/>
      </w:pPr>
      <w:bookmarkStart w:id="0" w:name="_GoBack"/>
      <w:r>
        <w:rPr>
          <w:sz w:val="24"/>
        </w:rPr>
        <w:t>Vláda Slovenskej republiky podľa § 6 ods. 4 zákona č. 292/2014 Z. z. o príspevku poskytovanom z európskych štrukturálnych a investičných fondov a o zmene a doplnení niektorých zákonov v znení zákona č. 171/2016 Z. z. (ďalej len „zákon</w:t>
      </w:r>
    </w:p>
    <w:p w:rsidR="0077243E" w:rsidRDefault="00484C21" w:rsidP="00F20F05">
      <w:pPr>
        <w:spacing w:after="200"/>
        <w:jc w:val="both"/>
      </w:pPr>
      <w:r>
        <w:rPr>
          <w:sz w:val="24"/>
        </w:rPr>
        <w:t>“) nariaďuje:</w:t>
      </w:r>
    </w:p>
    <w:bookmarkEnd w:id="0"/>
    <w:p w:rsidR="0077243E" w:rsidRDefault="00484C21">
      <w:pPr>
        <w:jc w:val="center"/>
      </w:pPr>
      <w:r>
        <w:rPr>
          <w:b/>
          <w:sz w:val="24"/>
        </w:rPr>
        <w:t>§ 1</w:t>
      </w:r>
    </w:p>
    <w:p w:rsidR="00175CF0" w:rsidRDefault="00484C21" w:rsidP="00175CF0">
      <w:pPr>
        <w:jc w:val="center"/>
        <w:rPr>
          <w:b/>
          <w:sz w:val="24"/>
        </w:rPr>
      </w:pPr>
      <w:r>
        <w:rPr>
          <w:b/>
          <w:sz w:val="24"/>
        </w:rPr>
        <w:t xml:space="preserve">Schvaľovanie záväzného plánu operačného programu </w:t>
      </w:r>
    </w:p>
    <w:p w:rsidR="0077243E" w:rsidRDefault="00484C21" w:rsidP="00175CF0">
      <w:pPr>
        <w:jc w:val="center"/>
      </w:pPr>
      <w:r>
        <w:rPr>
          <w:b/>
          <w:sz w:val="24"/>
        </w:rPr>
        <w:t>(k § 6 ods. 2 písm. i) zákona)</w:t>
      </w:r>
    </w:p>
    <w:p w:rsidR="0077243E" w:rsidRDefault="0077243E"/>
    <w:p w:rsidR="0077243E" w:rsidRDefault="00484C21">
      <w:pPr>
        <w:spacing w:after="200"/>
        <w:ind w:firstLine="450"/>
        <w:jc w:val="both"/>
      </w:pPr>
      <w:r>
        <w:rPr>
          <w:sz w:val="24"/>
        </w:rPr>
        <w:t>(1) Riadiaci orgán</w:t>
      </w:r>
      <w:r>
        <w:rPr>
          <w:sz w:val="24"/>
          <w:vertAlign w:val="superscript"/>
        </w:rPr>
        <w:footnoteReference w:id="1"/>
      </w:r>
      <w:r>
        <w:rPr>
          <w:sz w:val="24"/>
        </w:rPr>
        <w:t>) predloží Úradu podpredsedu vlády Slovenskej republiky pre investície a informatizáciu, ktorý plní úlohy Centrálneho koordinačného orgánu podľa § 6 ods. 1 zákona (ďalej len ,,úrad“), v súlade so vzorom uvedeným v prílohe, záväzný plán, ktorý obsahuje časový harmonogram a finančný harmonogram poskytovania finančných prostriedkov určených pre operačný program, program rozvoja vidieka a program cezhraničnej spolupráce Slovenská republika - Česká republika, program cezhraničnej spolupráce Slovenská republika - Rakúsko a  (ďalej len ,,operačný program“) a plán napĺňania cieľov operačného programu podľa § 7 ods. 9 zákona (ďalej len ,,záväzný plán operačného programu“) každoročne do 1. marca príslušného roka. Záväzný plán operačného programu sa vypracováva na obdobie jedného kalendárneho roka a obsahuje plánované kumulatívne hodnoty kritérií podľa odseku 2, ktoré sa majú dosiahnuť od začiatku implementácie operačného programu k 31. decembru kalendárneho roka (ďalej len „sledované obdobie“), na ktorý sa záväzný plán operačného programu vypracováva.</w:t>
      </w:r>
    </w:p>
    <w:p w:rsidR="0077243E" w:rsidRDefault="00484C21">
      <w:pPr>
        <w:spacing w:after="200"/>
        <w:ind w:firstLine="450"/>
        <w:jc w:val="both"/>
      </w:pPr>
      <w:r>
        <w:rPr>
          <w:sz w:val="24"/>
        </w:rPr>
        <w:t>(2) Kritériami záväzného plánu operačného programu sú</w:t>
      </w:r>
    </w:p>
    <w:p w:rsidR="0077243E" w:rsidRDefault="00484C21">
      <w:pPr>
        <w:spacing w:after="200"/>
        <w:ind w:firstLine="300"/>
        <w:jc w:val="both"/>
      </w:pPr>
      <w:r>
        <w:rPr>
          <w:sz w:val="24"/>
        </w:rPr>
        <w:lastRenderedPageBreak/>
        <w:t>a) ukazovatele výkonnostného rámca schválené v operačnom programe, v členení na úroveň prioritnej osi, resp. priority Únie alebo priority a v členení podľa kategórie regiónov; to neplatí pre operačný program Technická pomoc,</w:t>
      </w:r>
    </w:p>
    <w:p w:rsidR="0077243E" w:rsidRDefault="00484C21">
      <w:pPr>
        <w:spacing w:after="200"/>
        <w:ind w:firstLine="300"/>
        <w:jc w:val="both"/>
      </w:pPr>
      <w:r>
        <w:rPr>
          <w:sz w:val="24"/>
        </w:rPr>
        <w:t xml:space="preserve">b) suma príspevku zo zdrojov Európskej únie po odpočítaní </w:t>
      </w:r>
      <w:proofErr w:type="spellStart"/>
      <w:r>
        <w:rPr>
          <w:sz w:val="24"/>
        </w:rPr>
        <w:t>zazmluvnených</w:t>
      </w:r>
      <w:proofErr w:type="spellEnd"/>
      <w:r>
        <w:rPr>
          <w:sz w:val="24"/>
        </w:rPr>
        <w:t xml:space="preserve"> nečerpaných prostriedkov ukončených projektov, evidovaných v informačnom monitorovacom systéme podľa § 49 zákona a v informačnom systéme platobnej agentúry</w:t>
      </w:r>
      <w:r>
        <w:rPr>
          <w:sz w:val="24"/>
          <w:vertAlign w:val="superscript"/>
        </w:rPr>
        <w:footnoteReference w:id="2"/>
      </w:r>
      <w:r>
        <w:rPr>
          <w:sz w:val="24"/>
        </w:rPr>
        <w:t>), v členení na úroveň prioritnej osi, resp. priority Únie alebo priority a v členení podľa kategórie regiónov, na základe</w:t>
      </w:r>
    </w:p>
    <w:p w:rsidR="0077243E" w:rsidRDefault="00484C21">
      <w:pPr>
        <w:spacing w:after="200"/>
        <w:ind w:firstLine="330"/>
        <w:jc w:val="both"/>
      </w:pPr>
      <w:r>
        <w:rPr>
          <w:sz w:val="24"/>
        </w:rPr>
        <w:t>1. zmlúv o poskytnutí nenávratného finančného príspevku, podľa § 25 zákona, ktoré nadobudnú účinnosť v sledovanom období,</w:t>
      </w:r>
    </w:p>
    <w:p w:rsidR="0077243E" w:rsidRDefault="00484C21">
      <w:pPr>
        <w:spacing w:after="200"/>
        <w:ind w:firstLine="330"/>
        <w:jc w:val="both"/>
      </w:pPr>
      <w:r>
        <w:rPr>
          <w:sz w:val="24"/>
        </w:rPr>
        <w:t>2. právoplatných rozhodnutí  o schválení žiadosti o nenávratný finančný príspevok, ktoré nadobudnú právoplatnosť v sledovanom období podľa § 16 ods. 2 zákona, ak je poskytovateľom a prijímateľom tá istá osoba, alebo</w:t>
      </w:r>
    </w:p>
    <w:p w:rsidR="0077243E" w:rsidRDefault="00484C21">
      <w:pPr>
        <w:spacing w:after="200"/>
        <w:ind w:firstLine="330"/>
        <w:jc w:val="both"/>
      </w:pPr>
      <w:r>
        <w:rPr>
          <w:sz w:val="24"/>
        </w:rPr>
        <w:t>3. právoplatných  rozhodnutí  o schválení žiadosti o podporu, ktoré nadobudnú právoplatnosť v sledovanom období, to platí iba pre neprojektové opatrenia programu rozvoja vidieka,</w:t>
      </w:r>
    </w:p>
    <w:p w:rsidR="0077243E" w:rsidRDefault="00484C21">
      <w:pPr>
        <w:spacing w:after="200"/>
        <w:ind w:firstLine="300"/>
        <w:jc w:val="both"/>
      </w:pPr>
      <w:r>
        <w:rPr>
          <w:sz w:val="24"/>
        </w:rPr>
        <w:t xml:space="preserve">c) sumu oprávnených výdavkov zo zdrojov Európskej únie schválených certifikačným orgánom v súhrnných žiadostiach o platbu zníženú o sumu nezrovnalostí a </w:t>
      </w:r>
      <w:proofErr w:type="spellStart"/>
      <w:r>
        <w:rPr>
          <w:sz w:val="24"/>
        </w:rPr>
        <w:t>vratiek</w:t>
      </w:r>
      <w:proofErr w:type="spellEnd"/>
      <w:r>
        <w:rPr>
          <w:sz w:val="24"/>
        </w:rPr>
        <w:t xml:space="preserve"> zaznamenaných v účtovníctve certifikačného orgánu za časť vzťahujúcu sa k zdrojom Európskej únie, v členení na úroveň prioritnej osi a kategórie regiónov, resp. v prípade operačného programu Rybné hospodárstvo na úroveň priority Únie. V prípade Programu rozvoja vidieka Slovenskej republiky 2014 – 2020 ide o sumu výdavkov Európskeho poľnohospodárskeho fondu pre rozvoj vidieka rovnajúce sa súčtu „Štvrťročných vyhlásení o výdavkoch“ nahlasovaných Európskej komisii (hrubé výdavky Európskeho poľnohospodárskeho fondu pre rozvoj vidieka očistené o nezrovnalosti, nedbalosti a ostatné úpravy) k stanovenému dátumu v členení na úroveň priority a kategórie regiónov.</w:t>
      </w:r>
    </w:p>
    <w:p w:rsidR="0077243E" w:rsidRDefault="00484C21">
      <w:pPr>
        <w:spacing w:after="200"/>
        <w:ind w:firstLine="450"/>
        <w:jc w:val="both"/>
      </w:pPr>
      <w:r>
        <w:rPr>
          <w:sz w:val="24"/>
        </w:rPr>
        <w:t>(3) Úrad posúdi predložený záväzný plán operačného programu a po vzájomnej konzultácii s príslušným riadiacim orgánom schváli záväzný plán operačného programu podľa § 6 ods. 2 písm. i) zákona do 31. marca príslušného roka.</w:t>
      </w:r>
    </w:p>
    <w:p w:rsidR="0077243E" w:rsidRDefault="00484C21">
      <w:pPr>
        <w:spacing w:after="200"/>
        <w:ind w:firstLine="450"/>
        <w:jc w:val="both"/>
      </w:pPr>
      <w:r>
        <w:rPr>
          <w:sz w:val="24"/>
        </w:rPr>
        <w:t>(4) Úrad pravidelne sleduje a vyhodnocuje plnenie záväzného plánu operačného programu na základe skutočne dosiahnutých hodnôt jednotlivých kritérií  záväzného plánu operačného programu podľa odseku 2.  Podklady s údajmi k 30. júnu  potrebné pre priebežné  sledovanie plnenia záväzného plánu operačného programu, ktoré nie sú evidované v  informačnom monitorovacom systéme podľa § 49 zákona, predkladá riadiaci orgán úradu každoročne do 15. augusta. Podklady s údajmi k 31. decembru potrebné pre vyhodnotenie záväzného plánu operačného programu, ktoré nie sú evidované v  informačnom monitorovacom systéme podľa § 49 zákona, predkladá riadiaci orgán úradu každoročne do 15. februára nasledujúceho roka.</w:t>
      </w:r>
    </w:p>
    <w:p w:rsidR="0077243E" w:rsidRDefault="00484C21">
      <w:pPr>
        <w:spacing w:after="200"/>
        <w:ind w:firstLine="450"/>
        <w:jc w:val="both"/>
      </w:pPr>
      <w:r>
        <w:rPr>
          <w:sz w:val="24"/>
        </w:rPr>
        <w:t xml:space="preserve">(5) Percento plnenia záväzného plánu operačného programu sa určuje ako súčet prepočítanej hodnoty jednotlivých kritérií podľa odseku 2 písm. a) až c), pričom koeficient pre prepočet je stanovený na 1/3 pre každé kritérium, to neplatí pre operačný program Technická pomoc. Pre operačný program Technická pomoc, ktorý nemá schválené </w:t>
      </w:r>
      <w:r>
        <w:rPr>
          <w:sz w:val="24"/>
        </w:rPr>
        <w:lastRenderedPageBreak/>
        <w:t>ukazovatele výkonnostného rámca, sa percento plnenia záväzného plánu operačného programu  určuje ako  súčet prepočítanej hodnoty jednotlivých kritérií podľa odseku 2 písm. b) a c), pričom koeficient pre prepočet je stanovený na 1/2 pre každé kritérium.  Vyhodnotenie jednotlivých kritérií je nasledovné</w:t>
      </w:r>
    </w:p>
    <w:p w:rsidR="0077243E" w:rsidRDefault="00484C21">
      <w:pPr>
        <w:spacing w:after="200"/>
        <w:ind w:firstLine="300"/>
        <w:jc w:val="both"/>
      </w:pPr>
      <w:r>
        <w:rPr>
          <w:sz w:val="24"/>
        </w:rPr>
        <w:t>a) kritérium podľa odseku 2 písm. a) sa vyhodnotí tak, že pre každý ukazovateľ výkonnostného rámca sa vypočíta skutočné percentuálne plnenie záväznej plánovanej hodnoty ukazovateľa ako podiel skutočne dosiahnutej hodnoty ukazovateľa a záväznej plánovanej hodnoty ukazovateľa. Ak záväzná plánovaná hodnota ukazovateľa je nulová, skutočné percentuálne plnenie ukazovateľa sa nevypočítava. Ak skutočné percentuálne plnenie ukazovateľa je vyššie ako 100 %, tak pre ďalšie vyhodnotenie ukazovateľa sa použije upravená hodnota percentuálneho plnenia 100 %. Prepočítaná hodnota kritéria podľa odseku 2 písm. a) sa vypočíta ako aritmetický priemer z upravených hodnôt percentuálneho plnenia jednotlivých ukazovateľov, ktorý sa vynásobí koeficientom 1/3,</w:t>
      </w:r>
    </w:p>
    <w:p w:rsidR="0077243E" w:rsidRDefault="00484C21">
      <w:pPr>
        <w:spacing w:after="200"/>
        <w:ind w:firstLine="300"/>
        <w:jc w:val="both"/>
      </w:pPr>
      <w:r>
        <w:rPr>
          <w:sz w:val="24"/>
        </w:rPr>
        <w:t>b) kritérium podľa odseku 2 písm. b) sa vyhodnotí tak, že sa vypočíta skutočné percentuálne plnenie záväznej plánovanej hodnoty celkom za celý operačný program ako podiel skutočne dosiahnutej hodnoty za celý operačný program a záväznej plánovanej hodnoty za celý operačný program. Ak skutočné percentuálne plnenie hodnoty za operačný program je vyššie ako 100 %, pre ďalšie vyhodnotenie sa použije upravená hodnota percentuálneho plnenia za operačný program 100 %. Prepočítaná hodnota kritéria podľa odseku 2 písm. b) sa vypočíta ako súčin upravenej hodnoty za program a koeficienta 1/3; pri operačnom programe Technická pomoc je koeficient 1/2,</w:t>
      </w:r>
    </w:p>
    <w:p w:rsidR="0077243E" w:rsidRDefault="00484C21">
      <w:pPr>
        <w:spacing w:after="200"/>
        <w:ind w:firstLine="300"/>
        <w:jc w:val="both"/>
      </w:pPr>
      <w:r>
        <w:rPr>
          <w:sz w:val="24"/>
        </w:rPr>
        <w:t>c) kritérium podľa odseku 2 písm. c) sa vyhodnotí tak, že sa vypočíta skutočné percentuálne plnenie záväznej plánovanej hodnoty celkom za celý operačný program ako podiel skutočne dosiahnutej hodnoty za celý operačný program a záväznej plánovanej hodnoty za celý operačný program. Ak skutočné percentuálne plnenie hodnoty za operačný program je vyššie ako 100 %, pre ďalšie vyhodnotenie sa použije upravená hodnota percentuálneho plnenia za operačný program 100 %.  Prepočítaná hodnota kritéria podľa odseku 2 písm. c) sa vypočíta ako súčin upravenej hodnoty za operačný program a koeficienta 1/3; pri operačnom programe Technická pomoc je koeficient 1/2.</w:t>
      </w:r>
    </w:p>
    <w:p w:rsidR="0077243E" w:rsidRDefault="00484C21">
      <w:pPr>
        <w:spacing w:after="200"/>
        <w:ind w:firstLine="450"/>
        <w:jc w:val="both"/>
      </w:pPr>
      <w:r>
        <w:rPr>
          <w:sz w:val="24"/>
        </w:rPr>
        <w:t>(6) Riadiaci orgán je  oprávnený predložiť úradu zdôvodnenie neplnenia kritérií záväzného plánu operačného programu podľa odseku 2, ktoré úrad zoberie do úvahy v rámci postupu podľa § 3.</w:t>
      </w:r>
    </w:p>
    <w:p w:rsidR="0077243E" w:rsidRDefault="00484C21">
      <w:pPr>
        <w:spacing w:after="200"/>
        <w:ind w:firstLine="450"/>
        <w:jc w:val="both"/>
      </w:pPr>
      <w:r>
        <w:rPr>
          <w:sz w:val="24"/>
        </w:rPr>
        <w:t>(7) Riadiaci orgán a úrad si poskytujú vzájomnú súčinnosť počas celého procesu schvaľovania a vyhodnocovania záväzného plánu operačného programu.</w:t>
      </w:r>
    </w:p>
    <w:p w:rsidR="0077243E" w:rsidRDefault="00484C21">
      <w:pPr>
        <w:jc w:val="center"/>
      </w:pPr>
      <w:r>
        <w:rPr>
          <w:b/>
          <w:sz w:val="24"/>
        </w:rPr>
        <w:t>§ 2</w:t>
      </w:r>
    </w:p>
    <w:p w:rsidR="00175CF0" w:rsidRDefault="00484C21" w:rsidP="00175CF0">
      <w:pPr>
        <w:jc w:val="center"/>
        <w:rPr>
          <w:b/>
          <w:sz w:val="24"/>
        </w:rPr>
      </w:pPr>
      <w:r>
        <w:rPr>
          <w:b/>
          <w:sz w:val="24"/>
        </w:rPr>
        <w:t xml:space="preserve">Schvaľovanie výzvy </w:t>
      </w:r>
    </w:p>
    <w:p w:rsidR="0077243E" w:rsidRDefault="00484C21" w:rsidP="00175CF0">
      <w:pPr>
        <w:jc w:val="center"/>
      </w:pPr>
      <w:r>
        <w:rPr>
          <w:b/>
          <w:sz w:val="24"/>
        </w:rPr>
        <w:t>(k § 6 ods. 2 písm. j) zákona)</w:t>
      </w:r>
    </w:p>
    <w:p w:rsidR="0077243E" w:rsidRDefault="0077243E"/>
    <w:p w:rsidR="0077243E" w:rsidRDefault="00484C21">
      <w:pPr>
        <w:spacing w:after="200"/>
        <w:ind w:firstLine="450"/>
        <w:jc w:val="both"/>
      </w:pPr>
      <w:r>
        <w:rPr>
          <w:sz w:val="24"/>
        </w:rPr>
        <w:t>(1) Riadiaci orgán zašle úradu, pred plánovaným vyhlásením na posúdenie návrh výzvy podľa § 17 zákona, vrátane výzvy v rámci operačných programov cezhraničnej spolupráce podľa § 32 zákona, výzvy na predkladanie projektových zámerov podľa § 18 ods. 1 zákona a vyzvania na predloženie národných projektov podľa § 26 zákona, vyzvania na predloženie veľkých projektov podľa § 27 zákona a na predloženie projektov technickej pomoci podľa § 28 zákona, vrátane všetkých jej príloh a dokumentov na ktoré sa výzva odvoláva a ktoré nie sú verejne dostupné (ďalej len ,,výzva“).</w:t>
      </w:r>
    </w:p>
    <w:p w:rsidR="0077243E" w:rsidRDefault="00484C21">
      <w:pPr>
        <w:spacing w:after="200"/>
        <w:ind w:firstLine="450"/>
        <w:jc w:val="both"/>
      </w:pPr>
      <w:r>
        <w:rPr>
          <w:sz w:val="24"/>
        </w:rPr>
        <w:lastRenderedPageBreak/>
        <w:t>(2) Úrad predloženú výzvu posudzuje z hľadiska</w:t>
      </w:r>
    </w:p>
    <w:p w:rsidR="0077243E" w:rsidRDefault="00484C21">
      <w:pPr>
        <w:spacing w:after="200"/>
        <w:ind w:firstLine="300"/>
        <w:jc w:val="both"/>
      </w:pPr>
      <w:r>
        <w:rPr>
          <w:sz w:val="24"/>
        </w:rPr>
        <w:t>a) formálnych náležitostí výzvy a podmienok poskytnutia príspevku podľa § 17 ods. 2 až 5 zákona,</w:t>
      </w:r>
    </w:p>
    <w:p w:rsidR="0077243E" w:rsidRDefault="00484C21">
      <w:pPr>
        <w:spacing w:after="200"/>
        <w:ind w:firstLine="300"/>
        <w:jc w:val="both"/>
      </w:pPr>
      <w:r>
        <w:rPr>
          <w:sz w:val="24"/>
        </w:rPr>
        <w:t>b) identifikácie diskriminačných podmienok,</w:t>
      </w:r>
    </w:p>
    <w:p w:rsidR="0077243E" w:rsidRDefault="00484C21">
      <w:pPr>
        <w:spacing w:after="200"/>
        <w:ind w:firstLine="300"/>
        <w:jc w:val="both"/>
      </w:pPr>
      <w:r>
        <w:rPr>
          <w:sz w:val="24"/>
        </w:rPr>
        <w:t>c) zabezpečenia synergických účinkov a komplementarít európskych štrukturálnych a investičných fondov so zreteľom na podporu využívania integrovaných prístupov podľa osobitného predpisu</w:t>
      </w:r>
      <w:r>
        <w:rPr>
          <w:sz w:val="24"/>
          <w:vertAlign w:val="superscript"/>
        </w:rPr>
        <w:footnoteReference w:id="3"/>
      </w:r>
      <w:r>
        <w:rPr>
          <w:sz w:val="24"/>
        </w:rPr>
        <w:t>),</w:t>
      </w:r>
    </w:p>
    <w:p w:rsidR="0077243E" w:rsidRDefault="00484C21">
      <w:pPr>
        <w:spacing w:after="200"/>
        <w:ind w:firstLine="300"/>
        <w:jc w:val="both"/>
      </w:pPr>
      <w:r>
        <w:rPr>
          <w:sz w:val="24"/>
        </w:rPr>
        <w:t>d) súladu s Partnerskou dohodou Slovenskej republiky na roky 2014 – 2020, operačným programom, záväznými dokumentmi upravujúcimi poskytovanie európskych štrukturálnych a investičných fondov a schváleným záväzným plánom operačného programu; súlad s dokumentmi podľa tohto písmena je posudzovaný aj s ohľadom na minimalizáciu administratívnej záťaže pre žiadateľov a súlad s horizontálnymi princípmi</w:t>
      </w:r>
      <w:r>
        <w:rPr>
          <w:sz w:val="24"/>
          <w:vertAlign w:val="superscript"/>
        </w:rPr>
        <w:footnoteReference w:id="4"/>
      </w:r>
      <w:r>
        <w:rPr>
          <w:sz w:val="24"/>
        </w:rPr>
        <w:t>).</w:t>
      </w:r>
    </w:p>
    <w:p w:rsidR="0077243E" w:rsidRDefault="00484C21">
      <w:pPr>
        <w:spacing w:after="200"/>
        <w:ind w:firstLine="450"/>
        <w:jc w:val="both"/>
      </w:pPr>
      <w:r>
        <w:rPr>
          <w:sz w:val="24"/>
        </w:rPr>
        <w:t>(3) Úrad do desiatich pracovných dní od predloženia výzvy na základe jej posúdenia vydá</w:t>
      </w:r>
    </w:p>
    <w:p w:rsidR="0077243E" w:rsidRDefault="00484C21">
      <w:pPr>
        <w:spacing w:after="200"/>
        <w:ind w:firstLine="300"/>
        <w:jc w:val="both"/>
      </w:pPr>
      <w:r>
        <w:rPr>
          <w:sz w:val="24"/>
        </w:rPr>
        <w:t>a) súhlasné stanovisko s vyhlásením výzvy bez návrhu na jej úpravu alebo zmenu, ako schválenie výzvy,</w:t>
      </w:r>
    </w:p>
    <w:p w:rsidR="0077243E" w:rsidRDefault="00484C21">
      <w:pPr>
        <w:spacing w:after="200"/>
        <w:ind w:firstLine="300"/>
        <w:jc w:val="both"/>
      </w:pPr>
      <w:r>
        <w:rPr>
          <w:sz w:val="24"/>
        </w:rPr>
        <w:t>b) súhlasné stanovisko s vyhlásením výzvy, ktoré obsahuje odporúčania na jej úpravu, ako schválenie výzvy, alebo</w:t>
      </w:r>
    </w:p>
    <w:p w:rsidR="0077243E" w:rsidRDefault="00484C21">
      <w:pPr>
        <w:spacing w:after="200"/>
        <w:ind w:firstLine="300"/>
        <w:jc w:val="both"/>
      </w:pPr>
      <w:r>
        <w:rPr>
          <w:sz w:val="24"/>
        </w:rPr>
        <w:t>c) nesúhlasné stanovisko s vyhlásením výzvy z dôvodu identifikácie závažných nedostatkov brániacich jej vyhláseniu, ako neschválenie výzvy; stanovisko obsahuje jasnú identifikáciu zistených nedostatkov a návrh nápravných opatrení na ich odstránenie.</w:t>
      </w:r>
    </w:p>
    <w:p w:rsidR="0077243E" w:rsidRDefault="00484C21">
      <w:pPr>
        <w:spacing w:after="200"/>
        <w:ind w:firstLine="450"/>
        <w:jc w:val="both"/>
      </w:pPr>
      <w:r>
        <w:rPr>
          <w:sz w:val="24"/>
        </w:rPr>
        <w:t>(4) Úrad je oprávnený za účelom posúdenia predloženej výzvy vyžadovať od riadiaceho orgánu doplnenie ďalších dokumentov alebo informácií, ktoré sú nevyhnutné na posúdenie výzvy. Čas potrebný na predloženie vyžadovaných dokumentov alebo informácií sa do lehoty podľa odseku 3 nezapočítava.</w:t>
      </w:r>
    </w:p>
    <w:p w:rsidR="0077243E" w:rsidRDefault="00484C21">
      <w:pPr>
        <w:spacing w:after="200"/>
        <w:ind w:firstLine="450"/>
        <w:jc w:val="both"/>
      </w:pPr>
      <w:r>
        <w:rPr>
          <w:sz w:val="24"/>
        </w:rPr>
        <w:t>(5) Ak sa riadiacemu orgánu doručí súhlasné stanovisko bez návrhu na úpravu alebo zmenu, je oprávnený vyhlásiť výzvu v súlade s návrhom predloženým úradu.</w:t>
      </w:r>
    </w:p>
    <w:p w:rsidR="0077243E" w:rsidRDefault="00484C21">
      <w:pPr>
        <w:spacing w:after="200"/>
        <w:ind w:firstLine="450"/>
        <w:jc w:val="both"/>
      </w:pPr>
      <w:r>
        <w:rPr>
          <w:sz w:val="24"/>
        </w:rPr>
        <w:t>(6) Ak sa riadiacemu orgánu doručí súhlasné stanovisko s vyhlásením výzvy, ktoré obsahuje odporúčania na jej úpravu, riadiaci orgán pred vyhlásením výzvy zváži úpravu výzvy na základe navrhnutých odporúčaní. Vyhodnotenie spôsobu zohľadnenia navrhovaných odporúčaní, vrátane zdôvodnenia nezapracovaných odporúčaní zasiela riadiaci orgán úradu do desiatich pracovných dní od vyhlásenia výzvy. Riadiaci orgán nie je povinný prijať navrhované odporúčania a môže výzvu vyhlásiť.</w:t>
      </w:r>
    </w:p>
    <w:p w:rsidR="0077243E" w:rsidRDefault="00484C21">
      <w:pPr>
        <w:spacing w:after="200"/>
        <w:ind w:firstLine="450"/>
        <w:jc w:val="both"/>
      </w:pPr>
      <w:r>
        <w:rPr>
          <w:sz w:val="24"/>
        </w:rPr>
        <w:t xml:space="preserve">(7) Ak sa riadiacemu orgánu doručí nesúhlasné stanovisko s vyhlásením výzvy, vyhlásenie výzvy bez zapracovania navrhovaných nápravných opatrení alebo bez odstránenia </w:t>
      </w:r>
      <w:r>
        <w:rPr>
          <w:sz w:val="24"/>
        </w:rPr>
        <w:lastRenderedPageBreak/>
        <w:t>rozporu ohľadne spôsobu odstránenia identifikovaných nedostatkov sa považuje za vyhlásenie výzvy bez predchádzajúceho súhlasu podľa § 6 ods. 2 písm. j) zákona. Riadiaci orgán po odstránení nedostatkov identifikovaných na základe nesúhlasného stanoviska s vyhlásením výzvy predloží upravené znenie výzvy na posúdenie, pričom opätovné posúdenie sa spravuje postupom podľa tohto paragrafu. Lehota na vydanie stanoviska je päť pracovných dní od predloženia upraveného znenia výzvy. Ak úrad do piatich pracovných dní od predloženia upraveného znenia výzvy nezašle riadiacemu orgánu žiadne stanovisko, považuje sa taký postup za vydanie súhlasného stanoviska bez návrhu na zmenu a riadiaci orgán je oprávnený výzvu vyhlásiť.</w:t>
      </w:r>
    </w:p>
    <w:p w:rsidR="0077243E" w:rsidRDefault="00484C21">
      <w:pPr>
        <w:spacing w:after="200"/>
        <w:ind w:firstLine="450"/>
        <w:jc w:val="both"/>
      </w:pPr>
      <w:r>
        <w:rPr>
          <w:sz w:val="24"/>
        </w:rPr>
        <w:t>(8) Ak úrad do desiatich pracovných dní od predloženia výzvy nezašle riadiacemu orgánu žiadne stanovisko, považuje sa taký postup za vydanie súhlasného stanoviska bez návrhu na zmenu a riadiaci orgán je oprávnený výzvu vyhlásiť.</w:t>
      </w:r>
    </w:p>
    <w:p w:rsidR="0077243E" w:rsidRDefault="00484C21">
      <w:pPr>
        <w:spacing w:after="200"/>
        <w:ind w:firstLine="450"/>
        <w:jc w:val="both"/>
      </w:pPr>
      <w:r>
        <w:rPr>
          <w:sz w:val="24"/>
        </w:rPr>
        <w:t>(9) Riadiaci orgán je pred vyhlásením výzvy oprávnený vykonať vo výzve v znení v akom bola výzva predložená úradu len</w:t>
      </w:r>
    </w:p>
    <w:p w:rsidR="0077243E" w:rsidRDefault="00484C21">
      <w:pPr>
        <w:spacing w:after="200"/>
        <w:ind w:firstLine="300"/>
        <w:jc w:val="both"/>
      </w:pPr>
      <w:r>
        <w:rPr>
          <w:sz w:val="24"/>
        </w:rPr>
        <w:t>a) zmeny vyplývajúce zo zapracovania odporúčaní obsiahnutých v stanovisku podľa odseku 3 písm. b),</w:t>
      </w:r>
    </w:p>
    <w:p w:rsidR="0077243E" w:rsidRDefault="00484C21">
      <w:pPr>
        <w:spacing w:after="200"/>
        <w:ind w:firstLine="300"/>
        <w:jc w:val="both"/>
      </w:pPr>
      <w:r>
        <w:rPr>
          <w:sz w:val="24"/>
        </w:rPr>
        <w:t>b) zmeny vyplývajúce zo zapracovania identifikovaných nedostatkov zahrnutých v stanovisku podľa odseku 3 písm. c),</w:t>
      </w:r>
    </w:p>
    <w:p w:rsidR="0077243E" w:rsidRDefault="00484C21">
      <w:pPr>
        <w:spacing w:after="200"/>
        <w:ind w:firstLine="300"/>
        <w:jc w:val="both"/>
      </w:pPr>
      <w:r>
        <w:rPr>
          <w:sz w:val="24"/>
        </w:rPr>
        <w:t>c) opravu chýb v písaní, počítaní alebo iných zrejmých nesprávností vo výzve,</w:t>
      </w:r>
    </w:p>
    <w:p w:rsidR="0077243E" w:rsidRDefault="00484C21">
      <w:pPr>
        <w:spacing w:after="200"/>
        <w:ind w:firstLine="300"/>
        <w:jc w:val="both"/>
      </w:pPr>
      <w:r>
        <w:rPr>
          <w:sz w:val="24"/>
        </w:rPr>
        <w:t>d) zmeny spôsobené posunom v plánovanom termíne vyhlásenia výzvy,</w:t>
      </w:r>
    </w:p>
    <w:p w:rsidR="0077243E" w:rsidRDefault="00484C21">
      <w:pPr>
        <w:spacing w:after="200"/>
        <w:ind w:firstLine="300"/>
        <w:jc w:val="both"/>
      </w:pPr>
      <w:r>
        <w:rPr>
          <w:sz w:val="24"/>
        </w:rPr>
        <w:t>e) zmeny vyplývajúce zo zmien príslušných právnych predpisov a záväzných metodických dokumentov a</w:t>
      </w:r>
    </w:p>
    <w:p w:rsidR="0077243E" w:rsidRDefault="00484C21">
      <w:pPr>
        <w:spacing w:after="200"/>
        <w:ind w:firstLine="300"/>
        <w:jc w:val="both"/>
      </w:pPr>
      <w:r>
        <w:rPr>
          <w:sz w:val="24"/>
        </w:rPr>
        <w:t>f) iné zmeny potrebné za účelom optimalizácie výzvy vykonané v súčinnosti s úradom.</w:t>
      </w:r>
    </w:p>
    <w:p w:rsidR="0077243E" w:rsidRDefault="00484C21">
      <w:pPr>
        <w:spacing w:after="200"/>
        <w:ind w:firstLine="450"/>
        <w:jc w:val="both"/>
      </w:pPr>
      <w:r>
        <w:rPr>
          <w:sz w:val="24"/>
        </w:rPr>
        <w:t>(10) Ak riadiaci orgán pred vyhlásením výzvy zistí, že je potrebné vykonať iné zmeny ako sú uvedené v odseku 9, takto zmenená výzva sa opätovne posúdi postupom podľa § 2.</w:t>
      </w:r>
    </w:p>
    <w:p w:rsidR="0077243E" w:rsidRDefault="00484C21">
      <w:pPr>
        <w:spacing w:after="200"/>
        <w:ind w:firstLine="450"/>
        <w:jc w:val="both"/>
      </w:pPr>
      <w:r>
        <w:rPr>
          <w:sz w:val="24"/>
        </w:rPr>
        <w:t>(11) Riadiaci orgán a úrad si poskytujú vzájomnú súčinnosť počas celého procesu schvaľovania výziev podľa § 2.</w:t>
      </w:r>
    </w:p>
    <w:p w:rsidR="0077243E" w:rsidRDefault="00484C21">
      <w:pPr>
        <w:jc w:val="center"/>
      </w:pPr>
      <w:r>
        <w:rPr>
          <w:b/>
          <w:sz w:val="24"/>
        </w:rPr>
        <w:t>§ 3</w:t>
      </w:r>
    </w:p>
    <w:p w:rsidR="00175CF0" w:rsidRDefault="00484C21" w:rsidP="00175CF0">
      <w:pPr>
        <w:jc w:val="center"/>
        <w:rPr>
          <w:b/>
          <w:sz w:val="24"/>
        </w:rPr>
      </w:pPr>
      <w:r>
        <w:rPr>
          <w:b/>
          <w:sz w:val="24"/>
        </w:rPr>
        <w:t xml:space="preserve">Krízové riadenie operačného programu </w:t>
      </w:r>
    </w:p>
    <w:p w:rsidR="0077243E" w:rsidRDefault="00484C21" w:rsidP="00175CF0">
      <w:pPr>
        <w:jc w:val="center"/>
      </w:pPr>
      <w:r>
        <w:rPr>
          <w:b/>
          <w:sz w:val="24"/>
        </w:rPr>
        <w:t>(k § 6 ods. 2 písm. k) zákona)</w:t>
      </w:r>
    </w:p>
    <w:p w:rsidR="0077243E" w:rsidRDefault="0077243E"/>
    <w:p w:rsidR="0077243E" w:rsidRDefault="00484C21">
      <w:pPr>
        <w:spacing w:after="200"/>
        <w:ind w:firstLine="450"/>
        <w:jc w:val="both"/>
      </w:pPr>
      <w:r>
        <w:rPr>
          <w:sz w:val="24"/>
        </w:rPr>
        <w:t>(1) Úrad po konzultácii s riadiacim orgánom odporučí predsedovi vlády Slovenskej republiky, aby predložil vláde Slovenskej republiky návrh na zavedenie krízového riadenia operačného programu podľa § 6 ods. 2 písm. k) zákona. Úrad neodporučí predsedovi vlády Slovenskej republiky, aby predložil vláde Slovenskej republiky návrh na zavedenie krízového riadenia, ak dôvody pre jeho zavedenie spočívajú výlučne v okolnostiach spôsobených vyššou mocou.</w:t>
      </w:r>
    </w:p>
    <w:p w:rsidR="0077243E" w:rsidRDefault="00484C21">
      <w:pPr>
        <w:spacing w:after="200"/>
        <w:ind w:firstLine="450"/>
        <w:jc w:val="both"/>
      </w:pPr>
      <w:r>
        <w:rPr>
          <w:sz w:val="24"/>
        </w:rPr>
        <w:t>(2) Krízovým riadením na účely tohto nariadenia vlády sa považuje súbor opatrení vrátane časového harmonogramu ich zavedenia, ktoré navrhne úrad po konzultácií s riadiacim orgánom a schváli vláda Slovenskej republiky podľa § 6 ods. 2 písm. k) zákona.</w:t>
      </w:r>
    </w:p>
    <w:p w:rsidR="0077243E" w:rsidRDefault="00484C21">
      <w:pPr>
        <w:spacing w:after="200"/>
        <w:ind w:firstLine="450"/>
        <w:jc w:val="both"/>
      </w:pPr>
      <w:r>
        <w:rPr>
          <w:sz w:val="24"/>
        </w:rPr>
        <w:lastRenderedPageBreak/>
        <w:t>(3) Úrad poskytne maximálnu súčinnosť riadiacemu orgánu pri implementácií opatrení krízového riadenia.</w:t>
      </w:r>
    </w:p>
    <w:p w:rsidR="0077243E" w:rsidRDefault="00484C21">
      <w:pPr>
        <w:spacing w:after="200"/>
        <w:ind w:firstLine="450"/>
        <w:jc w:val="both"/>
      </w:pPr>
      <w:r>
        <w:rPr>
          <w:sz w:val="24"/>
        </w:rPr>
        <w:t>(4) Ak úrad na základe podkladov predložených riadiacim orgánom za účelom vyhodnotenia ročného záväzného plánu operačného programu podľa § 1 ods. 5 dospeje k záveru, že zákonné dôvody na zavedenie krízového riadenia operačného programu pominuli,  odporučí predsedovi vlády Slovenskej republiky, aby predložil vláde Slovenskej republiky návrh na zrušenie krízového riadenia operačného programu.</w:t>
      </w:r>
    </w:p>
    <w:p w:rsidR="0077243E" w:rsidRDefault="00484C21">
      <w:pPr>
        <w:jc w:val="center"/>
      </w:pPr>
      <w:r>
        <w:rPr>
          <w:b/>
          <w:sz w:val="24"/>
        </w:rPr>
        <w:t>§ 4</w:t>
      </w:r>
    </w:p>
    <w:p w:rsidR="0077243E" w:rsidRDefault="00484C21">
      <w:pPr>
        <w:spacing w:after="200"/>
        <w:jc w:val="center"/>
      </w:pPr>
      <w:r>
        <w:rPr>
          <w:b/>
          <w:sz w:val="24"/>
        </w:rPr>
        <w:t>Prechodné ustanovenie</w:t>
      </w:r>
    </w:p>
    <w:p w:rsidR="0077243E" w:rsidRDefault="0077243E"/>
    <w:p w:rsidR="0077243E" w:rsidRDefault="00484C21">
      <w:pPr>
        <w:spacing w:after="200"/>
        <w:ind w:firstLine="450"/>
        <w:jc w:val="both"/>
      </w:pPr>
      <w:r>
        <w:rPr>
          <w:sz w:val="24"/>
        </w:rPr>
        <w:t xml:space="preserve"> Záväzný plán operačného programu na rok 2016 riadiaci orgán predloží úradu v súlade s § 1 do 30 kalendárnych dní od nadobudnutia účinnosti tohto nariadenia. Úrad schváli  záväzný plán operačného programu do 30 kalendárnych dní od predloženia záväzného plánu postupom podľa § 1.</w:t>
      </w:r>
    </w:p>
    <w:p w:rsidR="0077243E" w:rsidRDefault="00484C21">
      <w:pPr>
        <w:jc w:val="center"/>
      </w:pPr>
      <w:r>
        <w:rPr>
          <w:b/>
          <w:sz w:val="24"/>
        </w:rPr>
        <w:t>§ 5</w:t>
      </w:r>
    </w:p>
    <w:p w:rsidR="0077243E" w:rsidRDefault="00484C21">
      <w:pPr>
        <w:spacing w:after="200"/>
        <w:jc w:val="center"/>
      </w:pPr>
      <w:r>
        <w:rPr>
          <w:b/>
          <w:sz w:val="24"/>
        </w:rPr>
        <w:t>Účinnosť</w:t>
      </w:r>
    </w:p>
    <w:p w:rsidR="0077243E" w:rsidRDefault="0077243E"/>
    <w:p w:rsidR="0077243E" w:rsidRDefault="00484C21">
      <w:pPr>
        <w:spacing w:after="200"/>
        <w:ind w:firstLine="450"/>
        <w:jc w:val="both"/>
        <w:rPr>
          <w:sz w:val="24"/>
        </w:rPr>
      </w:pPr>
      <w:r>
        <w:rPr>
          <w:sz w:val="24"/>
        </w:rPr>
        <w:t xml:space="preserve"> Toto nariadenie vlády nadobúda účinnosť 1. septembra 2016.</w:t>
      </w: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pPr>
        <w:spacing w:after="200"/>
        <w:ind w:firstLine="450"/>
        <w:jc w:val="both"/>
        <w:rPr>
          <w:sz w:val="24"/>
        </w:rPr>
      </w:pPr>
    </w:p>
    <w:p w:rsidR="00175CF0" w:rsidRDefault="00175CF0" w:rsidP="00175CF0">
      <w:pPr>
        <w:spacing w:after="200"/>
        <w:ind w:firstLine="450"/>
        <w:jc w:val="right"/>
        <w:rPr>
          <w:sz w:val="24"/>
          <w:szCs w:val="24"/>
        </w:rPr>
      </w:pPr>
      <w:r>
        <w:rPr>
          <w:sz w:val="24"/>
          <w:szCs w:val="24"/>
        </w:rPr>
        <w:lastRenderedPageBreak/>
        <w:t>Príloha k nariadeniu vlády č. .... Z. z.</w:t>
      </w:r>
    </w:p>
    <w:p w:rsidR="00175CF0" w:rsidRDefault="00175CF0" w:rsidP="00175CF0">
      <w:pPr>
        <w:spacing w:after="200"/>
        <w:rPr>
          <w:sz w:val="24"/>
          <w:szCs w:val="24"/>
        </w:rPr>
      </w:pPr>
      <w:r>
        <w:rPr>
          <w:sz w:val="24"/>
          <w:szCs w:val="24"/>
        </w:rPr>
        <w:t>Vzor</w:t>
      </w:r>
    </w:p>
    <w:p w:rsidR="00175CF0" w:rsidRDefault="00175CF0" w:rsidP="00175CF0">
      <w:pPr>
        <w:spacing w:after="200"/>
        <w:rPr>
          <w:sz w:val="24"/>
          <w:szCs w:val="24"/>
        </w:rPr>
      </w:pPr>
      <w:r>
        <w:rPr>
          <w:sz w:val="24"/>
          <w:szCs w:val="24"/>
        </w:rPr>
        <w:t>Záväzného plánu operačného programu</w:t>
      </w:r>
    </w:p>
    <w:p w:rsidR="00175CF0" w:rsidRDefault="00175CF0" w:rsidP="00175CF0">
      <w:pPr>
        <w:rPr>
          <w:b/>
          <w:sz w:val="28"/>
          <w:szCs w:val="28"/>
        </w:rPr>
      </w:pPr>
      <w:r>
        <w:rPr>
          <w:b/>
          <w:sz w:val="28"/>
          <w:szCs w:val="28"/>
        </w:rPr>
        <w:t xml:space="preserve">Názov operačného programu: </w:t>
      </w:r>
    </w:p>
    <w:p w:rsidR="00175CF0" w:rsidRDefault="00175CF0" w:rsidP="00175CF0">
      <w:pPr>
        <w:rPr>
          <w:b/>
          <w:sz w:val="28"/>
          <w:szCs w:val="28"/>
        </w:rPr>
      </w:pPr>
      <w:r>
        <w:rPr>
          <w:b/>
          <w:sz w:val="28"/>
          <w:szCs w:val="28"/>
        </w:rPr>
        <w:t>Rok (t):</w:t>
      </w:r>
    </w:p>
    <w:p w:rsidR="00175CF0" w:rsidRDefault="00175CF0" w:rsidP="00175CF0">
      <w:pPr>
        <w:rPr>
          <w:b/>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67"/>
        <w:gridCol w:w="709"/>
        <w:gridCol w:w="1559"/>
        <w:gridCol w:w="567"/>
        <w:gridCol w:w="1134"/>
        <w:gridCol w:w="1276"/>
        <w:gridCol w:w="1276"/>
        <w:gridCol w:w="1134"/>
      </w:tblGrid>
      <w:tr w:rsidR="00175CF0" w:rsidTr="00175CF0">
        <w:trPr>
          <w:trHeight w:val="348"/>
        </w:trPr>
        <w:tc>
          <w:tcPr>
            <w:tcW w:w="9464" w:type="dxa"/>
            <w:gridSpan w:val="9"/>
            <w:tcBorders>
              <w:top w:val="single" w:sz="4" w:space="0" w:color="auto"/>
              <w:left w:val="single" w:sz="4" w:space="0" w:color="auto"/>
              <w:bottom w:val="single" w:sz="4" w:space="0" w:color="auto"/>
              <w:right w:val="single" w:sz="4" w:space="0" w:color="auto"/>
            </w:tcBorders>
            <w:shd w:val="clear" w:color="auto" w:fill="FDE9D9"/>
            <w:noWrap/>
            <w:hideMark/>
          </w:tcPr>
          <w:p w:rsidR="00175CF0" w:rsidRDefault="00175CF0">
            <w:pPr>
              <w:rPr>
                <w:rFonts w:eastAsia="Calibri"/>
                <w:b/>
                <w:bCs/>
                <w:sz w:val="22"/>
                <w:szCs w:val="22"/>
                <w:lang w:eastAsia="en-US" w:bidi="ar-SA"/>
              </w:rPr>
            </w:pPr>
            <w:r>
              <w:rPr>
                <w:rFonts w:eastAsia="Calibri"/>
                <w:b/>
                <w:bCs/>
                <w:sz w:val="22"/>
                <w:szCs w:val="22"/>
                <w:lang w:eastAsia="en-US" w:bidi="ar-SA"/>
              </w:rPr>
              <w:t xml:space="preserve">KRITÉRIUM a) ukazovatele výkonnostného rámca </w:t>
            </w:r>
          </w:p>
        </w:tc>
      </w:tr>
      <w:tr w:rsidR="00175CF0" w:rsidTr="00175CF0">
        <w:trPr>
          <w:cantSplit/>
          <w:trHeight w:val="1157"/>
        </w:trPr>
        <w:tc>
          <w:tcPr>
            <w:tcW w:w="1242"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Názov prioritnej osi/</w:t>
            </w:r>
          </w:p>
          <w:p w:rsidR="00175CF0" w:rsidRDefault="00175CF0">
            <w:pPr>
              <w:jc w:val="center"/>
              <w:rPr>
                <w:rFonts w:eastAsia="Calibri"/>
                <w:bCs/>
                <w:sz w:val="16"/>
                <w:szCs w:val="16"/>
                <w:lang w:eastAsia="en-US" w:bidi="ar-SA"/>
              </w:rPr>
            </w:pPr>
            <w:r>
              <w:rPr>
                <w:rFonts w:eastAsia="Calibri"/>
                <w:bCs/>
                <w:sz w:val="16"/>
                <w:szCs w:val="16"/>
                <w:lang w:eastAsia="en-US" w:bidi="ar-SA"/>
              </w:rPr>
              <w:t>priority Únie</w:t>
            </w:r>
            <w:r>
              <w:rPr>
                <w:rStyle w:val="Odkaznapoznmkupodiarou"/>
                <w:rFonts w:eastAsia="Calibri"/>
                <w:bCs/>
                <w:sz w:val="16"/>
                <w:szCs w:val="16"/>
                <w:lang w:eastAsia="en-US" w:bidi="ar-SA"/>
              </w:rPr>
              <w:footnoteReference w:id="5"/>
            </w:r>
            <w:r>
              <w:rPr>
                <w:rFonts w:eastAsia="Calibri"/>
                <w:bCs/>
                <w:sz w:val="16"/>
                <w:szCs w:val="16"/>
                <w:lang w:eastAsia="en-US" w:bidi="ar-SA"/>
              </w:rPr>
              <w:t>/</w:t>
            </w:r>
          </w:p>
          <w:p w:rsidR="00175CF0" w:rsidRDefault="00175CF0">
            <w:pPr>
              <w:jc w:val="center"/>
              <w:rPr>
                <w:rFonts w:eastAsia="Calibri"/>
                <w:bCs/>
                <w:sz w:val="16"/>
                <w:szCs w:val="16"/>
                <w:lang w:eastAsia="en-US" w:bidi="ar-SA"/>
              </w:rPr>
            </w:pPr>
            <w:r>
              <w:rPr>
                <w:rFonts w:eastAsia="Calibri"/>
                <w:bCs/>
                <w:sz w:val="16"/>
                <w:szCs w:val="16"/>
                <w:lang w:eastAsia="en-US" w:bidi="ar-SA"/>
              </w:rPr>
              <w:t>priority</w:t>
            </w:r>
            <w:r>
              <w:rPr>
                <w:rStyle w:val="Odkaznapoznmkupodiarou"/>
                <w:rFonts w:eastAsia="Calibri"/>
                <w:bCs/>
                <w:sz w:val="16"/>
                <w:szCs w:val="16"/>
                <w:lang w:eastAsia="en-US" w:bidi="ar-SA"/>
              </w:rPr>
              <w:footnoteReference w:id="6"/>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75CF0" w:rsidRDefault="00175CF0">
            <w:pPr>
              <w:ind w:left="113" w:right="113"/>
              <w:jc w:val="center"/>
              <w:rPr>
                <w:rFonts w:eastAsia="Calibri"/>
                <w:sz w:val="16"/>
                <w:szCs w:val="16"/>
                <w:lang w:eastAsia="en-US" w:bidi="ar-SA"/>
              </w:rPr>
            </w:pPr>
            <w:r>
              <w:rPr>
                <w:rFonts w:eastAsia="Calibri"/>
                <w:bCs/>
                <w:sz w:val="16"/>
                <w:szCs w:val="16"/>
                <w:lang w:eastAsia="en-US" w:bidi="ar-SA"/>
              </w:rPr>
              <w:t>Kategória regiónu</w:t>
            </w:r>
            <w:r>
              <w:rPr>
                <w:rFonts w:eastAsia="Calibri"/>
                <w:sz w:val="16"/>
                <w:szCs w:val="16"/>
                <w:lang w:eastAsia="en-US" w:bidi="ar-SA"/>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75CF0" w:rsidRDefault="00175CF0">
            <w:pPr>
              <w:ind w:left="113" w:right="113"/>
              <w:jc w:val="center"/>
              <w:rPr>
                <w:rFonts w:eastAsia="Calibri"/>
                <w:sz w:val="16"/>
                <w:szCs w:val="16"/>
                <w:lang w:eastAsia="en-US" w:bidi="ar-SA"/>
              </w:rPr>
            </w:pPr>
            <w:r>
              <w:rPr>
                <w:rFonts w:eastAsia="Calibri"/>
                <w:bCs/>
                <w:sz w:val="16"/>
                <w:szCs w:val="16"/>
                <w:lang w:eastAsia="en-US" w:bidi="ar-SA"/>
              </w:rPr>
              <w:t>Typ ukazovateľa</w:t>
            </w:r>
            <w:r>
              <w:rPr>
                <w:rStyle w:val="Odkaznapoznmkupodiarou"/>
                <w:rFonts w:eastAsia="Calibri"/>
                <w:bCs/>
                <w:sz w:val="16"/>
                <w:szCs w:val="16"/>
                <w:lang w:eastAsia="en-US" w:bidi="ar-SA"/>
              </w:rPr>
              <w:footnoteReference w:id="7"/>
            </w:r>
            <w:r>
              <w:rPr>
                <w:rFonts w:eastAsia="Calibri"/>
                <w:sz w:val="16"/>
                <w:szCs w:val="16"/>
                <w:lang w:eastAsia="en-US" w:bidi="ar-SA"/>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Názov ukazovateľa</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75CF0" w:rsidRDefault="00175CF0">
            <w:pPr>
              <w:ind w:left="113" w:right="113"/>
              <w:jc w:val="center"/>
              <w:rPr>
                <w:rFonts w:eastAsia="Calibri"/>
                <w:bCs/>
                <w:sz w:val="16"/>
                <w:szCs w:val="16"/>
                <w:lang w:eastAsia="en-US" w:bidi="ar-SA"/>
              </w:rPr>
            </w:pPr>
            <w:r>
              <w:rPr>
                <w:rFonts w:eastAsia="Calibri"/>
                <w:bCs/>
                <w:sz w:val="16"/>
                <w:szCs w:val="16"/>
                <w:lang w:eastAsia="en-US" w:bidi="ar-SA"/>
              </w:rPr>
              <w:t>Merná jednotka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Plánovaná kumulatívna hodnota k 30.6.t</w:t>
            </w:r>
          </w:p>
        </w:tc>
        <w:tc>
          <w:tcPr>
            <w:tcW w:w="127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75CF0" w:rsidRDefault="00175CF0">
            <w:pPr>
              <w:jc w:val="center"/>
              <w:rPr>
                <w:rFonts w:eastAsia="Calibri"/>
                <w:b/>
                <w:bCs/>
                <w:sz w:val="16"/>
                <w:szCs w:val="16"/>
                <w:lang w:eastAsia="en-US" w:bidi="ar-SA"/>
              </w:rPr>
            </w:pPr>
            <w:r>
              <w:rPr>
                <w:rFonts w:eastAsia="Calibri"/>
                <w:b/>
                <w:bCs/>
                <w:sz w:val="16"/>
                <w:szCs w:val="16"/>
                <w:lang w:eastAsia="en-US" w:bidi="ar-SA"/>
              </w:rPr>
              <w:t>Záväzná plánovaná kumulatívna hodnota k 31.12.t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Plánovaná kumulatívna hodnota k 31.12.t+1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Plánovaná kumulatívna hodnota k 31.12.t+2</w:t>
            </w:r>
          </w:p>
        </w:tc>
      </w:tr>
      <w:tr w:rsidR="00175CF0" w:rsidTr="00175CF0">
        <w:trPr>
          <w:trHeight w:val="21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3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30"/>
        </w:trPr>
        <w:tc>
          <w:tcPr>
            <w:tcW w:w="1242"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56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70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56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276" w:type="dxa"/>
            <w:tcBorders>
              <w:top w:val="single" w:sz="4" w:space="0" w:color="auto"/>
              <w:left w:val="single" w:sz="4" w:space="0" w:color="auto"/>
              <w:bottom w:val="single" w:sz="4" w:space="0" w:color="auto"/>
              <w:right w:val="single" w:sz="4" w:space="0" w:color="auto"/>
            </w:tcBorders>
            <w:shd w:val="clear" w:color="auto" w:fill="DAEEF3"/>
            <w:noWrap/>
          </w:tcPr>
          <w:p w:rsidR="00175CF0" w:rsidRDefault="00175CF0">
            <w:pPr>
              <w:rPr>
                <w:rFonts w:eastAsia="Calibri"/>
                <w:sz w:val="22"/>
                <w:szCs w:val="22"/>
                <w:lang w:eastAsia="en-US" w:bidi="ar-SA"/>
              </w:rPr>
            </w:pPr>
          </w:p>
        </w:tc>
        <w:tc>
          <w:tcPr>
            <w:tcW w:w="1276"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15"/>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3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15"/>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3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15"/>
        </w:trPr>
        <w:tc>
          <w:tcPr>
            <w:tcW w:w="1242"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70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56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DAEEF3"/>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2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70"/>
        </w:trPr>
        <w:tc>
          <w:tcPr>
            <w:tcW w:w="9464" w:type="dxa"/>
            <w:gridSpan w:val="9"/>
            <w:tcBorders>
              <w:top w:val="single" w:sz="4" w:space="0" w:color="auto"/>
              <w:left w:val="single" w:sz="4" w:space="0" w:color="auto"/>
              <w:bottom w:val="single" w:sz="4" w:space="0" w:color="auto"/>
              <w:right w:val="single" w:sz="4" w:space="0" w:color="auto"/>
            </w:tcBorders>
            <w:vAlign w:val="center"/>
            <w:hideMark/>
          </w:tcPr>
          <w:p w:rsidR="00175CF0" w:rsidRDefault="00175CF0">
            <w:pPr>
              <w:rPr>
                <w:rFonts w:eastAsia="Calibri"/>
                <w:b/>
                <w:sz w:val="16"/>
                <w:szCs w:val="16"/>
                <w:lang w:eastAsia="en-US" w:bidi="ar-SA"/>
              </w:rPr>
            </w:pPr>
            <w:r>
              <w:rPr>
                <w:rFonts w:eastAsia="Calibri"/>
                <w:b/>
                <w:sz w:val="16"/>
                <w:szCs w:val="16"/>
                <w:lang w:eastAsia="en-US" w:bidi="ar-SA"/>
              </w:rPr>
              <w:t>Vyjadrenie RO ku kritériu a)</w:t>
            </w:r>
            <w:r>
              <w:rPr>
                <w:rStyle w:val="Odkaznapoznmkupodiarou"/>
                <w:rFonts w:eastAsia="Calibri"/>
                <w:b/>
                <w:sz w:val="16"/>
                <w:szCs w:val="16"/>
                <w:lang w:eastAsia="en-US" w:bidi="ar-SA"/>
              </w:rPr>
              <w:footnoteReference w:id="8"/>
            </w:r>
            <w:r>
              <w:rPr>
                <w:rFonts w:eastAsia="Calibri"/>
                <w:b/>
                <w:sz w:val="16"/>
                <w:szCs w:val="16"/>
                <w:lang w:eastAsia="en-US" w:bidi="ar-SA"/>
              </w:rPr>
              <w:t>:</w:t>
            </w:r>
          </w:p>
        </w:tc>
      </w:tr>
      <w:tr w:rsidR="00175CF0" w:rsidTr="00D85C28">
        <w:trPr>
          <w:trHeight w:val="1842"/>
        </w:trPr>
        <w:tc>
          <w:tcPr>
            <w:tcW w:w="9464" w:type="dxa"/>
            <w:gridSpan w:val="9"/>
            <w:tcBorders>
              <w:top w:val="single" w:sz="4" w:space="0" w:color="auto"/>
              <w:left w:val="single" w:sz="4" w:space="0" w:color="auto"/>
              <w:bottom w:val="single" w:sz="4" w:space="0" w:color="auto"/>
              <w:right w:val="single" w:sz="4" w:space="0" w:color="auto"/>
            </w:tcBorders>
          </w:tcPr>
          <w:p w:rsidR="00175CF0" w:rsidRDefault="00175CF0">
            <w:pPr>
              <w:rPr>
                <w:rFonts w:eastAsia="Calibri"/>
                <w:sz w:val="22"/>
                <w:szCs w:val="22"/>
                <w:lang w:eastAsia="en-US" w:bidi="ar-SA"/>
              </w:rPr>
            </w:pPr>
          </w:p>
          <w:p w:rsidR="00175CF0" w:rsidRDefault="00175CF0">
            <w:pPr>
              <w:rPr>
                <w:rFonts w:eastAsia="Calibri"/>
                <w:sz w:val="22"/>
                <w:szCs w:val="22"/>
                <w:lang w:eastAsia="en-US" w:bidi="ar-SA"/>
              </w:rPr>
            </w:pPr>
          </w:p>
          <w:p w:rsidR="00175CF0" w:rsidRDefault="00175CF0">
            <w:pPr>
              <w:rPr>
                <w:rFonts w:eastAsia="Calibri"/>
                <w:sz w:val="22"/>
                <w:szCs w:val="22"/>
                <w:lang w:eastAsia="en-US" w:bidi="ar-SA"/>
              </w:rPr>
            </w:pPr>
          </w:p>
          <w:p w:rsidR="00175CF0" w:rsidRDefault="00175CF0" w:rsidP="00D85C28">
            <w:pPr>
              <w:rPr>
                <w:rFonts w:eastAsia="Calibri"/>
                <w:sz w:val="22"/>
                <w:szCs w:val="22"/>
                <w:lang w:eastAsia="en-US" w:bidi="ar-SA"/>
              </w:rPr>
            </w:pPr>
          </w:p>
        </w:tc>
      </w:tr>
    </w:tbl>
    <w:p w:rsidR="00175CF0" w:rsidRDefault="00175CF0" w:rsidP="00175CF0"/>
    <w:p w:rsidR="00175CF0" w:rsidRDefault="00175CF0" w:rsidP="00175CF0"/>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134"/>
        <w:gridCol w:w="1560"/>
        <w:gridCol w:w="1559"/>
        <w:gridCol w:w="1417"/>
        <w:gridCol w:w="1418"/>
      </w:tblGrid>
      <w:tr w:rsidR="00175CF0" w:rsidTr="00175CF0">
        <w:trPr>
          <w:trHeight w:val="2268"/>
        </w:trPr>
        <w:tc>
          <w:tcPr>
            <w:tcW w:w="9464" w:type="dxa"/>
            <w:gridSpan w:val="6"/>
            <w:tcBorders>
              <w:top w:val="single" w:sz="4" w:space="0" w:color="auto"/>
              <w:left w:val="single" w:sz="4" w:space="0" w:color="auto"/>
              <w:bottom w:val="single" w:sz="4" w:space="0" w:color="auto"/>
              <w:right w:val="single" w:sz="4" w:space="0" w:color="auto"/>
            </w:tcBorders>
            <w:shd w:val="clear" w:color="auto" w:fill="FDE9D9"/>
            <w:hideMark/>
          </w:tcPr>
          <w:p w:rsidR="00175CF0" w:rsidRDefault="00175CF0">
            <w:pPr>
              <w:rPr>
                <w:rFonts w:eastAsia="Calibri"/>
                <w:sz w:val="18"/>
                <w:szCs w:val="18"/>
                <w:lang w:eastAsia="en-US" w:bidi="ar-SA"/>
              </w:rPr>
            </w:pPr>
            <w:r>
              <w:rPr>
                <w:rFonts w:eastAsia="Calibri"/>
                <w:b/>
                <w:bCs/>
                <w:sz w:val="18"/>
                <w:szCs w:val="18"/>
                <w:lang w:eastAsia="en-US" w:bidi="ar-SA"/>
              </w:rPr>
              <w:lastRenderedPageBreak/>
              <w:t>KRITÉRIUM b) objem kontrahovania</w:t>
            </w:r>
            <w:r>
              <w:rPr>
                <w:rFonts w:eastAsia="Calibri"/>
                <w:sz w:val="18"/>
                <w:szCs w:val="18"/>
                <w:lang w:eastAsia="en-US" w:bidi="ar-SA"/>
              </w:rPr>
              <w:t xml:space="preserve"> = suma príspevku zo zdrojov Európskej únie po odpočítaní </w:t>
            </w:r>
            <w:proofErr w:type="spellStart"/>
            <w:r>
              <w:rPr>
                <w:rFonts w:eastAsia="Calibri"/>
                <w:sz w:val="18"/>
                <w:szCs w:val="18"/>
                <w:lang w:eastAsia="en-US" w:bidi="ar-SA"/>
              </w:rPr>
              <w:t>zazmluvnených</w:t>
            </w:r>
            <w:proofErr w:type="spellEnd"/>
            <w:r>
              <w:rPr>
                <w:rFonts w:eastAsia="Calibri"/>
                <w:sz w:val="18"/>
                <w:szCs w:val="18"/>
                <w:lang w:eastAsia="en-US" w:bidi="ar-SA"/>
              </w:rPr>
              <w:t xml:space="preserve"> nečerpaných prostriedkov ukončených projektov, evidovaných v informačnom monitorovacom systéme podľa § 49 zákona a v informačnom systéme platobnej agentúry, v členení na úroveň prioritnej osi resp. priority Únie alebo priority a v členení podľa kategórie regiónov na základe:</w:t>
            </w:r>
            <w:r>
              <w:rPr>
                <w:rFonts w:eastAsia="Calibri"/>
                <w:sz w:val="18"/>
                <w:szCs w:val="18"/>
                <w:lang w:eastAsia="en-US" w:bidi="ar-SA"/>
              </w:rPr>
              <w:br/>
              <w:t xml:space="preserve">1. zmlúv o poskytnutí nenávratného finančného príspevku, podľa § 25 zákona, ktoré nadobudnú účinnosť v sledovanom období alebo, </w:t>
            </w:r>
            <w:r>
              <w:rPr>
                <w:rFonts w:eastAsia="Calibri"/>
                <w:sz w:val="18"/>
                <w:szCs w:val="18"/>
                <w:lang w:eastAsia="en-US" w:bidi="ar-SA"/>
              </w:rPr>
              <w:br/>
              <w:t xml:space="preserve">2. právoplatných rozhodnutí  o schválení žiadosti o nenávratný finančný príspevok, ktoré nadobudnú právoplatnosť v sledovanom období podľa § 16 ods. 2 zákona, ak je poskytovateľom a prijímateľom tá istá osoba alebo, </w:t>
            </w:r>
            <w:r>
              <w:rPr>
                <w:rFonts w:eastAsia="Calibri"/>
                <w:sz w:val="18"/>
                <w:szCs w:val="18"/>
                <w:lang w:eastAsia="en-US" w:bidi="ar-SA"/>
              </w:rPr>
              <w:br/>
              <w:t>3. právoplatných  rozhodnutí  o schválení žiadosti o podporu, ktoré nadobudnú právoplatnosť v sledovanom období, to platí iba pre neprojektové opatrenia Programu rozvoja vidieka Slovenskej republiky 2014 – 2020.</w:t>
            </w:r>
          </w:p>
        </w:tc>
      </w:tr>
      <w:tr w:rsidR="00175CF0" w:rsidTr="00175CF0">
        <w:trPr>
          <w:trHeight w:val="1500"/>
        </w:trPr>
        <w:tc>
          <w:tcPr>
            <w:tcW w:w="2376"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Názov prioritnej osi/</w:t>
            </w:r>
          </w:p>
          <w:p w:rsidR="00175CF0" w:rsidRDefault="00175CF0">
            <w:pPr>
              <w:jc w:val="center"/>
              <w:rPr>
                <w:rFonts w:eastAsia="Calibri"/>
                <w:bCs/>
                <w:sz w:val="16"/>
                <w:szCs w:val="16"/>
                <w:lang w:eastAsia="en-US" w:bidi="ar-SA"/>
              </w:rPr>
            </w:pPr>
            <w:r>
              <w:rPr>
                <w:rFonts w:eastAsia="Calibri"/>
                <w:bCs/>
                <w:sz w:val="16"/>
                <w:szCs w:val="16"/>
                <w:lang w:eastAsia="en-US" w:bidi="ar-SA"/>
              </w:rPr>
              <w:t>priority Únie</w:t>
            </w:r>
            <w:r>
              <w:rPr>
                <w:rStyle w:val="Odkaznapoznmkupodiarou"/>
                <w:rFonts w:eastAsia="Calibri"/>
                <w:bCs/>
                <w:sz w:val="16"/>
                <w:szCs w:val="16"/>
                <w:lang w:eastAsia="en-US" w:bidi="ar-SA"/>
              </w:rPr>
              <w:footnoteReference w:id="9"/>
            </w:r>
            <w:r>
              <w:rPr>
                <w:rFonts w:eastAsia="Calibri"/>
                <w:bCs/>
                <w:sz w:val="16"/>
                <w:szCs w:val="16"/>
                <w:lang w:eastAsia="en-US" w:bidi="ar-SA"/>
              </w:rPr>
              <w:t>/</w:t>
            </w:r>
          </w:p>
          <w:p w:rsidR="00175CF0" w:rsidRDefault="00175CF0">
            <w:pPr>
              <w:jc w:val="center"/>
              <w:rPr>
                <w:rFonts w:eastAsia="Calibri"/>
                <w:bCs/>
                <w:sz w:val="16"/>
                <w:szCs w:val="16"/>
                <w:lang w:eastAsia="en-US" w:bidi="ar-SA"/>
              </w:rPr>
            </w:pPr>
            <w:r>
              <w:rPr>
                <w:rFonts w:eastAsia="Calibri"/>
                <w:bCs/>
                <w:sz w:val="16"/>
                <w:szCs w:val="16"/>
                <w:lang w:eastAsia="en-US" w:bidi="ar-SA"/>
              </w:rPr>
              <w:t>priority</w:t>
            </w:r>
            <w:r>
              <w:rPr>
                <w:rStyle w:val="Odkaznapoznmkupodiarou"/>
                <w:rFonts w:eastAsia="Calibri"/>
                <w:bCs/>
                <w:sz w:val="16"/>
                <w:szCs w:val="16"/>
                <w:lang w:eastAsia="en-US" w:bidi="ar-SA"/>
              </w:rPr>
              <w:footnoteReference w:id="10"/>
            </w:r>
          </w:p>
        </w:tc>
        <w:tc>
          <w:tcPr>
            <w:tcW w:w="1134"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Kategória regiónu</w:t>
            </w:r>
            <w:r>
              <w:rPr>
                <w:rFonts w:eastAsia="Calibri"/>
                <w:sz w:val="16"/>
                <w:szCs w:val="16"/>
                <w:lang w:eastAsia="en-US" w:bidi="ar-SA"/>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Plánovaná kumulatívna hodnota k 30.6.t</w:t>
            </w:r>
          </w:p>
        </w:tc>
        <w:tc>
          <w:tcPr>
            <w:tcW w:w="155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75CF0" w:rsidRDefault="00175CF0">
            <w:pPr>
              <w:jc w:val="center"/>
              <w:rPr>
                <w:rFonts w:eastAsia="Calibri"/>
                <w:b/>
                <w:bCs/>
                <w:sz w:val="16"/>
                <w:szCs w:val="16"/>
                <w:lang w:eastAsia="en-US" w:bidi="ar-SA"/>
              </w:rPr>
            </w:pPr>
            <w:r>
              <w:rPr>
                <w:rFonts w:eastAsia="Calibri"/>
                <w:b/>
                <w:bCs/>
                <w:sz w:val="16"/>
                <w:szCs w:val="16"/>
                <w:lang w:eastAsia="en-US" w:bidi="ar-SA"/>
              </w:rPr>
              <w:t>Záväzná plánovaná kumulatívna hodnota k 31.12.t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Plánovaná kumulatívna hodnota k 31.12.t+1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Plánovaná kumulatívna hodnota k 31.12.t+2</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r>
      <w:tr w:rsidR="00175CF0" w:rsidTr="00175CF0">
        <w:trPr>
          <w:trHeight w:val="285"/>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15"/>
        </w:trPr>
        <w:tc>
          <w:tcPr>
            <w:tcW w:w="3510" w:type="dxa"/>
            <w:gridSpan w:val="2"/>
            <w:tcBorders>
              <w:top w:val="single" w:sz="4" w:space="0" w:color="auto"/>
              <w:left w:val="single" w:sz="4" w:space="0" w:color="auto"/>
              <w:bottom w:val="single" w:sz="4" w:space="0" w:color="auto"/>
              <w:right w:val="single" w:sz="4" w:space="0" w:color="auto"/>
            </w:tcBorders>
            <w:noWrap/>
            <w:vAlign w:val="center"/>
            <w:hideMark/>
          </w:tcPr>
          <w:p w:rsidR="00175CF0" w:rsidRDefault="00175CF0">
            <w:pPr>
              <w:rPr>
                <w:rFonts w:eastAsia="Calibri"/>
                <w:bCs/>
                <w:lang w:eastAsia="en-US" w:bidi="ar-SA"/>
              </w:rPr>
            </w:pPr>
            <w:r>
              <w:rPr>
                <w:rFonts w:eastAsia="Calibri"/>
                <w:b/>
                <w:bCs/>
                <w:lang w:eastAsia="en-US" w:bidi="ar-SA"/>
              </w:rPr>
              <w:t>Program spolu:</w:t>
            </w: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bCs/>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DAEEF3"/>
            <w:noWrap/>
          </w:tcPr>
          <w:p w:rsidR="00175CF0" w:rsidRDefault="00175CF0">
            <w:pPr>
              <w:rPr>
                <w:rFonts w:eastAsia="Calibri"/>
                <w:b/>
                <w:bCs/>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b/>
                <w:bCs/>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b/>
                <w:bCs/>
                <w:sz w:val="22"/>
                <w:szCs w:val="22"/>
                <w:lang w:eastAsia="en-US" w:bidi="ar-SA"/>
              </w:rPr>
            </w:pPr>
          </w:p>
        </w:tc>
      </w:tr>
      <w:tr w:rsidR="00175CF0" w:rsidTr="00175CF0">
        <w:trPr>
          <w:trHeight w:val="370"/>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175CF0" w:rsidRDefault="00175CF0">
            <w:pPr>
              <w:rPr>
                <w:rFonts w:eastAsia="Calibri"/>
                <w:b/>
                <w:sz w:val="16"/>
                <w:szCs w:val="16"/>
                <w:lang w:eastAsia="en-US" w:bidi="ar-SA"/>
              </w:rPr>
            </w:pPr>
            <w:r>
              <w:rPr>
                <w:rFonts w:eastAsia="Calibri"/>
                <w:b/>
                <w:sz w:val="16"/>
                <w:szCs w:val="16"/>
                <w:lang w:eastAsia="en-US" w:bidi="ar-SA"/>
              </w:rPr>
              <w:t>Vyjadrenie RO ku kritériu b)</w:t>
            </w:r>
            <w:r>
              <w:rPr>
                <w:rStyle w:val="Odkaznapoznmkupodiarou"/>
                <w:rFonts w:eastAsia="Calibri"/>
                <w:b/>
                <w:sz w:val="16"/>
                <w:szCs w:val="16"/>
                <w:lang w:eastAsia="en-US" w:bidi="ar-SA"/>
              </w:rPr>
              <w:footnoteReference w:id="11"/>
            </w:r>
            <w:r>
              <w:rPr>
                <w:rFonts w:eastAsia="Calibri"/>
                <w:b/>
                <w:sz w:val="16"/>
                <w:szCs w:val="16"/>
                <w:lang w:eastAsia="en-US" w:bidi="ar-SA"/>
              </w:rPr>
              <w:t>:</w:t>
            </w:r>
          </w:p>
        </w:tc>
      </w:tr>
      <w:tr w:rsidR="00175CF0" w:rsidTr="00175CF0">
        <w:tc>
          <w:tcPr>
            <w:tcW w:w="9464" w:type="dxa"/>
            <w:gridSpan w:val="6"/>
            <w:tcBorders>
              <w:top w:val="single" w:sz="4" w:space="0" w:color="auto"/>
              <w:left w:val="single" w:sz="4" w:space="0" w:color="auto"/>
              <w:bottom w:val="single" w:sz="4" w:space="0" w:color="auto"/>
              <w:right w:val="single" w:sz="4" w:space="0" w:color="auto"/>
            </w:tcBorders>
          </w:tcPr>
          <w:p w:rsidR="00175CF0" w:rsidRDefault="00175CF0">
            <w:pPr>
              <w:rPr>
                <w:rFonts w:eastAsia="Calibri"/>
                <w:sz w:val="22"/>
                <w:szCs w:val="22"/>
                <w:lang w:eastAsia="en-US" w:bidi="ar-SA"/>
              </w:rPr>
            </w:pPr>
          </w:p>
          <w:p w:rsidR="00175CF0" w:rsidRDefault="00175CF0">
            <w:pPr>
              <w:rPr>
                <w:rFonts w:eastAsia="Calibri"/>
                <w:sz w:val="22"/>
                <w:szCs w:val="22"/>
                <w:lang w:eastAsia="en-US" w:bidi="ar-SA"/>
              </w:rPr>
            </w:pPr>
          </w:p>
          <w:p w:rsidR="00175CF0" w:rsidRDefault="00175CF0">
            <w:pPr>
              <w:rPr>
                <w:rFonts w:eastAsia="Calibri"/>
                <w:sz w:val="22"/>
                <w:szCs w:val="22"/>
                <w:lang w:eastAsia="en-US" w:bidi="ar-SA"/>
              </w:rPr>
            </w:pPr>
          </w:p>
          <w:p w:rsidR="00175CF0" w:rsidRDefault="00175CF0">
            <w:pPr>
              <w:rPr>
                <w:rFonts w:eastAsia="Calibri"/>
                <w:sz w:val="22"/>
                <w:szCs w:val="22"/>
                <w:lang w:eastAsia="en-US" w:bidi="ar-SA"/>
              </w:rPr>
            </w:pPr>
          </w:p>
          <w:p w:rsidR="00175CF0" w:rsidRDefault="00175CF0">
            <w:pPr>
              <w:rPr>
                <w:rFonts w:eastAsia="Calibri"/>
                <w:sz w:val="22"/>
                <w:szCs w:val="22"/>
                <w:lang w:eastAsia="en-US" w:bidi="ar-SA"/>
              </w:rPr>
            </w:pPr>
          </w:p>
          <w:p w:rsidR="00175CF0" w:rsidRDefault="00175CF0">
            <w:pPr>
              <w:rPr>
                <w:rFonts w:eastAsia="Calibri"/>
                <w:sz w:val="22"/>
                <w:szCs w:val="22"/>
                <w:lang w:eastAsia="en-US" w:bidi="ar-SA"/>
              </w:rPr>
            </w:pPr>
          </w:p>
          <w:p w:rsidR="00175CF0" w:rsidRDefault="00175CF0">
            <w:pPr>
              <w:rPr>
                <w:rFonts w:eastAsia="Calibri"/>
                <w:sz w:val="22"/>
                <w:szCs w:val="22"/>
                <w:lang w:eastAsia="en-US" w:bidi="ar-SA"/>
              </w:rPr>
            </w:pPr>
          </w:p>
        </w:tc>
      </w:tr>
    </w:tbl>
    <w:p w:rsidR="00175CF0" w:rsidRDefault="00175CF0" w:rsidP="00175CF0"/>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134"/>
        <w:gridCol w:w="1560"/>
        <w:gridCol w:w="1559"/>
        <w:gridCol w:w="1417"/>
        <w:gridCol w:w="1418"/>
      </w:tblGrid>
      <w:tr w:rsidR="00175CF0" w:rsidTr="00175CF0">
        <w:trPr>
          <w:trHeight w:val="1842"/>
        </w:trPr>
        <w:tc>
          <w:tcPr>
            <w:tcW w:w="9464" w:type="dxa"/>
            <w:gridSpan w:val="6"/>
            <w:tcBorders>
              <w:top w:val="single" w:sz="4" w:space="0" w:color="auto"/>
              <w:left w:val="single" w:sz="4" w:space="0" w:color="auto"/>
              <w:bottom w:val="single" w:sz="4" w:space="0" w:color="auto"/>
              <w:right w:val="single" w:sz="4" w:space="0" w:color="auto"/>
            </w:tcBorders>
            <w:shd w:val="clear" w:color="auto" w:fill="FDE9D9"/>
            <w:hideMark/>
          </w:tcPr>
          <w:p w:rsidR="00175CF0" w:rsidRDefault="00175CF0">
            <w:pPr>
              <w:rPr>
                <w:rFonts w:eastAsia="Calibri"/>
                <w:sz w:val="18"/>
                <w:szCs w:val="18"/>
                <w:lang w:eastAsia="en-US" w:bidi="ar-SA"/>
              </w:rPr>
            </w:pPr>
            <w:r>
              <w:rPr>
                <w:rFonts w:eastAsia="Calibri"/>
                <w:b/>
                <w:bCs/>
                <w:sz w:val="18"/>
                <w:szCs w:val="18"/>
                <w:lang w:eastAsia="en-US" w:bidi="ar-SA"/>
              </w:rPr>
              <w:lastRenderedPageBreak/>
              <w:t xml:space="preserve">KRITÉRIUM c) objem čerpania </w:t>
            </w:r>
            <w:r>
              <w:rPr>
                <w:rFonts w:eastAsia="Calibri"/>
                <w:bCs/>
                <w:sz w:val="18"/>
                <w:szCs w:val="18"/>
                <w:lang w:eastAsia="en-US" w:bidi="ar-SA"/>
              </w:rPr>
              <w:t xml:space="preserve">=  suma oprávnených výdavkov zo zdrojov Európskej únie  schválených certifikačným orgánom v súhrnných žiadostiach o platbu znížená o sumu nezrovnalostí a  </w:t>
            </w:r>
            <w:proofErr w:type="spellStart"/>
            <w:r>
              <w:rPr>
                <w:rFonts w:eastAsia="Calibri"/>
                <w:bCs/>
                <w:sz w:val="18"/>
                <w:szCs w:val="18"/>
                <w:lang w:eastAsia="en-US" w:bidi="ar-SA"/>
              </w:rPr>
              <w:t>vratiek</w:t>
            </w:r>
            <w:proofErr w:type="spellEnd"/>
            <w:r>
              <w:rPr>
                <w:rFonts w:eastAsia="Calibri"/>
                <w:bCs/>
                <w:sz w:val="18"/>
                <w:szCs w:val="18"/>
                <w:lang w:eastAsia="en-US" w:bidi="ar-SA"/>
              </w:rPr>
              <w:t xml:space="preserve"> zaznamenaných v účtovníctve certifikačného orgánu za časť vzťahujúcu sa k zdrojom Európskej únie, v členení na úroveň prioritnej osi a kategórie regiónov, resp. v prípade OP Rybné hospodárstvo na úroveň priority Únie ; ak ide o Program rozvoja vidieka Slovenskej republiky 2014 – 2020   ide o sumu výdavkov Európskeho poľnohospodárskeho fondu pre rozvoj vidieka rovnajúce sa súčtu „Štvrťročných vyhlásení o výdavkoch“ nahlasovaných Európskej komisii  (hrubé výdavky Európskeho poľnohospodárskeho fondu pre rozvoj vidieka očistené o nezrovnalosti, nedbalosti a ostatné úpravy) k stanovenému dátumu v členení na úroveň priority a  v členení podľa kategórie regiónov</w:t>
            </w:r>
          </w:p>
        </w:tc>
      </w:tr>
      <w:tr w:rsidR="00175CF0" w:rsidTr="00175CF0">
        <w:trPr>
          <w:trHeight w:val="1500"/>
        </w:trPr>
        <w:tc>
          <w:tcPr>
            <w:tcW w:w="2376"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Názov prioritnej osi/</w:t>
            </w:r>
          </w:p>
          <w:p w:rsidR="00175CF0" w:rsidRDefault="00175CF0">
            <w:pPr>
              <w:jc w:val="center"/>
              <w:rPr>
                <w:rFonts w:eastAsia="Calibri"/>
                <w:bCs/>
                <w:sz w:val="16"/>
                <w:szCs w:val="16"/>
                <w:lang w:eastAsia="en-US" w:bidi="ar-SA"/>
              </w:rPr>
            </w:pPr>
            <w:r>
              <w:rPr>
                <w:rFonts w:eastAsia="Calibri"/>
                <w:bCs/>
                <w:sz w:val="16"/>
                <w:szCs w:val="16"/>
                <w:lang w:eastAsia="en-US" w:bidi="ar-SA"/>
              </w:rPr>
              <w:t>priority Únie</w:t>
            </w:r>
            <w:r>
              <w:rPr>
                <w:rStyle w:val="Odkaznapoznmkupodiarou"/>
                <w:rFonts w:eastAsia="Calibri"/>
                <w:bCs/>
                <w:sz w:val="16"/>
                <w:szCs w:val="16"/>
                <w:lang w:eastAsia="en-US" w:bidi="ar-SA"/>
              </w:rPr>
              <w:footnoteReference w:id="12"/>
            </w:r>
            <w:r>
              <w:rPr>
                <w:rFonts w:eastAsia="Calibri"/>
                <w:bCs/>
                <w:sz w:val="16"/>
                <w:szCs w:val="16"/>
                <w:lang w:eastAsia="en-US" w:bidi="ar-SA"/>
              </w:rPr>
              <w:t>/</w:t>
            </w:r>
          </w:p>
          <w:p w:rsidR="00175CF0" w:rsidRDefault="00175CF0">
            <w:pPr>
              <w:jc w:val="center"/>
              <w:rPr>
                <w:rFonts w:eastAsia="Calibri"/>
                <w:bCs/>
                <w:sz w:val="16"/>
                <w:szCs w:val="16"/>
                <w:lang w:eastAsia="en-US" w:bidi="ar-SA"/>
              </w:rPr>
            </w:pPr>
            <w:r>
              <w:rPr>
                <w:rFonts w:eastAsia="Calibri"/>
                <w:bCs/>
                <w:sz w:val="16"/>
                <w:szCs w:val="16"/>
                <w:lang w:eastAsia="en-US" w:bidi="ar-SA"/>
              </w:rPr>
              <w:t>priority</w:t>
            </w:r>
            <w:r>
              <w:rPr>
                <w:rStyle w:val="Odkaznapoznmkupodiarou"/>
                <w:rFonts w:eastAsia="Calibri"/>
                <w:bCs/>
                <w:sz w:val="16"/>
                <w:szCs w:val="16"/>
                <w:lang w:eastAsia="en-US" w:bidi="ar-SA"/>
              </w:rPr>
              <w:footnoteReference w:id="13"/>
            </w:r>
          </w:p>
        </w:tc>
        <w:tc>
          <w:tcPr>
            <w:tcW w:w="1134"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Kategória regiónu</w:t>
            </w:r>
            <w:r>
              <w:rPr>
                <w:rFonts w:eastAsia="Calibri"/>
                <w:sz w:val="16"/>
                <w:szCs w:val="16"/>
                <w:lang w:eastAsia="en-US" w:bidi="ar-SA"/>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Plánovaná kumulatívna hodnota k 30.6.t</w:t>
            </w:r>
          </w:p>
        </w:tc>
        <w:tc>
          <w:tcPr>
            <w:tcW w:w="155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75CF0" w:rsidRDefault="00175CF0">
            <w:pPr>
              <w:jc w:val="center"/>
              <w:rPr>
                <w:rFonts w:eastAsia="Calibri"/>
                <w:b/>
                <w:bCs/>
                <w:sz w:val="16"/>
                <w:szCs w:val="16"/>
                <w:lang w:eastAsia="en-US" w:bidi="ar-SA"/>
              </w:rPr>
            </w:pPr>
            <w:r>
              <w:rPr>
                <w:rFonts w:eastAsia="Calibri"/>
                <w:b/>
                <w:bCs/>
                <w:sz w:val="16"/>
                <w:szCs w:val="16"/>
                <w:lang w:eastAsia="en-US" w:bidi="ar-SA"/>
              </w:rPr>
              <w:t>Záväzná plánovaná kumulatívna hodnota k 31.12.t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Plánovaná kumulatívna hodnota k 31.12.t+1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5CF0" w:rsidRDefault="00175CF0">
            <w:pPr>
              <w:jc w:val="center"/>
              <w:rPr>
                <w:rFonts w:eastAsia="Calibri"/>
                <w:bCs/>
                <w:sz w:val="16"/>
                <w:szCs w:val="16"/>
                <w:lang w:eastAsia="en-US" w:bidi="ar-SA"/>
              </w:rPr>
            </w:pPr>
            <w:r>
              <w:rPr>
                <w:rFonts w:eastAsia="Calibri"/>
                <w:bCs/>
                <w:sz w:val="16"/>
                <w:szCs w:val="16"/>
                <w:lang w:eastAsia="en-US" w:bidi="ar-SA"/>
              </w:rPr>
              <w:t>Plánovaná kumulatívna hodnota k 31.12.t+2</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sz w:val="22"/>
                <w:szCs w:val="22"/>
                <w:lang w:eastAsia="en-US" w:bidi="ar-SA"/>
              </w:rPr>
            </w:pPr>
          </w:p>
        </w:tc>
      </w:tr>
      <w:tr w:rsidR="00175CF0" w:rsidTr="00175CF0">
        <w:trPr>
          <w:trHeight w:val="285"/>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134"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559"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7"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c>
          <w:tcPr>
            <w:tcW w:w="1418" w:type="dxa"/>
            <w:tcBorders>
              <w:top w:val="single" w:sz="4" w:space="0" w:color="auto"/>
              <w:left w:val="single" w:sz="4" w:space="0" w:color="auto"/>
              <w:bottom w:val="single" w:sz="4" w:space="0" w:color="auto"/>
              <w:right w:val="single" w:sz="4" w:space="0" w:color="auto"/>
            </w:tcBorders>
            <w:noWrap/>
            <w:hideMark/>
          </w:tcPr>
          <w:p w:rsidR="00175CF0" w:rsidRDefault="00175CF0">
            <w:pPr>
              <w:rPr>
                <w:rFonts w:eastAsia="Calibri"/>
                <w:sz w:val="22"/>
                <w:szCs w:val="22"/>
                <w:lang w:eastAsia="en-US" w:bidi="ar-SA"/>
              </w:rPr>
            </w:pPr>
            <w:r>
              <w:rPr>
                <w:rFonts w:eastAsia="Calibri"/>
                <w:sz w:val="22"/>
                <w:szCs w:val="22"/>
                <w:lang w:eastAsia="en-US" w:bidi="ar-SA"/>
              </w:rPr>
              <w:t> </w:t>
            </w:r>
          </w:p>
        </w:tc>
      </w:tr>
      <w:tr w:rsidR="00175CF0" w:rsidTr="00175CF0">
        <w:trPr>
          <w:trHeight w:val="315"/>
        </w:trPr>
        <w:tc>
          <w:tcPr>
            <w:tcW w:w="3510" w:type="dxa"/>
            <w:gridSpan w:val="2"/>
            <w:tcBorders>
              <w:top w:val="single" w:sz="4" w:space="0" w:color="auto"/>
              <w:left w:val="single" w:sz="4" w:space="0" w:color="auto"/>
              <w:bottom w:val="single" w:sz="4" w:space="0" w:color="auto"/>
              <w:right w:val="single" w:sz="4" w:space="0" w:color="auto"/>
            </w:tcBorders>
            <w:noWrap/>
            <w:vAlign w:val="center"/>
            <w:hideMark/>
          </w:tcPr>
          <w:p w:rsidR="00175CF0" w:rsidRDefault="00175CF0">
            <w:pPr>
              <w:rPr>
                <w:rFonts w:eastAsia="Calibri"/>
                <w:bCs/>
                <w:lang w:eastAsia="en-US" w:bidi="ar-SA"/>
              </w:rPr>
            </w:pPr>
            <w:r>
              <w:rPr>
                <w:rFonts w:eastAsia="Calibri"/>
                <w:b/>
                <w:bCs/>
                <w:lang w:eastAsia="en-US" w:bidi="ar-SA"/>
              </w:rPr>
              <w:t>Program spolu:</w:t>
            </w:r>
          </w:p>
        </w:tc>
        <w:tc>
          <w:tcPr>
            <w:tcW w:w="1560"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bCs/>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DAEEF3"/>
            <w:noWrap/>
          </w:tcPr>
          <w:p w:rsidR="00175CF0" w:rsidRDefault="00175CF0">
            <w:pPr>
              <w:rPr>
                <w:rFonts w:eastAsia="Calibri"/>
                <w:b/>
                <w:bCs/>
                <w:sz w:val="22"/>
                <w:szCs w:val="22"/>
                <w:lang w:eastAsia="en-US" w:bidi="ar-SA"/>
              </w:rPr>
            </w:pPr>
          </w:p>
        </w:tc>
        <w:tc>
          <w:tcPr>
            <w:tcW w:w="1417"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b/>
                <w:bCs/>
                <w:sz w:val="22"/>
                <w:szCs w:val="22"/>
                <w:lang w:eastAsia="en-US" w:bidi="ar-SA"/>
              </w:rPr>
            </w:pPr>
          </w:p>
        </w:tc>
        <w:tc>
          <w:tcPr>
            <w:tcW w:w="1418" w:type="dxa"/>
            <w:tcBorders>
              <w:top w:val="single" w:sz="4" w:space="0" w:color="auto"/>
              <w:left w:val="single" w:sz="4" w:space="0" w:color="auto"/>
              <w:bottom w:val="single" w:sz="4" w:space="0" w:color="auto"/>
              <w:right w:val="single" w:sz="4" w:space="0" w:color="auto"/>
            </w:tcBorders>
            <w:noWrap/>
          </w:tcPr>
          <w:p w:rsidR="00175CF0" w:rsidRDefault="00175CF0">
            <w:pPr>
              <w:rPr>
                <w:rFonts w:eastAsia="Calibri"/>
                <w:b/>
                <w:bCs/>
                <w:sz w:val="22"/>
                <w:szCs w:val="22"/>
                <w:lang w:eastAsia="en-US" w:bidi="ar-SA"/>
              </w:rPr>
            </w:pPr>
          </w:p>
        </w:tc>
      </w:tr>
      <w:tr w:rsidR="00175CF0" w:rsidTr="00175CF0">
        <w:trPr>
          <w:trHeight w:val="370"/>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175CF0" w:rsidRDefault="00175CF0">
            <w:pPr>
              <w:rPr>
                <w:rFonts w:eastAsia="Calibri"/>
                <w:b/>
                <w:sz w:val="16"/>
                <w:szCs w:val="16"/>
                <w:lang w:eastAsia="en-US" w:bidi="ar-SA"/>
              </w:rPr>
            </w:pPr>
            <w:r>
              <w:rPr>
                <w:rFonts w:eastAsia="Calibri"/>
                <w:b/>
                <w:sz w:val="16"/>
                <w:szCs w:val="16"/>
                <w:lang w:eastAsia="en-US" w:bidi="ar-SA"/>
              </w:rPr>
              <w:t>Vyjadrenie RO ku kritériu c)</w:t>
            </w:r>
            <w:r>
              <w:rPr>
                <w:rStyle w:val="Odkaznapoznmkupodiarou"/>
                <w:rFonts w:eastAsia="Calibri"/>
                <w:b/>
                <w:sz w:val="16"/>
                <w:szCs w:val="16"/>
                <w:lang w:eastAsia="en-US" w:bidi="ar-SA"/>
              </w:rPr>
              <w:footnoteReference w:id="14"/>
            </w:r>
            <w:r>
              <w:rPr>
                <w:rFonts w:eastAsia="Calibri"/>
                <w:b/>
                <w:sz w:val="16"/>
                <w:szCs w:val="16"/>
                <w:lang w:eastAsia="en-US" w:bidi="ar-SA"/>
              </w:rPr>
              <w:t>:</w:t>
            </w:r>
          </w:p>
        </w:tc>
      </w:tr>
      <w:tr w:rsidR="00175CF0" w:rsidTr="00175CF0">
        <w:tc>
          <w:tcPr>
            <w:tcW w:w="9464" w:type="dxa"/>
            <w:gridSpan w:val="6"/>
            <w:tcBorders>
              <w:top w:val="single" w:sz="4" w:space="0" w:color="auto"/>
              <w:left w:val="single" w:sz="4" w:space="0" w:color="auto"/>
              <w:bottom w:val="single" w:sz="4" w:space="0" w:color="auto"/>
              <w:right w:val="single" w:sz="4" w:space="0" w:color="auto"/>
            </w:tcBorders>
          </w:tcPr>
          <w:p w:rsidR="00175CF0" w:rsidRDefault="00175CF0">
            <w:pPr>
              <w:rPr>
                <w:rFonts w:eastAsia="Calibri"/>
                <w:sz w:val="22"/>
                <w:szCs w:val="22"/>
                <w:lang w:eastAsia="en-US" w:bidi="ar-SA"/>
              </w:rPr>
            </w:pPr>
          </w:p>
          <w:p w:rsidR="00175CF0" w:rsidRDefault="00175CF0">
            <w:pPr>
              <w:rPr>
                <w:rFonts w:eastAsia="Calibri"/>
                <w:sz w:val="22"/>
                <w:szCs w:val="22"/>
                <w:lang w:eastAsia="en-US" w:bidi="ar-SA"/>
              </w:rPr>
            </w:pPr>
          </w:p>
        </w:tc>
      </w:tr>
    </w:tbl>
    <w:p w:rsidR="00175CF0" w:rsidRDefault="00175CF0" w:rsidP="00175CF0"/>
    <w:sectPr w:rsidR="00175C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0D1" w:rsidRDefault="005450D1">
      <w:r>
        <w:separator/>
      </w:r>
    </w:p>
  </w:endnote>
  <w:endnote w:type="continuationSeparator" w:id="0">
    <w:p w:rsidR="005450D1" w:rsidRDefault="0054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0D1" w:rsidRDefault="005450D1">
      <w:r>
        <w:separator/>
      </w:r>
    </w:p>
  </w:footnote>
  <w:footnote w:type="continuationSeparator" w:id="0">
    <w:p w:rsidR="005450D1" w:rsidRDefault="005450D1">
      <w:r>
        <w:continuationSeparator/>
      </w:r>
    </w:p>
  </w:footnote>
  <w:footnote w:id="1">
    <w:p w:rsidR="0077243E" w:rsidRDefault="00484C21">
      <w:r>
        <w:rPr>
          <w:vertAlign w:val="superscript"/>
        </w:rPr>
        <w:t>1</w:t>
      </w:r>
      <w:r>
        <w:t>) § 7 zákona č. 292/2014 Z. z. o príspevku poskytovanom z európskych štrukturálnych a investičných fondov a o zmene a doplnení niektorých zákonov v znení neskorších predpisov.</w:t>
      </w:r>
    </w:p>
  </w:footnote>
  <w:footnote w:id="2">
    <w:p w:rsidR="0077243E" w:rsidRDefault="00484C21">
      <w:r>
        <w:rPr>
          <w:vertAlign w:val="superscript"/>
        </w:rPr>
        <w:t>2</w:t>
      </w:r>
      <w:r>
        <w:t>) § 10 zákona č. 543/2007 Z. z. o pôsobnosti orgánov štátnej správy pri poskytovaní podpory v pôdohospodárstve a rozvoji vidieka.</w:t>
      </w:r>
    </w:p>
  </w:footnote>
  <w:footnote w:id="3">
    <w:p w:rsidR="0077243E" w:rsidRDefault="00484C21">
      <w:r>
        <w:rPr>
          <w:vertAlign w:val="superscript"/>
        </w:rPr>
        <w:t>3</w:t>
      </w:r>
      <w:r>
        <w:t>) Čl. 4 a Príloha I, časť 3 a 4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w:t>
      </w:r>
    </w:p>
  </w:footnote>
  <w:footnote w:id="4">
    <w:p w:rsidR="0077243E" w:rsidRDefault="00484C21">
      <w:r>
        <w:rPr>
          <w:vertAlign w:val="superscript"/>
        </w:rPr>
        <w:t>4</w:t>
      </w:r>
      <w:r>
        <w:t>) Čl. 4 ods. 2 nariadenia (EÚ) č. 1303/2013.</w:t>
      </w:r>
    </w:p>
  </w:footnote>
  <w:footnote w:id="5">
    <w:p w:rsidR="00175CF0" w:rsidRDefault="00175CF0" w:rsidP="00175CF0">
      <w:pPr>
        <w:pStyle w:val="Textpoznmkypodiarou"/>
        <w:rPr>
          <w:sz w:val="16"/>
          <w:szCs w:val="16"/>
        </w:rPr>
      </w:pPr>
      <w:r>
        <w:rPr>
          <w:rStyle w:val="Odkaznapoznmkupodiarou"/>
          <w:sz w:val="16"/>
          <w:szCs w:val="16"/>
        </w:rPr>
        <w:footnoteRef/>
      </w:r>
      <w:r>
        <w:rPr>
          <w:sz w:val="16"/>
          <w:szCs w:val="16"/>
        </w:rPr>
        <w:t xml:space="preserve"> </w:t>
      </w:r>
      <w:r>
        <w:rPr>
          <w:sz w:val="16"/>
          <w:szCs w:val="16"/>
        </w:rPr>
        <w:t>pre OP RH</w:t>
      </w:r>
    </w:p>
  </w:footnote>
  <w:footnote w:id="6">
    <w:p w:rsidR="00175CF0" w:rsidRDefault="00175CF0" w:rsidP="00175CF0">
      <w:pPr>
        <w:pStyle w:val="Textpoznmkypodiarou"/>
        <w:rPr>
          <w:sz w:val="16"/>
          <w:szCs w:val="16"/>
        </w:rPr>
      </w:pPr>
      <w:r>
        <w:rPr>
          <w:rStyle w:val="Odkaznapoznmkupodiarou"/>
          <w:sz w:val="16"/>
          <w:szCs w:val="16"/>
        </w:rPr>
        <w:footnoteRef/>
      </w:r>
      <w:r>
        <w:rPr>
          <w:sz w:val="16"/>
          <w:szCs w:val="16"/>
        </w:rPr>
        <w:t xml:space="preserve"> </w:t>
      </w:r>
      <w:r>
        <w:rPr>
          <w:sz w:val="16"/>
          <w:szCs w:val="16"/>
        </w:rPr>
        <w:t>pre PRV</w:t>
      </w:r>
    </w:p>
  </w:footnote>
  <w:footnote w:id="7">
    <w:p w:rsidR="00175CF0" w:rsidRDefault="00175CF0" w:rsidP="00175CF0">
      <w:pPr>
        <w:pStyle w:val="Textpoznmkypodiarou"/>
        <w:rPr>
          <w:sz w:val="16"/>
          <w:szCs w:val="16"/>
        </w:rPr>
      </w:pPr>
      <w:r>
        <w:rPr>
          <w:rStyle w:val="Odkaznapoznmkupodiarou"/>
          <w:sz w:val="16"/>
          <w:szCs w:val="16"/>
        </w:rPr>
        <w:footnoteRef/>
      </w:r>
      <w:r>
        <w:rPr>
          <w:sz w:val="16"/>
          <w:szCs w:val="16"/>
        </w:rPr>
        <w:t xml:space="preserve"> </w:t>
      </w:r>
      <w:r>
        <w:rPr>
          <w:sz w:val="16"/>
          <w:szCs w:val="16"/>
        </w:rPr>
        <w:t>výstup/ výsledok/ KVK/ finančný</w:t>
      </w:r>
    </w:p>
  </w:footnote>
  <w:footnote w:id="8">
    <w:p w:rsidR="00175CF0" w:rsidRDefault="00175CF0" w:rsidP="00175CF0">
      <w:pPr>
        <w:pStyle w:val="Textpoznmkypodiarou"/>
        <w:rPr>
          <w:sz w:val="16"/>
          <w:szCs w:val="16"/>
        </w:rPr>
      </w:pPr>
      <w:r>
        <w:rPr>
          <w:rStyle w:val="Odkaznapoznmkupodiarou"/>
          <w:sz w:val="16"/>
          <w:szCs w:val="16"/>
        </w:rPr>
        <w:footnoteRef/>
      </w:r>
      <w:r>
        <w:rPr>
          <w:sz w:val="16"/>
          <w:szCs w:val="16"/>
        </w:rPr>
        <w:t xml:space="preserve"> </w:t>
      </w:r>
      <w:r>
        <w:rPr>
          <w:sz w:val="16"/>
          <w:szCs w:val="16"/>
        </w:rPr>
        <w:t>nepovinné</w:t>
      </w:r>
    </w:p>
  </w:footnote>
  <w:footnote w:id="9">
    <w:p w:rsidR="00175CF0" w:rsidRDefault="00175CF0" w:rsidP="00175CF0">
      <w:pPr>
        <w:pStyle w:val="Textpoznmkypodiarou"/>
        <w:rPr>
          <w:sz w:val="16"/>
          <w:szCs w:val="16"/>
        </w:rPr>
      </w:pPr>
      <w:r>
        <w:rPr>
          <w:rStyle w:val="Odkaznapoznmkupodiarou"/>
          <w:sz w:val="16"/>
          <w:szCs w:val="16"/>
        </w:rPr>
        <w:footnoteRef/>
      </w:r>
      <w:r>
        <w:rPr>
          <w:sz w:val="16"/>
          <w:szCs w:val="16"/>
        </w:rPr>
        <w:t xml:space="preserve"> </w:t>
      </w:r>
      <w:r>
        <w:rPr>
          <w:sz w:val="16"/>
          <w:szCs w:val="16"/>
        </w:rPr>
        <w:t>pre OP RH</w:t>
      </w:r>
    </w:p>
  </w:footnote>
  <w:footnote w:id="10">
    <w:p w:rsidR="00175CF0" w:rsidRDefault="00175CF0" w:rsidP="00175CF0">
      <w:pPr>
        <w:pStyle w:val="Textpoznmkypodiarou"/>
        <w:rPr>
          <w:sz w:val="16"/>
          <w:szCs w:val="16"/>
        </w:rPr>
      </w:pPr>
      <w:r>
        <w:rPr>
          <w:rStyle w:val="Odkaznapoznmkupodiarou"/>
          <w:sz w:val="16"/>
          <w:szCs w:val="16"/>
        </w:rPr>
        <w:footnoteRef/>
      </w:r>
      <w:r>
        <w:rPr>
          <w:sz w:val="16"/>
          <w:szCs w:val="16"/>
        </w:rPr>
        <w:t xml:space="preserve"> </w:t>
      </w:r>
      <w:r>
        <w:rPr>
          <w:sz w:val="16"/>
          <w:szCs w:val="16"/>
        </w:rPr>
        <w:t>pre PRV</w:t>
      </w:r>
    </w:p>
  </w:footnote>
  <w:footnote w:id="11">
    <w:p w:rsidR="00175CF0" w:rsidRDefault="00175CF0" w:rsidP="00175CF0">
      <w:pPr>
        <w:pStyle w:val="Textpoznmkypodiarou"/>
        <w:rPr>
          <w:sz w:val="16"/>
          <w:szCs w:val="16"/>
        </w:rPr>
      </w:pPr>
      <w:r>
        <w:rPr>
          <w:rStyle w:val="Odkaznapoznmkupodiarou"/>
          <w:sz w:val="16"/>
          <w:szCs w:val="16"/>
        </w:rPr>
        <w:footnoteRef/>
      </w:r>
      <w:r>
        <w:rPr>
          <w:sz w:val="16"/>
          <w:szCs w:val="16"/>
        </w:rPr>
        <w:t xml:space="preserve"> </w:t>
      </w:r>
      <w:r>
        <w:rPr>
          <w:sz w:val="16"/>
          <w:szCs w:val="16"/>
        </w:rPr>
        <w:t>nepovinné</w:t>
      </w:r>
    </w:p>
  </w:footnote>
  <w:footnote w:id="12">
    <w:p w:rsidR="00175CF0" w:rsidRDefault="00175CF0" w:rsidP="00175CF0">
      <w:pPr>
        <w:pStyle w:val="Textpoznmkypodiarou"/>
        <w:rPr>
          <w:sz w:val="16"/>
          <w:szCs w:val="16"/>
        </w:rPr>
      </w:pPr>
      <w:r>
        <w:rPr>
          <w:rStyle w:val="Odkaznapoznmkupodiarou"/>
          <w:sz w:val="16"/>
          <w:szCs w:val="16"/>
        </w:rPr>
        <w:footnoteRef/>
      </w:r>
      <w:r>
        <w:rPr>
          <w:sz w:val="16"/>
          <w:szCs w:val="16"/>
        </w:rPr>
        <w:t xml:space="preserve"> </w:t>
      </w:r>
      <w:r>
        <w:rPr>
          <w:sz w:val="16"/>
          <w:szCs w:val="16"/>
        </w:rPr>
        <w:t>pre OP RH</w:t>
      </w:r>
    </w:p>
  </w:footnote>
  <w:footnote w:id="13">
    <w:p w:rsidR="00175CF0" w:rsidRDefault="00175CF0" w:rsidP="00175CF0">
      <w:pPr>
        <w:pStyle w:val="Textpoznmkypodiarou"/>
        <w:rPr>
          <w:sz w:val="16"/>
          <w:szCs w:val="16"/>
        </w:rPr>
      </w:pPr>
      <w:r>
        <w:rPr>
          <w:rStyle w:val="Odkaznapoznmkupodiarou"/>
          <w:sz w:val="16"/>
          <w:szCs w:val="16"/>
        </w:rPr>
        <w:footnoteRef/>
      </w:r>
      <w:r>
        <w:rPr>
          <w:sz w:val="16"/>
          <w:szCs w:val="16"/>
        </w:rPr>
        <w:t xml:space="preserve"> </w:t>
      </w:r>
      <w:r>
        <w:rPr>
          <w:sz w:val="16"/>
          <w:szCs w:val="16"/>
        </w:rPr>
        <w:t>pre PRV</w:t>
      </w:r>
    </w:p>
  </w:footnote>
  <w:footnote w:id="14">
    <w:p w:rsidR="00175CF0" w:rsidRDefault="00175CF0" w:rsidP="00175CF0">
      <w:pPr>
        <w:pStyle w:val="Textpoznmkypodiarou"/>
        <w:rPr>
          <w:sz w:val="16"/>
          <w:szCs w:val="16"/>
        </w:rPr>
      </w:pPr>
      <w:r>
        <w:rPr>
          <w:rStyle w:val="Odkaznapoznmkupodiarou"/>
          <w:sz w:val="16"/>
          <w:szCs w:val="16"/>
        </w:rPr>
        <w:footnoteRef/>
      </w:r>
      <w:r>
        <w:rPr>
          <w:sz w:val="16"/>
          <w:szCs w:val="16"/>
        </w:rPr>
        <w:t xml:space="preserve"> </w:t>
      </w:r>
      <w:r>
        <w:rPr>
          <w:sz w:val="16"/>
          <w:szCs w:val="16"/>
        </w:rPr>
        <w:t>nepovinné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3E"/>
    <w:rsid w:val="00175CF0"/>
    <w:rsid w:val="00202011"/>
    <w:rsid w:val="00484C21"/>
    <w:rsid w:val="005450D1"/>
    <w:rsid w:val="0077243E"/>
    <w:rsid w:val="00927153"/>
    <w:rsid w:val="009856A1"/>
    <w:rsid w:val="00D85C28"/>
    <w:rsid w:val="00F20F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FBBF4-075B-473A-8DF9-C916734A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75CF0"/>
  </w:style>
  <w:style w:type="character" w:customStyle="1" w:styleId="TextpoznmkypodiarouChar">
    <w:name w:val="Text poznámky pod čiarou Char"/>
    <w:basedOn w:val="Predvolenpsmoodseku"/>
    <w:link w:val="Textpoznmkypodiarou"/>
    <w:uiPriority w:val="99"/>
    <w:semiHidden/>
    <w:rsid w:val="00175CF0"/>
  </w:style>
  <w:style w:type="character" w:styleId="Odkaznapoznmkupodiarou">
    <w:name w:val="footnote reference"/>
    <w:uiPriority w:val="99"/>
    <w:semiHidden/>
    <w:unhideWhenUsed/>
    <w:rsid w:val="00175CF0"/>
    <w:rPr>
      <w:vertAlign w:val="superscript"/>
    </w:rPr>
  </w:style>
  <w:style w:type="paragraph" w:styleId="Textbubliny">
    <w:name w:val="Balloon Text"/>
    <w:basedOn w:val="Normlny"/>
    <w:link w:val="TextbublinyChar"/>
    <w:uiPriority w:val="99"/>
    <w:semiHidden/>
    <w:unhideWhenUsed/>
    <w:rsid w:val="00F20F05"/>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32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y_material"/>
    <f:field ref="objsubject" par="" edit="true" text=""/>
    <f:field ref="objcreatedby" par="" text="Barna, Tibor"/>
    <f:field ref="objcreatedat" par="" text="10.8.2016 13:25:19"/>
    <f:field ref="objchangedby" par="" text="Administrator, System"/>
    <f:field ref="objmodifiedat" par="" text="10.8.2016 13:25: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2658</Words>
  <Characters>15151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Semanco Martin</cp:lastModifiedBy>
  <cp:revision>2</cp:revision>
  <cp:lastPrinted>2016-08-10T11:53:00Z</cp:lastPrinted>
  <dcterms:created xsi:type="dcterms:W3CDTF">2016-08-10T11:59:00Z</dcterms:created>
  <dcterms:modified xsi:type="dcterms:W3CDTF">2016-08-10T11:59:00Z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&lt;p&gt;Návrh nariadenia vlády Slovenskej republiky ktorým sa ustanovuje systém uplatňovania niektorých právomocí Úradu podpredsedu vlády Slovenskej republiky pre investície a informatizáciu nebol&amp;nbsp;predmetom prerokovania s verejnosťou&amp;nbsp;vzhľadom na skut</vt:lpwstr>
  </property>
  <property fmtid="{D5CDD505-2E9C-101B-9397-08002B2CF9AE}" pid="3" name="FSC#SKEDITIONSLOVLEX@103.510:typpredpis">
    <vt:lpwstr>Nariadenie vlády Slovenskej republiky</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Štátna správa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Tibor Barna</vt:lpwstr>
  </property>
  <property fmtid="{D5CDD505-2E9C-101B-9397-08002B2CF9AE}" pid="12" name="FSC#SKEDITIONSLOVLEX@103.510:zodppredkladatel">
    <vt:lpwstr>Peter Pellegrini</vt:lpwstr>
  </property>
  <property fmtid="{D5CDD505-2E9C-101B-9397-08002B2CF9AE}" pid="13" name="FSC#SKEDITIONSLOVLEX@103.510:dalsipredkladatel">
    <vt:lpwstr/>
  </property>
  <property fmtid="{D5CDD505-2E9C-101B-9397-08002B2CF9AE}" pid="14" name="FSC#SKEDITIONSLOVLEX@103.510:nazovpredpis">
    <vt:lpwstr> ktorým sa ustanovuje systém uplatňovania niektorých právomocí Úradu podpredsedu vlády Slovenskej republiky pre investície a informatizáciu</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podpredsedu vlády Slovenskej republiky pre investície a informatizáciu</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6 ods. 4 zákona č. 292/2014 Z. z. o príspevku poskytovanom z európskych štrukturálnych a investičných fondov a o zmene a doplnení niektorých zákonov v znení zákona č. 171/2016 Z. z.</vt:lpwstr>
  </property>
  <property fmtid="{D5CDD505-2E9C-101B-9397-08002B2CF9AE}" pid="23" name="FSC#SKEDITIONSLOVLEX@103.510:plnynazovpredpis">
    <vt:lpwstr> Nariadenie vlády  Slovenskej republiky ktorým sa ustanovuje systém uplatňovania niektorých právomocí Úradu podpredsedu vlády Slovenskej republiky pre investície a informatizáciu</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5971/2016/OM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LP/2016/522</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upravená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Úrad vlády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Nerelevantné.</vt:lpwstr>
  </property>
  <property fmtid="{D5CDD505-2E9C-101B-9397-08002B2CF9AE}" pid="66" name="FSC#SKEDITIONSLOVLEX@103.510:AttrStrListDocPropAltRiesenia">
    <vt:lpwstr>Alternatívne riešenia neboli posudzované.</vt:lpwstr>
  </property>
  <property fmtid="{D5CDD505-2E9C-101B-9397-08002B2CF9AE}" pid="67" name="FSC#SKEDITIONSLOVLEX@103.510:AttrStrListDocPropStanoviskoGest">
    <vt:lpwstr>Nerelevantné.</vt:lpwstr>
  </property>
  <property fmtid="{D5CDD505-2E9C-101B-9397-08002B2CF9AE}" pid="68" name="FSC#SKEDITIONSLOVLEX@103.510:AttrStrListDocPropTextKomunike">
    <vt:lpwstr>Vláda Slovenskej republiky na svojom rokovaní dňa ....................... prerokovala a schválila návrh nariadenia vlády Slovenskej republiky ktorým sa ustanovuje systém uplatňovania niektorých právomocí Úradu podpredsedu vlády Slovenskej republiky pre in</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 pre investície a informatizáciu</vt:lpwstr>
  </property>
  <property fmtid="{D5CDD505-2E9C-101B-9397-08002B2CF9AE}" pid="142" name="FSC#SKEDITIONSLOVLEX@103.510:funkciaZodpPredAkuzativ">
    <vt:lpwstr>podpredsedu vlády Slovenskej republiky pre investície a informatizáciu</vt:lpwstr>
  </property>
  <property fmtid="{D5CDD505-2E9C-101B-9397-08002B2CF9AE}" pid="143" name="FSC#SKEDITIONSLOVLEX@103.510:funkciaZodpPredDativ">
    <vt:lpwstr>podpredsedovi vlády Slovenskej republiky pre investície a informatizáciu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Peter Pellegrini_x000d_
podpredseda vlády Slovenskej republiky pre investície a informatizáciu</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 0cm 0cm 0pt; text-align: justify; -ms-text-justify: inter-ideograph;"&gt;Návrh nariadenia vlády, ktorým sa ustanovuje systém uplatňovania niektorých právomocí Úradu podpredsedu vlády Slovenskej republiky pre investície a&amp;nbsp;informatizáciu</vt:lpwstr>
  </property>
  <property fmtid="{D5CDD505-2E9C-101B-9397-08002B2CF9AE}" pid="150" name="FSC#COOSYSTEM@1.1:Container">
    <vt:lpwstr>COO.2145.1000.3.1564155</vt:lpwstr>
  </property>
  <property fmtid="{D5CDD505-2E9C-101B-9397-08002B2CF9AE}" pid="151" name="FSC#FSCFOLIO@1.1001:docpropproject">
    <vt:lpwstr/>
  </property>
</Properties>
</file>