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42568A">
        <w:rPr>
          <w:rFonts w:ascii="Arial Narrow" w:hAnsi="Arial Narrow" w:cs="Arial Narrow"/>
          <w:b/>
          <w:bCs/>
        </w:rPr>
        <w:t xml:space="preserve"> 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445B28">
        <w:rPr>
          <w:rFonts w:ascii="Arial Narrow" w:hAnsi="Arial Narrow" w:cs="Arial Narrow"/>
          <w:b/>
          <w:sz w:val="32"/>
          <w:szCs w:val="32"/>
        </w:rPr>
        <w:t>3</w:t>
      </w:r>
      <w:r w:rsidR="00A028B2">
        <w:rPr>
          <w:rFonts w:ascii="Arial Narrow" w:hAnsi="Arial Narrow" w:cs="Arial Narrow"/>
          <w:b/>
          <w:sz w:val="32"/>
          <w:szCs w:val="32"/>
        </w:rPr>
        <w:t>1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9E054D" w:rsidRDefault="009E054D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Default="00E20BB8" w:rsidP="007D17D0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</w:p>
    <w:p w:rsidR="004C3A97" w:rsidRDefault="00F46687" w:rsidP="004C1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 w:rsidRPr="007D17D0">
        <w:rPr>
          <w:rFonts w:ascii="Arial Narrow" w:hAnsi="Arial Narrow" w:cs="Arial Narrow"/>
          <w:b/>
          <w:bCs/>
        </w:rPr>
        <w:t>k</w:t>
      </w:r>
      <w:r w:rsidR="00517D81">
        <w:rPr>
          <w:rFonts w:ascii="Arial Narrow" w:hAnsi="Arial Narrow" w:cs="Arial Narrow"/>
          <w:b/>
          <w:bCs/>
        </w:rPr>
        <w:t xml:space="preserve"> Návrhu </w:t>
      </w:r>
      <w:r w:rsidR="00C61DEB" w:rsidRPr="00C61DEB">
        <w:rPr>
          <w:rFonts w:ascii="Arial Narrow" w:hAnsi="Arial Narrow" w:cs="Arial Narrow"/>
          <w:b/>
          <w:bCs/>
        </w:rPr>
        <w:t>zákona, ktorým sa mení a dopĺňa zákon č. 129/2010 Z. z. o spotrebiteľských úveroch a o iných úveroch a pôžičkách pre spotrebiteľov a o zmene a doplnení niektorých zákonov v znení neskorších predpisov a ktorým sa menia a dopĺňajú niektoré zákony</w:t>
      </w:r>
      <w:r w:rsidR="00282E0C">
        <w:rPr>
          <w:rFonts w:ascii="Arial Narrow" w:hAnsi="Arial Narrow" w:cs="Arial Narrow"/>
          <w:b/>
          <w:bCs/>
        </w:rPr>
        <w:t>.</w:t>
      </w:r>
    </w:p>
    <w:p w:rsidR="004C3A97" w:rsidRDefault="004C3A97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 xml:space="preserve">Návrh zákona, ktorým sa mení a dopĺňa zákon č. 129/2010 Z. z. o spotrebiteľských úveroch a o iných úveroch a pôžičkách pre spotrebiteľov a o zmene a doplnení niektorých zákonov v znení neskorších predpisov a ktorým sa menia a dopĺňajú niektoré zákony(ďalej len „návrh zákona o spotrebiteľských úveroch“) sa predkladá v súlade s Legislatívnym plánom úloh na rok 2016. Materiálom sa sleduje zámer upraviť minimálny okruh </w:t>
      </w:r>
      <w:proofErr w:type="spellStart"/>
      <w:r w:rsidRPr="00C61DEB">
        <w:rPr>
          <w:rFonts w:ascii="Arial Narrow" w:eastAsia="Times New Roman" w:hAnsi="Arial Narrow"/>
          <w:color w:val="000000"/>
          <w:lang w:eastAsia="sk-SK"/>
        </w:rPr>
        <w:t>regulatórnych</w:t>
      </w:r>
      <w:proofErr w:type="spellEnd"/>
      <w:r w:rsidRPr="00C61DEB">
        <w:rPr>
          <w:rFonts w:ascii="Arial Narrow" w:eastAsia="Times New Roman" w:hAnsi="Arial Narrow"/>
          <w:color w:val="000000"/>
          <w:lang w:eastAsia="sk-SK"/>
        </w:rPr>
        <w:t>  požiadaviek za účelom obozretného poskytovania spotrebiteľských úverov veriteľmi a zohľadniť vzniknuté nedostatky vyplývajúce z aplikačnej praxe v tejto oblasti.</w:t>
      </w:r>
    </w:p>
    <w:p w:rsidR="00C61DEB" w:rsidRPr="00C61DEB" w:rsidRDefault="00C61DEB" w:rsidP="00C61DEB">
      <w:pPr>
        <w:adjustRightInd w:val="0"/>
        <w:spacing w:after="0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 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Spotrebiteľské úvery tvoria významný podiel na celkovom poskytovaní úverov v rámci ekonomiky  Slovenskej republiky. V oblasti  spotrebiteľských úverov je aktuálne zaznamenaný  ich vysoký nárast. Objem spotrebiteľských úverov poskytnutých veriteľmi za obdobie posledného roka dosiahol medziročný rast 12 % až 15 %. Z pohľadu stability slovenského finančného sektora je preto nevyhnutné, aby bol tento rast postavený na zdravých a udržateľných základoch, a nebol len dôsledkom neobozretného uvoľňovania (zmierňovania) podmienok poskytovania spotrebiteľských úverov veriteľmi, ktoré bolo v mnohých prípadoch identifikované ako negatívny dopad na spotrebiteľa.</w:t>
      </w:r>
    </w:p>
    <w:p w:rsidR="00C61DEB" w:rsidRPr="00C61DEB" w:rsidRDefault="00C61DEB" w:rsidP="00C61DEB">
      <w:pPr>
        <w:adjustRightInd w:val="0"/>
        <w:spacing w:after="0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 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 xml:space="preserve">Cieľom návrhu zákona o spotrebiteľských úveroch je legislatívna aplikácia existujúceho Odporúčania Národnej banky Slovenska č. 1/2014 zo 7. októbra 2014 v oblasti politiky obozretnosti na makroúrovni k rizikám spojeným s vývojom na trhu </w:t>
      </w:r>
      <w:proofErr w:type="spellStart"/>
      <w:r w:rsidRPr="00C61DEB">
        <w:rPr>
          <w:rFonts w:ascii="Arial Narrow" w:eastAsia="Times New Roman" w:hAnsi="Arial Narrow"/>
          <w:color w:val="000000"/>
          <w:lang w:eastAsia="sk-SK"/>
        </w:rPr>
        <w:t>retailových</w:t>
      </w:r>
      <w:proofErr w:type="spellEnd"/>
      <w:r w:rsidRPr="00C61DEB">
        <w:rPr>
          <w:rFonts w:ascii="Arial Narrow" w:eastAsia="Times New Roman" w:hAnsi="Arial Narrow"/>
          <w:color w:val="000000"/>
          <w:lang w:eastAsia="sk-SK"/>
        </w:rPr>
        <w:t xml:space="preserve"> úverov, ktoré už v súčasnosti platí pre banky poskytujúce spotrebiteľské úvery. Keďže toto odporúčanie nemá pre banky záväzný (vynútiteľný) charakter, nie je možné zo strany NBS vykonávať dohľad nad jeho plnením a taktiež nie je možné  za jeho porušenie uplatňovať opatrenia na nápravu a pokuty, čo sa jeho implementáciou do slovenského právneho poriadku zmení. 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 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Zároveň sa tým dosiahne rozšírenie uplatňovania týchto pravidiel pre všetkých poskytovateľov spotrebiteľských úverov, vrátane takých poskytovateľov spotrebiteľských úverov, ktorí nie sú bankami a ktorí tvoria nezanedbateľný podiel na trhu spotrebiteľských úverov.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 </w:t>
      </w:r>
    </w:p>
    <w:p w:rsidR="00C61DEB" w:rsidRPr="00C61DEB" w:rsidRDefault="00C61DEB" w:rsidP="00C61DEB">
      <w:pPr>
        <w:adjustRightInd w:val="0"/>
        <w:spacing w:after="0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Návrh zákona o spotrebiteľských úveroch obsahuje predovšetkým špecifikáciu obozretných zásad pre poskytovanie spotrebiteľských úverov v oblasti stanovenia a dodržiavania limitov pre ukazovateľ schopnosti spotrebiteľa splácať spotrebiteľské  úvery, overovania príjmov spotrebiteľa, obozretného stanovenia, dodržiavania limitov a pravidiel pre maximálnu splatnosť a spôsob splácania spotrebiteľského úveru a špecifikáciu obozretných pravidiel pre poskytovanie spotrebiteľských úverov prostredníctvom finančných sprostredkovateľov.    </w:t>
      </w:r>
    </w:p>
    <w:p w:rsidR="00C61DEB" w:rsidRPr="00C61DEB" w:rsidRDefault="00C61DEB" w:rsidP="00C61DEB">
      <w:pPr>
        <w:widowControl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lang w:eastAsia="sk-SK"/>
        </w:rPr>
      </w:pPr>
    </w:p>
    <w:p w:rsidR="00C61DEB" w:rsidRPr="00C61DEB" w:rsidRDefault="00C61DEB" w:rsidP="00C61DEB">
      <w:pPr>
        <w:widowControl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lastRenderedPageBreak/>
        <w:t xml:space="preserve">Súčasťou  predmetného zákona je aj úprava návrhu zákona o úveroch na bývanie a zákona o bankách, za účelom zosúladenia vecne súvisiacich ustanovení s navrhovanou novelou zákona o spotrebiteľských úveroch. </w:t>
      </w:r>
    </w:p>
    <w:p w:rsidR="00C61DEB" w:rsidRPr="00C61DEB" w:rsidRDefault="00C61DEB" w:rsidP="00C61DEB">
      <w:pPr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lang w:eastAsia="sk-SK"/>
        </w:rPr>
      </w:pP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 xml:space="preserve">Návrh zákona o spotrebiteľských úveroch je v súlade s Ústavou Slovenskej republiky, ústavnými zákonmi, inými zákonmi a ostatnými všeobecne záväznými právnymi predpismi Slovenskej republiky, s právom Európskej únie a s medzinárodnými zmluvami, ktorými je Slovenská republika viazaná. Návrh zákona nie je predmetom </w:t>
      </w:r>
      <w:proofErr w:type="spellStart"/>
      <w:r w:rsidRPr="00C61DEB">
        <w:rPr>
          <w:rFonts w:ascii="Arial Narrow" w:eastAsia="Times New Roman" w:hAnsi="Arial Narrow"/>
          <w:color w:val="000000"/>
          <w:lang w:eastAsia="sk-SK"/>
        </w:rPr>
        <w:t>vnútrokomunitárneho</w:t>
      </w:r>
      <w:proofErr w:type="spellEnd"/>
      <w:r w:rsidRPr="00C61DEB">
        <w:rPr>
          <w:rFonts w:ascii="Arial Narrow" w:eastAsia="Times New Roman" w:hAnsi="Arial Narrow"/>
          <w:color w:val="000000"/>
          <w:lang w:eastAsia="sk-SK"/>
        </w:rPr>
        <w:t xml:space="preserve"> pripomienkového konania.</w:t>
      </w: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Prijatie zákona a jeho aplikácia nebude mať vplyvy na rozpočet verejnej správy, vplyvy na informatizáciu, vplyvy na životné prostredie a vplyvy na služby verejnej správy pre občana. Očakávajú sa pozitívne ako aj negatívne vplyvy na podnikateľské prostredie a pozitívne vplyvy na sociálne prostredie. </w:t>
      </w: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lang w:eastAsia="sk-SK"/>
        </w:rPr>
      </w:pPr>
      <w:bookmarkStart w:id="0" w:name="_GoBack"/>
      <w:bookmarkEnd w:id="0"/>
      <w:r w:rsidRPr="00C61DEB">
        <w:rPr>
          <w:rFonts w:ascii="Arial Narrow" w:eastAsia="Times New Roman" w:hAnsi="Arial Narrow"/>
          <w:lang w:eastAsia="sk-SK"/>
        </w:rPr>
        <w:t>Návrh zákona sa predkladá na rokovanie Hospodárskej a sociálnej rady SR.</w:t>
      </w: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lang w:eastAsia="sk-SK"/>
        </w:rPr>
      </w:pP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lang w:eastAsia="sk-SK"/>
        </w:rPr>
      </w:pPr>
      <w:r w:rsidRPr="00C61DEB">
        <w:rPr>
          <w:rFonts w:ascii="Arial Narrow" w:eastAsia="Times New Roman" w:hAnsi="Arial Narrow"/>
          <w:lang w:eastAsia="sk-SK"/>
        </w:rPr>
        <w:t>Návrh zákona sa predkladá na rokovanie Hospodárskej a sociálnej rady po medzirezortnom pripomienkovom konaní bez rozporov. V rámci medzirezortného pripomienkového konania si uplatnili dotknuté subjekty uplatnili pripomienky v počte 192 z toho 68 zásadných.</w:t>
      </w:r>
    </w:p>
    <w:p w:rsidR="00C61DEB" w:rsidRPr="00C61DEB" w:rsidRDefault="00C61DEB" w:rsidP="00C61DEB">
      <w:pPr>
        <w:adjustRightInd w:val="0"/>
        <w:spacing w:after="0" w:line="240" w:lineRule="auto"/>
        <w:ind w:firstLine="708"/>
        <w:jc w:val="both"/>
        <w:rPr>
          <w:rFonts w:ascii="Arial Narrow" w:eastAsia="Times New Roman" w:hAnsi="Arial Narrow"/>
          <w:color w:val="000000"/>
          <w:lang w:eastAsia="sk-SK"/>
        </w:rPr>
      </w:pPr>
    </w:p>
    <w:p w:rsidR="00C61DEB" w:rsidRPr="00C61DEB" w:rsidRDefault="00C61DEB" w:rsidP="00C61DEB">
      <w:pPr>
        <w:adjustRightInd w:val="0"/>
        <w:spacing w:after="280" w:afterAutospacing="1" w:line="240" w:lineRule="auto"/>
        <w:ind w:firstLine="708"/>
        <w:rPr>
          <w:rFonts w:ascii="Arial Narrow" w:eastAsia="Times New Roman" w:hAnsi="Arial Narrow"/>
          <w:color w:val="000000"/>
          <w:lang w:eastAsia="sk-SK"/>
        </w:rPr>
      </w:pPr>
      <w:r w:rsidRPr="00C61DEB">
        <w:rPr>
          <w:rFonts w:ascii="Arial Narrow" w:eastAsia="Times New Roman" w:hAnsi="Arial Narrow"/>
          <w:color w:val="000000"/>
          <w:lang w:eastAsia="sk-SK"/>
        </w:rPr>
        <w:t>Tento zákon nadobúda účinnosť 1. januára 2017 okrem čl. I bodov 2, 3 a 8, ktoré nadobúdajú účinnosť 1. júna 2017. </w:t>
      </w: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800AF3" w:rsidRDefault="00800AF3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361A42">
        <w:rPr>
          <w:rFonts w:ascii="Arial Narrow" w:hAnsi="Arial Narrow" w:cs="Arial Narrow"/>
          <w:bCs/>
        </w:rPr>
        <w:t xml:space="preserve">AZZZ SR berie predložený materiál na vedomie.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42568A" w:rsidRPr="002019B1" w:rsidRDefault="0042568A" w:rsidP="0042568A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odporúča materiál na ďalšie legislatívne konanie. </w:t>
      </w:r>
    </w:p>
    <w:p w:rsidR="002E7D48" w:rsidRPr="002019B1" w:rsidRDefault="002E7D48" w:rsidP="0042568A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A8" w:rsidRDefault="005617A8" w:rsidP="00C41BC3">
      <w:pPr>
        <w:spacing w:after="0" w:line="240" w:lineRule="auto"/>
      </w:pPr>
      <w:r>
        <w:separator/>
      </w:r>
    </w:p>
  </w:endnote>
  <w:endnote w:type="continuationSeparator" w:id="1">
    <w:p w:rsidR="005617A8" w:rsidRDefault="005617A8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D97081">
    <w:pPr>
      <w:pStyle w:val="Pta"/>
      <w:jc w:val="right"/>
    </w:pPr>
    <w:r>
      <w:fldChar w:fldCharType="begin"/>
    </w:r>
    <w:r w:rsidR="004F583A">
      <w:instrText xml:space="preserve"> PAGE   \* MERGEFORMAT </w:instrText>
    </w:r>
    <w:r>
      <w:fldChar w:fldCharType="separate"/>
    </w:r>
    <w:r w:rsidR="0042568A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A8" w:rsidRDefault="005617A8" w:rsidP="00C41BC3">
      <w:pPr>
        <w:spacing w:after="0" w:line="240" w:lineRule="auto"/>
      </w:pPr>
      <w:r>
        <w:separator/>
      </w:r>
    </w:p>
  </w:footnote>
  <w:footnote w:type="continuationSeparator" w:id="1">
    <w:p w:rsidR="005617A8" w:rsidRDefault="005617A8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31607"/>
    <w:rsid w:val="0004212F"/>
    <w:rsid w:val="0004222B"/>
    <w:rsid w:val="000531BA"/>
    <w:rsid w:val="000542B2"/>
    <w:rsid w:val="000A1BD9"/>
    <w:rsid w:val="000D18D8"/>
    <w:rsid w:val="000E48EB"/>
    <w:rsid w:val="00122577"/>
    <w:rsid w:val="00123DD9"/>
    <w:rsid w:val="0013266B"/>
    <w:rsid w:val="00143234"/>
    <w:rsid w:val="0019796C"/>
    <w:rsid w:val="001B1C26"/>
    <w:rsid w:val="001C2141"/>
    <w:rsid w:val="001D057E"/>
    <w:rsid w:val="001D7D22"/>
    <w:rsid w:val="001E61C1"/>
    <w:rsid w:val="002019B1"/>
    <w:rsid w:val="00205769"/>
    <w:rsid w:val="00211A30"/>
    <w:rsid w:val="00230B4C"/>
    <w:rsid w:val="00260BC9"/>
    <w:rsid w:val="002656B7"/>
    <w:rsid w:val="00282E0C"/>
    <w:rsid w:val="0029199E"/>
    <w:rsid w:val="002A66BD"/>
    <w:rsid w:val="002B0767"/>
    <w:rsid w:val="002E7D48"/>
    <w:rsid w:val="002F27C5"/>
    <w:rsid w:val="002F6731"/>
    <w:rsid w:val="00304639"/>
    <w:rsid w:val="003310CC"/>
    <w:rsid w:val="003424BF"/>
    <w:rsid w:val="00342D11"/>
    <w:rsid w:val="003446CF"/>
    <w:rsid w:val="00345F14"/>
    <w:rsid w:val="003508B5"/>
    <w:rsid w:val="003668D9"/>
    <w:rsid w:val="00376BBF"/>
    <w:rsid w:val="00381B6B"/>
    <w:rsid w:val="0039451F"/>
    <w:rsid w:val="00395515"/>
    <w:rsid w:val="003A15CB"/>
    <w:rsid w:val="003A3C97"/>
    <w:rsid w:val="003A4D74"/>
    <w:rsid w:val="003D7ECB"/>
    <w:rsid w:val="003E5572"/>
    <w:rsid w:val="003E621F"/>
    <w:rsid w:val="003F7C91"/>
    <w:rsid w:val="00405245"/>
    <w:rsid w:val="00414EAA"/>
    <w:rsid w:val="00416EA4"/>
    <w:rsid w:val="0042568A"/>
    <w:rsid w:val="004430BB"/>
    <w:rsid w:val="00445B28"/>
    <w:rsid w:val="004714B8"/>
    <w:rsid w:val="00485941"/>
    <w:rsid w:val="00487954"/>
    <w:rsid w:val="004936E7"/>
    <w:rsid w:val="004A48B0"/>
    <w:rsid w:val="004C1CE7"/>
    <w:rsid w:val="004C3A97"/>
    <w:rsid w:val="004D12A6"/>
    <w:rsid w:val="004E047E"/>
    <w:rsid w:val="004E3704"/>
    <w:rsid w:val="004F272C"/>
    <w:rsid w:val="004F2FB3"/>
    <w:rsid w:val="004F583A"/>
    <w:rsid w:val="00507E88"/>
    <w:rsid w:val="00517D81"/>
    <w:rsid w:val="00541C90"/>
    <w:rsid w:val="005456F7"/>
    <w:rsid w:val="005617A8"/>
    <w:rsid w:val="00565A5B"/>
    <w:rsid w:val="00570787"/>
    <w:rsid w:val="00580D7C"/>
    <w:rsid w:val="00592C95"/>
    <w:rsid w:val="00593364"/>
    <w:rsid w:val="00594DEF"/>
    <w:rsid w:val="00597B0E"/>
    <w:rsid w:val="005A58BF"/>
    <w:rsid w:val="005C163E"/>
    <w:rsid w:val="005D2DAB"/>
    <w:rsid w:val="005E6516"/>
    <w:rsid w:val="005E7AE6"/>
    <w:rsid w:val="005F7D12"/>
    <w:rsid w:val="00603518"/>
    <w:rsid w:val="00606DDC"/>
    <w:rsid w:val="00616218"/>
    <w:rsid w:val="00621B4A"/>
    <w:rsid w:val="006414CB"/>
    <w:rsid w:val="0064431D"/>
    <w:rsid w:val="006603E9"/>
    <w:rsid w:val="00661584"/>
    <w:rsid w:val="00664C18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3C2F"/>
    <w:rsid w:val="007453D5"/>
    <w:rsid w:val="00747B14"/>
    <w:rsid w:val="007527B5"/>
    <w:rsid w:val="00762A66"/>
    <w:rsid w:val="00762B4E"/>
    <w:rsid w:val="00767D32"/>
    <w:rsid w:val="00770697"/>
    <w:rsid w:val="00772305"/>
    <w:rsid w:val="00777957"/>
    <w:rsid w:val="0079143F"/>
    <w:rsid w:val="0079480E"/>
    <w:rsid w:val="007B24E7"/>
    <w:rsid w:val="007B6E79"/>
    <w:rsid w:val="007C3AA8"/>
    <w:rsid w:val="007D17D0"/>
    <w:rsid w:val="007D6A68"/>
    <w:rsid w:val="007E1933"/>
    <w:rsid w:val="007E26BB"/>
    <w:rsid w:val="007E44BD"/>
    <w:rsid w:val="007E51AE"/>
    <w:rsid w:val="00800AF3"/>
    <w:rsid w:val="00816346"/>
    <w:rsid w:val="00817809"/>
    <w:rsid w:val="008178BF"/>
    <w:rsid w:val="00821E84"/>
    <w:rsid w:val="00860F29"/>
    <w:rsid w:val="00861418"/>
    <w:rsid w:val="00866444"/>
    <w:rsid w:val="00886B98"/>
    <w:rsid w:val="00897CD2"/>
    <w:rsid w:val="008B3543"/>
    <w:rsid w:val="008C48BF"/>
    <w:rsid w:val="008C79E5"/>
    <w:rsid w:val="008E6C14"/>
    <w:rsid w:val="00921B49"/>
    <w:rsid w:val="00931FC9"/>
    <w:rsid w:val="009619CD"/>
    <w:rsid w:val="00972906"/>
    <w:rsid w:val="00987623"/>
    <w:rsid w:val="00993433"/>
    <w:rsid w:val="009C6FCA"/>
    <w:rsid w:val="009E054D"/>
    <w:rsid w:val="009E6320"/>
    <w:rsid w:val="009E7548"/>
    <w:rsid w:val="009F583E"/>
    <w:rsid w:val="00A028B2"/>
    <w:rsid w:val="00A1787E"/>
    <w:rsid w:val="00A305F1"/>
    <w:rsid w:val="00A34890"/>
    <w:rsid w:val="00A4072E"/>
    <w:rsid w:val="00A40F49"/>
    <w:rsid w:val="00A55AF2"/>
    <w:rsid w:val="00A62BFE"/>
    <w:rsid w:val="00A74D01"/>
    <w:rsid w:val="00A84817"/>
    <w:rsid w:val="00A84FCF"/>
    <w:rsid w:val="00AA6A95"/>
    <w:rsid w:val="00AB6189"/>
    <w:rsid w:val="00AD3C43"/>
    <w:rsid w:val="00AE5325"/>
    <w:rsid w:val="00AF3FC1"/>
    <w:rsid w:val="00B0263D"/>
    <w:rsid w:val="00B22395"/>
    <w:rsid w:val="00B430F0"/>
    <w:rsid w:val="00B85F62"/>
    <w:rsid w:val="00B925E2"/>
    <w:rsid w:val="00B97E6B"/>
    <w:rsid w:val="00BA1087"/>
    <w:rsid w:val="00BB419B"/>
    <w:rsid w:val="00BB4A7D"/>
    <w:rsid w:val="00BC2677"/>
    <w:rsid w:val="00BC4773"/>
    <w:rsid w:val="00BD121B"/>
    <w:rsid w:val="00C018B8"/>
    <w:rsid w:val="00C15D57"/>
    <w:rsid w:val="00C2298D"/>
    <w:rsid w:val="00C417B7"/>
    <w:rsid w:val="00C41BC3"/>
    <w:rsid w:val="00C61DEB"/>
    <w:rsid w:val="00C636FE"/>
    <w:rsid w:val="00C82347"/>
    <w:rsid w:val="00CC7A2B"/>
    <w:rsid w:val="00CD28CC"/>
    <w:rsid w:val="00CD381C"/>
    <w:rsid w:val="00CF6951"/>
    <w:rsid w:val="00D10568"/>
    <w:rsid w:val="00D15342"/>
    <w:rsid w:val="00D15B44"/>
    <w:rsid w:val="00D47FAC"/>
    <w:rsid w:val="00D61BB0"/>
    <w:rsid w:val="00D65E1E"/>
    <w:rsid w:val="00D6635D"/>
    <w:rsid w:val="00D77BBB"/>
    <w:rsid w:val="00D8135C"/>
    <w:rsid w:val="00D83CC2"/>
    <w:rsid w:val="00D93D18"/>
    <w:rsid w:val="00D97081"/>
    <w:rsid w:val="00DA6AD5"/>
    <w:rsid w:val="00DB291A"/>
    <w:rsid w:val="00DC32BF"/>
    <w:rsid w:val="00DE7113"/>
    <w:rsid w:val="00DF7B96"/>
    <w:rsid w:val="00E02B01"/>
    <w:rsid w:val="00E033C7"/>
    <w:rsid w:val="00E1590B"/>
    <w:rsid w:val="00E2092E"/>
    <w:rsid w:val="00E20BB8"/>
    <w:rsid w:val="00E319E5"/>
    <w:rsid w:val="00E66097"/>
    <w:rsid w:val="00E740A0"/>
    <w:rsid w:val="00E81D4D"/>
    <w:rsid w:val="00E90B0F"/>
    <w:rsid w:val="00EA065B"/>
    <w:rsid w:val="00EB5605"/>
    <w:rsid w:val="00EB60E8"/>
    <w:rsid w:val="00EC288B"/>
    <w:rsid w:val="00EE2B27"/>
    <w:rsid w:val="00EF00B3"/>
    <w:rsid w:val="00F014C0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5</cp:revision>
  <cp:lastPrinted>2015-12-04T08:12:00Z</cp:lastPrinted>
  <dcterms:created xsi:type="dcterms:W3CDTF">2016-08-06T16:47:00Z</dcterms:created>
  <dcterms:modified xsi:type="dcterms:W3CDTF">2016-08-12T06:15:00Z</dcterms:modified>
</cp:coreProperties>
</file>