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58" w:rsidRDefault="00ED6758" w:rsidP="00ED6758">
      <w:pPr>
        <w:pStyle w:val="Nadpis3"/>
        <w:keepNext w:val="0"/>
        <w:pageBreakBefore/>
        <w:widowControl w:val="0"/>
        <w:spacing w:before="0" w:after="0"/>
        <w:rPr>
          <w:lang w:eastAsia="sk-SK"/>
        </w:rPr>
      </w:pPr>
      <w:r w:rsidRPr="003213F3">
        <w:rPr>
          <w:lang w:eastAsia="sk-SK"/>
        </w:rPr>
        <w:t>Osobitná časť</w:t>
      </w:r>
    </w:p>
    <w:p w:rsidR="00ED6758" w:rsidRDefault="00ED6758" w:rsidP="00ED6758">
      <w:pPr>
        <w:widowControl w:val="0"/>
        <w:jc w:val="both"/>
        <w:rPr>
          <w:rFonts w:eastAsia="MS Mincho"/>
        </w:rPr>
      </w:pPr>
    </w:p>
    <w:p w:rsidR="00ED6758" w:rsidRPr="00270764" w:rsidRDefault="00ED6758" w:rsidP="00ED6758">
      <w:pPr>
        <w:widowControl w:val="0"/>
        <w:jc w:val="both"/>
        <w:rPr>
          <w:rFonts w:eastAsia="MS Mincho"/>
          <w:b/>
          <w:u w:val="single"/>
        </w:rPr>
      </w:pPr>
      <w:r w:rsidRPr="00270764">
        <w:rPr>
          <w:rFonts w:eastAsia="MS Mincho"/>
          <w:b/>
          <w:u w:val="single"/>
        </w:rPr>
        <w:t xml:space="preserve">K článku I </w:t>
      </w:r>
    </w:p>
    <w:p w:rsidR="00ED6758" w:rsidRPr="00270764" w:rsidRDefault="00ED6758" w:rsidP="00ED6758">
      <w:pPr>
        <w:widowControl w:val="0"/>
        <w:jc w:val="both"/>
        <w:rPr>
          <w:b/>
        </w:rPr>
      </w:pPr>
      <w:r w:rsidRPr="00270764">
        <w:rPr>
          <w:rFonts w:eastAsia="MS Mincho"/>
          <w:b/>
        </w:rPr>
        <w:t>K bodu 1:</w:t>
      </w:r>
    </w:p>
    <w:p w:rsidR="00ED6758" w:rsidRPr="00E04323" w:rsidRDefault="00ED6758" w:rsidP="00E04323">
      <w:pPr>
        <w:widowControl w:val="0"/>
        <w:jc w:val="both"/>
      </w:pPr>
      <w:r w:rsidRPr="00E04323">
        <w:t xml:space="preserve">Uvedené znenie je doplnené na základe riešenia ďalšieho použitia potravín po uplynutí dátumu minimálnej trvanlivosti v rámci </w:t>
      </w:r>
      <w:r w:rsidR="00E239BE" w:rsidRPr="00E04323">
        <w:t>tohto návrhu</w:t>
      </w:r>
      <w:r w:rsidRPr="00E04323">
        <w:t xml:space="preserve"> zákona.</w:t>
      </w:r>
    </w:p>
    <w:p w:rsidR="00ED6758" w:rsidRPr="00E04323" w:rsidRDefault="00ED6758" w:rsidP="00E04323">
      <w:pPr>
        <w:widowControl w:val="0"/>
        <w:jc w:val="both"/>
        <w:rPr>
          <w:b/>
        </w:rPr>
      </w:pPr>
      <w:r w:rsidRPr="00E04323">
        <w:rPr>
          <w:b/>
        </w:rPr>
        <w:t>K bodu 2:</w:t>
      </w:r>
    </w:p>
    <w:p w:rsidR="00ED6758" w:rsidRPr="00E04323" w:rsidRDefault="00ED6758" w:rsidP="00E04323">
      <w:pPr>
        <w:widowControl w:val="0"/>
        <w:jc w:val="both"/>
      </w:pPr>
      <w:r w:rsidRPr="00E04323">
        <w:t>Upravuje možnosť použitia potravín po uplynutí dátumu minimálnej trvanlivosti formou bezodplatného prevodu prostredníctvom charitatívnych organizácií. Sú tu ustanovené podmienky, po splnení ktorých môže charitatívna organizácia vykonávať činnosť súvisiacu s poskytovaním potravín po uplynutí dátumu minimálnej trvanlivosti na charitatívne účely. Je tu riešená aj zodpovednosť za bezpečnosť týchto potravín.</w:t>
      </w:r>
    </w:p>
    <w:p w:rsidR="00ED6758" w:rsidRPr="00E04323" w:rsidRDefault="00ED6758" w:rsidP="00E04323">
      <w:pPr>
        <w:widowControl w:val="0"/>
        <w:jc w:val="both"/>
        <w:rPr>
          <w:b/>
        </w:rPr>
      </w:pPr>
      <w:r w:rsidRPr="00E04323">
        <w:rPr>
          <w:b/>
        </w:rPr>
        <w:t>K bodu 3:</w:t>
      </w:r>
    </w:p>
    <w:p w:rsidR="00ED6758" w:rsidRPr="00E04323" w:rsidRDefault="00ED6758" w:rsidP="00E04323">
      <w:pPr>
        <w:widowControl w:val="0"/>
        <w:jc w:val="both"/>
      </w:pPr>
      <w:r w:rsidRPr="00E04323">
        <w:t>Ustanovuje povinnosť pre právnické osoby alebo fyzické osoby – podnikateľov, ktoré vykonávajú analýzu potravín (laboratóriá), bezodkladne oznámiť štátnej veterinárnej a potravinovej správe, ak pri výkone svojej činnosti zistí, že daná potravina je zdraviu škodlivá.</w:t>
      </w:r>
    </w:p>
    <w:p w:rsidR="00ED6758" w:rsidRPr="00E04323" w:rsidRDefault="00ED6758" w:rsidP="00E04323">
      <w:pPr>
        <w:widowControl w:val="0"/>
        <w:jc w:val="both"/>
        <w:rPr>
          <w:b/>
        </w:rPr>
      </w:pPr>
      <w:r w:rsidRPr="00E04323">
        <w:rPr>
          <w:b/>
        </w:rPr>
        <w:t>K bodu 4:</w:t>
      </w:r>
    </w:p>
    <w:p w:rsidR="00ED6758" w:rsidRPr="00E04323" w:rsidRDefault="00D43CAD" w:rsidP="00E04323">
      <w:pPr>
        <w:widowControl w:val="0"/>
        <w:jc w:val="both"/>
      </w:pPr>
      <w:r w:rsidRPr="00E04323">
        <w:t>Ustanovenie §7a u</w:t>
      </w:r>
      <w:r w:rsidR="00ED6758" w:rsidRPr="00E04323">
        <w:t>pravuje možnosť obmedzenia voľného pohybu potravín, ak dôjde k ohrozeniu oprávnených národných záujmov prostredníctvom nariadení vlády Slovenskej republiky.</w:t>
      </w:r>
    </w:p>
    <w:p w:rsidR="00ED6758" w:rsidRPr="00E04323" w:rsidRDefault="00ED6758" w:rsidP="00E04323">
      <w:pPr>
        <w:widowControl w:val="0"/>
        <w:jc w:val="both"/>
      </w:pPr>
      <w:r w:rsidRPr="00E04323">
        <w:t xml:space="preserve">Ustanovuje </w:t>
      </w:r>
      <w:r w:rsidR="00D43CAD" w:rsidRPr="00E04323">
        <w:t xml:space="preserve">§7b ukladá </w:t>
      </w:r>
      <w:r w:rsidRPr="00E04323">
        <w:t>povinnosť prevádzkovateľovi potravinárskeho podniku nahlásiť dodanie potravín, ako z iného členského štátu EÚ, tak aj z tretej krajiny, do elektronického systému štátnej veterinárnej a potravinovej správy, pričom je uložené ministerstvu pôdohospodárstva a rozvoja vidieka ustanoviť všeobecne záväzným právnym predpisom druhy potravín, termín a rozsah informácií, ktoré musí prevádzkovateľ potravinárskeho podniku nahlásiť.</w:t>
      </w:r>
    </w:p>
    <w:p w:rsidR="00ED6758" w:rsidRPr="00E04323" w:rsidRDefault="00D43CAD" w:rsidP="00E04323">
      <w:pPr>
        <w:widowControl w:val="0"/>
        <w:jc w:val="both"/>
        <w:rPr>
          <w:b/>
        </w:rPr>
      </w:pPr>
      <w:r w:rsidRPr="00E04323">
        <w:rPr>
          <w:b/>
        </w:rPr>
        <w:t>K bodu 5</w:t>
      </w:r>
      <w:r w:rsidR="00ED6758" w:rsidRPr="00E04323">
        <w:rPr>
          <w:b/>
        </w:rPr>
        <w:t>:</w:t>
      </w:r>
    </w:p>
    <w:p w:rsidR="00ED6758" w:rsidRPr="00E04323" w:rsidRDefault="00ED6758" w:rsidP="00E04323">
      <w:pPr>
        <w:widowControl w:val="0"/>
        <w:jc w:val="both"/>
      </w:pPr>
      <w:r w:rsidRPr="00E04323">
        <w:t xml:space="preserve">Vypúšťajú sa </w:t>
      </w:r>
      <w:r w:rsidR="00DD47BA" w:rsidRPr="00E04323">
        <w:t>duplicitné ustanovenia v zákone, nakoľko sa jeho obsah v zákone už nachádza v §4 ods. 2 písm. c).</w:t>
      </w:r>
    </w:p>
    <w:p w:rsidR="00ED6758" w:rsidRPr="00E04323" w:rsidRDefault="00D43CAD" w:rsidP="00E04323">
      <w:pPr>
        <w:widowControl w:val="0"/>
        <w:jc w:val="both"/>
        <w:rPr>
          <w:b/>
        </w:rPr>
      </w:pPr>
      <w:r w:rsidRPr="00E04323">
        <w:rPr>
          <w:b/>
        </w:rPr>
        <w:t>K bodu 6</w:t>
      </w:r>
      <w:r w:rsidR="00ED6758" w:rsidRPr="00E04323">
        <w:rPr>
          <w:b/>
        </w:rPr>
        <w:t>:</w:t>
      </w:r>
    </w:p>
    <w:p w:rsidR="00D43CAD" w:rsidRPr="00E04323" w:rsidRDefault="00ED6758" w:rsidP="00E04323">
      <w:pPr>
        <w:widowControl w:val="0"/>
        <w:jc w:val="both"/>
      </w:pPr>
      <w:r w:rsidRPr="00E04323">
        <w:t>Upravuje možnosť pre výro</w:t>
      </w:r>
      <w:r w:rsidR="00D43CAD" w:rsidRPr="00E04323">
        <w:t xml:space="preserve">bcov malých množstiev potravín neuvádzať </w:t>
      </w:r>
      <w:r w:rsidRPr="00E04323">
        <w:t>na obaloch alebo iných dokladoch o potravinách, ktoré vyrábajú uvádzať</w:t>
      </w:r>
      <w:r w:rsidR="00D43CAD" w:rsidRPr="00E04323">
        <w:t>,</w:t>
      </w:r>
      <w:r w:rsidRPr="00E04323">
        <w:t xml:space="preserve"> úda</w:t>
      </w:r>
      <w:r w:rsidR="00D43CAD" w:rsidRPr="00E04323">
        <w:t>j o výživovej hodnote potraviny. Zároveň</w:t>
      </w:r>
      <w:r w:rsidRPr="00E04323">
        <w:t xml:space="preserve"> </w:t>
      </w:r>
      <w:r w:rsidR="00D43CAD" w:rsidRPr="00E04323">
        <w:t>ustanovenie upravuje za akých podmienok je výrobca potravín považovaný za malého výrobcu potravín.</w:t>
      </w:r>
    </w:p>
    <w:p w:rsidR="00ED6758" w:rsidRPr="00E04323" w:rsidRDefault="00D43CAD" w:rsidP="00E04323">
      <w:pPr>
        <w:widowControl w:val="0"/>
        <w:jc w:val="both"/>
        <w:rPr>
          <w:b/>
        </w:rPr>
      </w:pPr>
      <w:r w:rsidRPr="00E04323">
        <w:rPr>
          <w:b/>
        </w:rPr>
        <w:t>K bodu 7</w:t>
      </w:r>
      <w:r w:rsidR="00ED6758" w:rsidRPr="00E04323">
        <w:rPr>
          <w:b/>
        </w:rPr>
        <w:t>:</w:t>
      </w:r>
    </w:p>
    <w:p w:rsidR="00ED6758" w:rsidRPr="00E04323" w:rsidRDefault="00ED6758" w:rsidP="00E04323">
      <w:pPr>
        <w:widowControl w:val="0"/>
        <w:jc w:val="both"/>
      </w:pPr>
      <w:r w:rsidRPr="00E04323">
        <w:t xml:space="preserve">Poveruje štátnu veterinárnu a potravinovú správu výkonom úradnej kontroly potravín s označením nepovinnými výrazmi kvality podľa nariadenia (EÚ) č. 1151/2012 o systémoch kvality pre poľnohospodárske výrobky a potraviny. </w:t>
      </w:r>
    </w:p>
    <w:p w:rsidR="00ED6758" w:rsidRPr="00E04323" w:rsidRDefault="00ED6758" w:rsidP="00E04323">
      <w:pPr>
        <w:widowControl w:val="0"/>
        <w:jc w:val="both"/>
        <w:rPr>
          <w:color w:val="000000"/>
        </w:rPr>
      </w:pPr>
      <w:r w:rsidRPr="00E04323">
        <w:t xml:space="preserve">Pôvodné nariadenia (ES) o zaručených tradičných špecialitách z poľnohospodárskych výrobkov a potravín a o ochrane zemepisných označení a označení pôvodu poľnohospodárskych výrobkov a potravín sa nahrádza novým nariadením Európskeho parlamentu a Rady </w:t>
      </w:r>
      <w:r w:rsidRPr="00E04323">
        <w:rPr>
          <w:color w:val="000000"/>
        </w:rPr>
        <w:t xml:space="preserve">(EÚ) č. 1151/2012 z 21. novembra 2012 o systémoch kvality pre poľnohospodárske výrobky a potraviny, ktorým sú riešené aj </w:t>
      </w:r>
      <w:r w:rsidRPr="00E04323">
        <w:t>potraviny s označením nepovinnými výrazmi kvality</w:t>
      </w:r>
      <w:r w:rsidRPr="00E04323">
        <w:rPr>
          <w:color w:val="000000"/>
        </w:rPr>
        <w:t>.</w:t>
      </w:r>
    </w:p>
    <w:p w:rsidR="00ED6758" w:rsidRPr="00E04323" w:rsidRDefault="00D43CAD" w:rsidP="00E04323">
      <w:pPr>
        <w:widowControl w:val="0"/>
        <w:jc w:val="both"/>
        <w:rPr>
          <w:b/>
        </w:rPr>
      </w:pPr>
      <w:r w:rsidRPr="00E04323">
        <w:rPr>
          <w:b/>
          <w:color w:val="000000"/>
        </w:rPr>
        <w:t>K bodu 8</w:t>
      </w:r>
      <w:r w:rsidR="00ED6758" w:rsidRPr="00E04323">
        <w:rPr>
          <w:b/>
          <w:color w:val="000000"/>
        </w:rPr>
        <w:t>:</w:t>
      </w:r>
    </w:p>
    <w:p w:rsidR="00ED6758" w:rsidRPr="00E04323" w:rsidRDefault="00ED6758" w:rsidP="00E04323">
      <w:pPr>
        <w:widowControl w:val="0"/>
        <w:jc w:val="both"/>
      </w:pPr>
      <w:r w:rsidRPr="00E04323">
        <w:t>Rozširujú sa požiadavky na prepravu potravín o zabezpečenie oddelenej prepravy nezlučiteľných druhov potravín vzájomne ovplyvňujúcich ich bezpečnosť a kvalitu.</w:t>
      </w:r>
    </w:p>
    <w:p w:rsidR="00ED6758" w:rsidRPr="00E04323" w:rsidRDefault="00D43CAD" w:rsidP="00E04323">
      <w:pPr>
        <w:widowControl w:val="0"/>
        <w:jc w:val="both"/>
        <w:rPr>
          <w:b/>
        </w:rPr>
      </w:pPr>
      <w:r w:rsidRPr="00E04323">
        <w:rPr>
          <w:b/>
        </w:rPr>
        <w:t>K bodu 9</w:t>
      </w:r>
      <w:r w:rsidR="00ED6758" w:rsidRPr="00E04323">
        <w:rPr>
          <w:b/>
        </w:rPr>
        <w:t>:</w:t>
      </w:r>
    </w:p>
    <w:p w:rsidR="00ED6758" w:rsidRPr="00E04323" w:rsidRDefault="00D43CAD" w:rsidP="00E04323">
      <w:pPr>
        <w:widowControl w:val="0"/>
        <w:jc w:val="both"/>
      </w:pPr>
      <w:r w:rsidRPr="00E04323">
        <w:t>V</w:t>
      </w:r>
      <w:r w:rsidR="00ED6758" w:rsidRPr="00E04323">
        <w:t> </w:t>
      </w:r>
      <w:r w:rsidRPr="00E04323">
        <w:t>nadväznosti na novelizačný bod 6</w:t>
      </w:r>
      <w:r w:rsidR="00ED6758" w:rsidRPr="00E04323">
        <w:t xml:space="preserve"> </w:t>
      </w:r>
      <w:r w:rsidRPr="00E04323">
        <w:t xml:space="preserve"> sa vypúšťa </w:t>
      </w:r>
      <w:r w:rsidR="00ED6758" w:rsidRPr="00E04323">
        <w:t xml:space="preserve">povinnosť poskytovania informácie </w:t>
      </w:r>
      <w:r w:rsidR="00ED6758" w:rsidRPr="00E04323">
        <w:lastRenderedPageBreak/>
        <w:t xml:space="preserve">o výživovej hodnote nebalenej potraviny alebo potraviny vyrábanej v malých množstvách v malých prevádzkarniach. </w:t>
      </w:r>
    </w:p>
    <w:p w:rsidR="00ED6758" w:rsidRPr="00E04323" w:rsidRDefault="00D43CAD" w:rsidP="00E04323">
      <w:pPr>
        <w:widowControl w:val="0"/>
        <w:jc w:val="both"/>
        <w:rPr>
          <w:b/>
        </w:rPr>
      </w:pPr>
      <w:r w:rsidRPr="00E04323">
        <w:rPr>
          <w:b/>
        </w:rPr>
        <w:t>K bodu 10</w:t>
      </w:r>
      <w:r w:rsidR="00ED6758" w:rsidRPr="00E04323">
        <w:rPr>
          <w:b/>
        </w:rPr>
        <w:t>:</w:t>
      </w:r>
    </w:p>
    <w:p w:rsidR="00ED6758" w:rsidRPr="00E04323" w:rsidRDefault="00ED6758" w:rsidP="00E04323">
      <w:pPr>
        <w:widowControl w:val="0"/>
        <w:jc w:val="both"/>
      </w:pPr>
      <w:r w:rsidRPr="00E04323">
        <w:t>Nahrádza sa povinnosť uvádzania zloženia krájanej potraviny alebo potraviny predávanej na hmotnosť uvedením len uvedením alergénov, čo je základnou informáciou pre určitú skupinu spotrebiteľov ešte pred ich rozhodnutím kúpiť si danú potravinu.</w:t>
      </w:r>
    </w:p>
    <w:p w:rsidR="00ED6758" w:rsidRPr="00E04323" w:rsidRDefault="00D43CAD" w:rsidP="00E04323">
      <w:pPr>
        <w:widowControl w:val="0"/>
        <w:jc w:val="both"/>
        <w:rPr>
          <w:b/>
        </w:rPr>
      </w:pPr>
      <w:r w:rsidRPr="00E04323">
        <w:rPr>
          <w:b/>
        </w:rPr>
        <w:t>K bodu 11</w:t>
      </w:r>
      <w:r w:rsidR="00ED6758" w:rsidRPr="00E04323">
        <w:rPr>
          <w:b/>
        </w:rPr>
        <w:t>:</w:t>
      </w:r>
    </w:p>
    <w:p w:rsidR="00ED6758" w:rsidRPr="00E04323" w:rsidRDefault="00ED6758" w:rsidP="00E04323">
      <w:pPr>
        <w:widowControl w:val="0"/>
        <w:jc w:val="both"/>
      </w:pPr>
      <w:r w:rsidRPr="00E04323">
        <w:t>Vypúšťa sa v nadväznosti na požiadavku Európskej komisie, ktorá v o</w:t>
      </w:r>
      <w:r w:rsidRPr="00E04323">
        <w:rPr>
          <w:b/>
          <w:bCs/>
        </w:rPr>
        <w:t>dôvodnenom stanovisku</w:t>
      </w:r>
      <w:r w:rsidRPr="00E04323">
        <w:t xml:space="preserve"> </w:t>
      </w:r>
      <w:r w:rsidRPr="00E04323">
        <w:rPr>
          <w:b/>
          <w:bCs/>
        </w:rPr>
        <w:t xml:space="preserve">EK </w:t>
      </w:r>
      <w:r w:rsidRPr="00E04323">
        <w:t xml:space="preserve">– </w:t>
      </w:r>
      <w:r w:rsidRPr="00E04323">
        <w:rPr>
          <w:b/>
          <w:bCs/>
        </w:rPr>
        <w:t>porušenie č. 2015/2048</w:t>
      </w:r>
      <w:r w:rsidRPr="00E04323">
        <w:t xml:space="preserve"> – </w:t>
      </w:r>
      <w:r w:rsidRPr="00E04323">
        <w:rPr>
          <w:b/>
          <w:bCs/>
        </w:rPr>
        <w:t xml:space="preserve">C (2015) 7946 </w:t>
      </w:r>
      <w:proofErr w:type="spellStart"/>
      <w:r w:rsidRPr="00E04323">
        <w:rPr>
          <w:b/>
          <w:bCs/>
        </w:rPr>
        <w:t>final</w:t>
      </w:r>
      <w:proofErr w:type="spellEnd"/>
      <w:r w:rsidRPr="00E04323">
        <w:t xml:space="preserve"> zo dňa 20.11.2015 </w:t>
      </w:r>
      <w:proofErr w:type="spellStart"/>
      <w:r w:rsidRPr="00E04323">
        <w:t>rozporovala</w:t>
      </w:r>
      <w:proofErr w:type="spellEnd"/>
      <w:r w:rsidRPr="00E04323">
        <w:t xml:space="preserve"> súlad predmetného ustanovenia s článkom 34 Zmluvy o fungovaní Európskej únie. </w:t>
      </w:r>
    </w:p>
    <w:p w:rsidR="00ED6758" w:rsidRPr="00E04323" w:rsidRDefault="00ED6758" w:rsidP="00E04323">
      <w:pPr>
        <w:widowControl w:val="0"/>
        <w:jc w:val="both"/>
        <w:rPr>
          <w:b/>
        </w:rPr>
      </w:pPr>
      <w:r w:rsidRPr="00E04323">
        <w:rPr>
          <w:b/>
        </w:rPr>
        <w:t>K</w:t>
      </w:r>
      <w:r w:rsidR="00D43CAD" w:rsidRPr="00E04323">
        <w:rPr>
          <w:b/>
        </w:rPr>
        <w:t> bodu 12</w:t>
      </w:r>
      <w:r w:rsidRPr="00E04323">
        <w:rPr>
          <w:b/>
        </w:rPr>
        <w:t>:</w:t>
      </w:r>
    </w:p>
    <w:p w:rsidR="00ED6758" w:rsidRPr="00E04323" w:rsidRDefault="00ED6758" w:rsidP="00E04323">
      <w:pPr>
        <w:widowControl w:val="0"/>
        <w:jc w:val="both"/>
      </w:pPr>
      <w:r w:rsidRPr="00E04323">
        <w:t>Colné riaditeľstvo Slovenskej republiky bolo zrušené zákonom č. 333/2011 Z. z. o orgánoch štátnej správy v oblastí daní poplatkov a colníctva v znení neskorších predpisov, avšak nepriamo bol zákon novelizovaný (§ 9, ods.1. zákona č. 333/2011 Z. z. ).</w:t>
      </w:r>
    </w:p>
    <w:p w:rsidR="00ED6758" w:rsidRPr="00E04323" w:rsidRDefault="00ED6758" w:rsidP="00E04323">
      <w:pPr>
        <w:widowControl w:val="0"/>
        <w:jc w:val="both"/>
        <w:rPr>
          <w:b/>
        </w:rPr>
      </w:pPr>
      <w:r w:rsidRPr="00E04323">
        <w:rPr>
          <w:b/>
        </w:rPr>
        <w:t>K bodu 1</w:t>
      </w:r>
      <w:r w:rsidR="00D43CAD" w:rsidRPr="00E04323">
        <w:rPr>
          <w:b/>
        </w:rPr>
        <w:t>3</w:t>
      </w:r>
      <w:r w:rsidRPr="00E04323">
        <w:rPr>
          <w:b/>
        </w:rPr>
        <w:t>:</w:t>
      </w:r>
    </w:p>
    <w:p w:rsidR="00ED6758" w:rsidRPr="00E04323" w:rsidRDefault="00B44DD3" w:rsidP="00E04323">
      <w:pPr>
        <w:widowControl w:val="0"/>
        <w:jc w:val="both"/>
      </w:pPr>
      <w:r w:rsidRPr="00E04323">
        <w:t xml:space="preserve">Slová „doplnkové stanovisko znalca“ nahrádzajú slovami „doplňujúci odborný posudok“ </w:t>
      </w:r>
      <w:r w:rsidR="00ED6758" w:rsidRPr="00E04323">
        <w:t>vzhľadom na širšie využitie tohto pojmu.</w:t>
      </w:r>
    </w:p>
    <w:p w:rsidR="00ED6758" w:rsidRPr="00E04323" w:rsidRDefault="00B44DD3" w:rsidP="00E04323">
      <w:pPr>
        <w:widowControl w:val="0"/>
        <w:jc w:val="both"/>
        <w:rPr>
          <w:b/>
        </w:rPr>
      </w:pPr>
      <w:r w:rsidRPr="00E04323">
        <w:rPr>
          <w:b/>
        </w:rPr>
        <w:t>K bodu 14</w:t>
      </w:r>
      <w:r w:rsidR="00ED6758" w:rsidRPr="00E04323">
        <w:rPr>
          <w:b/>
        </w:rPr>
        <w:t>:</w:t>
      </w:r>
    </w:p>
    <w:p w:rsidR="00ED6758" w:rsidRPr="00E04323" w:rsidRDefault="00ED6758" w:rsidP="00E04323">
      <w:pPr>
        <w:widowControl w:val="0"/>
        <w:jc w:val="both"/>
      </w:pPr>
      <w:r w:rsidRPr="00E04323">
        <w:t>Spres</w:t>
      </w:r>
      <w:r w:rsidR="00B44DD3" w:rsidRPr="00E04323">
        <w:t xml:space="preserve">nenie a úprava </w:t>
      </w:r>
      <w:r w:rsidRPr="00E04323">
        <w:t>sa rozsah</w:t>
      </w:r>
      <w:r w:rsidR="00B44DD3" w:rsidRPr="00E04323">
        <w:t>u vnútorného odkazu</w:t>
      </w:r>
      <w:r w:rsidRPr="00E04323">
        <w:t>.</w:t>
      </w:r>
    </w:p>
    <w:p w:rsidR="00ED6758" w:rsidRPr="00E04323" w:rsidRDefault="00ED6758" w:rsidP="00E04323">
      <w:pPr>
        <w:widowControl w:val="0"/>
        <w:jc w:val="both"/>
        <w:rPr>
          <w:b/>
        </w:rPr>
      </w:pPr>
      <w:r w:rsidRPr="00E04323">
        <w:rPr>
          <w:b/>
        </w:rPr>
        <w:t>K bodu 1</w:t>
      </w:r>
      <w:r w:rsidR="00B44DD3" w:rsidRPr="00E04323">
        <w:rPr>
          <w:b/>
        </w:rPr>
        <w:t>5</w:t>
      </w:r>
      <w:r w:rsidRPr="00E04323">
        <w:rPr>
          <w:b/>
        </w:rPr>
        <w:t>:</w:t>
      </w:r>
    </w:p>
    <w:p w:rsidR="00ED6758" w:rsidRPr="00E04323" w:rsidRDefault="00ED6758" w:rsidP="00E04323">
      <w:pPr>
        <w:widowControl w:val="0"/>
        <w:jc w:val="both"/>
      </w:pPr>
      <w:r w:rsidRPr="00E04323">
        <w:t>Rieši spôsob úradnej kontroly potravín pri ich predaji na diaľku</w:t>
      </w:r>
      <w:r w:rsidR="00B44DD3" w:rsidRPr="00E04323">
        <w:t xml:space="preserve"> formou tzv. kontrolného nákupu</w:t>
      </w:r>
      <w:r w:rsidRPr="00E04323">
        <w:t>.</w:t>
      </w:r>
    </w:p>
    <w:p w:rsidR="00ED6758" w:rsidRPr="00E04323" w:rsidRDefault="00ED6758" w:rsidP="00E04323">
      <w:pPr>
        <w:widowControl w:val="0"/>
        <w:jc w:val="both"/>
        <w:rPr>
          <w:b/>
        </w:rPr>
      </w:pPr>
      <w:r w:rsidRPr="00E04323">
        <w:rPr>
          <w:b/>
        </w:rPr>
        <w:t>K bodu 1</w:t>
      </w:r>
      <w:r w:rsidR="00B44DD3" w:rsidRPr="00E04323">
        <w:rPr>
          <w:b/>
        </w:rPr>
        <w:t>6</w:t>
      </w:r>
      <w:r w:rsidRPr="00E04323">
        <w:rPr>
          <w:b/>
        </w:rPr>
        <w:t>:</w:t>
      </w:r>
    </w:p>
    <w:p w:rsidR="00ED6758" w:rsidRPr="00E04323" w:rsidRDefault="00ED6758" w:rsidP="00E04323">
      <w:pPr>
        <w:widowControl w:val="0"/>
        <w:jc w:val="both"/>
      </w:pPr>
      <w:r w:rsidRPr="00E04323">
        <w:t xml:space="preserve">Upravuje rozsah úradnej kontroly potravín s tým, že ju rozširuje aj o kontrolu </w:t>
      </w:r>
      <w:proofErr w:type="spellStart"/>
      <w:r w:rsidRPr="00E04323">
        <w:t>stárenia</w:t>
      </w:r>
      <w:proofErr w:type="spellEnd"/>
      <w:r w:rsidRPr="00E04323">
        <w:t xml:space="preserve"> liehovín podľa nariadenia (ES) č. 110/2008 o definovaní, popise, prezentácii, označovaní a ochrane zemepisných označení liehovín. Rovnako rozširuje rozsah úradnej kontroly potravín rastlinného pôvodu od ich prvovýroby až po ich predaj na základe súvisiacich ustanovení nariadení na bezpečnosť potravín (nariadenie ES č. 178/2002), hygienu potravín (nariadenie ES č. 852/2004) a úradnú kontrolu potravín (nariadenie ES č. 882/2004).</w:t>
      </w:r>
    </w:p>
    <w:p w:rsidR="00ED6758" w:rsidRPr="00E04323" w:rsidRDefault="00B44DD3" w:rsidP="00E04323">
      <w:pPr>
        <w:widowControl w:val="0"/>
        <w:jc w:val="both"/>
        <w:rPr>
          <w:b/>
        </w:rPr>
      </w:pPr>
      <w:r w:rsidRPr="00E04323">
        <w:rPr>
          <w:b/>
        </w:rPr>
        <w:t>K bodom</w:t>
      </w:r>
      <w:r w:rsidR="00ED6758" w:rsidRPr="00E04323">
        <w:rPr>
          <w:b/>
        </w:rPr>
        <w:t xml:space="preserve"> 1</w:t>
      </w:r>
      <w:r w:rsidRPr="00E04323">
        <w:rPr>
          <w:b/>
        </w:rPr>
        <w:t>7 až 19</w:t>
      </w:r>
      <w:r w:rsidR="00ED6758" w:rsidRPr="00E04323">
        <w:rPr>
          <w:b/>
        </w:rPr>
        <w:t>:</w:t>
      </w:r>
    </w:p>
    <w:p w:rsidR="00ED6758" w:rsidRPr="00E04323" w:rsidRDefault="00B44DD3" w:rsidP="00E04323">
      <w:pPr>
        <w:widowControl w:val="0"/>
        <w:jc w:val="both"/>
      </w:pPr>
      <w:r w:rsidRPr="00E04323">
        <w:t>Spresnenie pojmov.</w:t>
      </w:r>
    </w:p>
    <w:p w:rsidR="00ED6758" w:rsidRPr="00E04323" w:rsidRDefault="00ED6758" w:rsidP="00E04323">
      <w:pPr>
        <w:widowControl w:val="0"/>
        <w:jc w:val="both"/>
        <w:rPr>
          <w:b/>
        </w:rPr>
      </w:pPr>
      <w:r w:rsidRPr="00E04323">
        <w:rPr>
          <w:b/>
        </w:rPr>
        <w:t>K bodu 2</w:t>
      </w:r>
      <w:r w:rsidR="00B44DD3" w:rsidRPr="00E04323">
        <w:rPr>
          <w:b/>
        </w:rPr>
        <w:t>0</w:t>
      </w:r>
      <w:r w:rsidRPr="00E04323">
        <w:rPr>
          <w:b/>
        </w:rPr>
        <w:t>:</w:t>
      </w:r>
    </w:p>
    <w:p w:rsidR="00ED6758" w:rsidRPr="00E04323" w:rsidRDefault="00ED6758" w:rsidP="00E04323">
      <w:pPr>
        <w:widowControl w:val="0"/>
        <w:jc w:val="both"/>
      </w:pPr>
      <w:r w:rsidRPr="00E04323">
        <w:t>Odsek 12 sa vypúšťa v nadväznosti na novelizačný bod 1</w:t>
      </w:r>
      <w:r w:rsidR="00ED2560" w:rsidRPr="00E04323">
        <w:t>1</w:t>
      </w:r>
      <w:r w:rsidRPr="00E04323">
        <w:t>.</w:t>
      </w:r>
    </w:p>
    <w:p w:rsidR="00ED6758" w:rsidRPr="00E04323" w:rsidRDefault="00ED6758" w:rsidP="00E04323">
      <w:pPr>
        <w:widowControl w:val="0"/>
        <w:jc w:val="both"/>
        <w:rPr>
          <w:b/>
        </w:rPr>
      </w:pPr>
      <w:r w:rsidRPr="00E04323">
        <w:rPr>
          <w:b/>
        </w:rPr>
        <w:t>K bodu 2</w:t>
      </w:r>
      <w:r w:rsidR="00B44DD3" w:rsidRPr="00E04323">
        <w:rPr>
          <w:b/>
        </w:rPr>
        <w:t>1</w:t>
      </w:r>
      <w:r w:rsidRPr="00E04323">
        <w:rPr>
          <w:b/>
        </w:rPr>
        <w:t>:</w:t>
      </w:r>
    </w:p>
    <w:p w:rsidR="00ED6758" w:rsidRPr="00E04323" w:rsidRDefault="00ED6758" w:rsidP="00E04323">
      <w:pPr>
        <w:widowControl w:val="0"/>
        <w:jc w:val="both"/>
      </w:pPr>
      <w:r w:rsidRPr="00E04323">
        <w:t>Upravuje rozdelenie výšky pokút podľa závažnosti priestupku pri výrobe potravín, manipulácie s nimi, ich umiestňovania na trh, porušovania ostatných povinností súvisiacich s potravinami vrátane marenia postupu úradnej kontroly.</w:t>
      </w:r>
    </w:p>
    <w:p w:rsidR="00ED6758" w:rsidRPr="00E04323" w:rsidRDefault="00ED6758" w:rsidP="00E04323">
      <w:pPr>
        <w:widowControl w:val="0"/>
        <w:jc w:val="both"/>
      </w:pPr>
      <w:r w:rsidRPr="00E04323">
        <w:t>V odseku 1 § 28 sa zvyšuje horná hranica pokút na 10 000 eur vzhľadom na to, že sem boli presunuté niektoré závažnejšie porušenia z pôvodného odseku 3.</w:t>
      </w:r>
    </w:p>
    <w:p w:rsidR="00ED6758" w:rsidRPr="00E04323" w:rsidRDefault="00ED6758" w:rsidP="00E04323">
      <w:pPr>
        <w:widowControl w:val="0"/>
        <w:jc w:val="both"/>
      </w:pPr>
      <w:r w:rsidRPr="00E04323">
        <w:t>V odseku 4 § 28 sa znižuje spodná hranica pokút na 500 eur, čím sa zohľadňuje možnosť porušenia v malých predajniach na dedinách.</w:t>
      </w:r>
    </w:p>
    <w:p w:rsidR="00ED6758" w:rsidRPr="00E04323" w:rsidRDefault="000963B8" w:rsidP="00E04323">
      <w:pPr>
        <w:widowControl w:val="0"/>
        <w:jc w:val="both"/>
        <w:rPr>
          <w:b/>
        </w:rPr>
      </w:pPr>
      <w:r w:rsidRPr="00E04323">
        <w:rPr>
          <w:b/>
        </w:rPr>
        <w:t>K bodu 22</w:t>
      </w:r>
      <w:r w:rsidR="00ED6758" w:rsidRPr="00E04323">
        <w:rPr>
          <w:b/>
        </w:rPr>
        <w:t>:</w:t>
      </w:r>
    </w:p>
    <w:p w:rsidR="00ED6758" w:rsidRPr="00E04323" w:rsidRDefault="00ED6758" w:rsidP="00E04323">
      <w:pPr>
        <w:widowControl w:val="0"/>
        <w:jc w:val="both"/>
      </w:pPr>
      <w:r w:rsidRPr="00E04323">
        <w:t>Rozširuje oblasť priestupkov, za ktoré možno udeliť pokutu fyzickej osobe.</w:t>
      </w:r>
    </w:p>
    <w:p w:rsidR="00ED6758" w:rsidRPr="00E04323" w:rsidRDefault="000963B8" w:rsidP="00E04323">
      <w:pPr>
        <w:widowControl w:val="0"/>
        <w:jc w:val="both"/>
        <w:rPr>
          <w:b/>
        </w:rPr>
      </w:pPr>
      <w:r w:rsidRPr="00E04323">
        <w:rPr>
          <w:b/>
        </w:rPr>
        <w:t>K bodu 23</w:t>
      </w:r>
      <w:r w:rsidR="00ED6758" w:rsidRPr="00E04323">
        <w:rPr>
          <w:b/>
        </w:rPr>
        <w:t>:</w:t>
      </w:r>
    </w:p>
    <w:p w:rsidR="00ED6758" w:rsidRPr="00E04323" w:rsidRDefault="00ED6758" w:rsidP="00E04323">
      <w:pPr>
        <w:widowControl w:val="0"/>
        <w:jc w:val="both"/>
      </w:pPr>
      <w:r w:rsidRPr="00E04323">
        <w:t>Spresňuje sa oblasť vyňatá spod správneho konania.</w:t>
      </w:r>
    </w:p>
    <w:p w:rsidR="00ED6758" w:rsidRPr="00E04323" w:rsidRDefault="00ED6758" w:rsidP="00E04323">
      <w:pPr>
        <w:widowControl w:val="0"/>
        <w:jc w:val="both"/>
        <w:rPr>
          <w:b/>
        </w:rPr>
      </w:pPr>
      <w:r w:rsidRPr="00E04323">
        <w:rPr>
          <w:b/>
        </w:rPr>
        <w:t>K bodu 2</w:t>
      </w:r>
      <w:r w:rsidR="000963B8" w:rsidRPr="00E04323">
        <w:rPr>
          <w:b/>
        </w:rPr>
        <w:t>4</w:t>
      </w:r>
      <w:r w:rsidRPr="00E04323">
        <w:rPr>
          <w:b/>
        </w:rPr>
        <w:t>:</w:t>
      </w:r>
    </w:p>
    <w:p w:rsidR="00ED6758" w:rsidRPr="00E04323" w:rsidRDefault="00ED6758" w:rsidP="00E04323">
      <w:pPr>
        <w:widowControl w:val="0"/>
        <w:jc w:val="both"/>
      </w:pPr>
      <w:r w:rsidRPr="00E04323">
        <w:t>Upravuje prechodné ustanovenia vyplývajúce z</w:t>
      </w:r>
      <w:r w:rsidR="00E239BE" w:rsidRPr="00E04323">
        <w:t> tohto návrhu</w:t>
      </w:r>
      <w:r w:rsidRPr="00E04323">
        <w:t xml:space="preserve"> zákona.</w:t>
      </w:r>
    </w:p>
    <w:p w:rsidR="00ED6758" w:rsidRDefault="00ED6758" w:rsidP="00E04323">
      <w:pPr>
        <w:widowControl w:val="0"/>
        <w:jc w:val="both"/>
      </w:pPr>
    </w:p>
    <w:p w:rsidR="00E04323" w:rsidRPr="00E04323" w:rsidRDefault="00E04323" w:rsidP="00E04323">
      <w:pPr>
        <w:widowControl w:val="0"/>
        <w:jc w:val="both"/>
      </w:pPr>
    </w:p>
    <w:p w:rsidR="00ED6758" w:rsidRPr="00E04323" w:rsidRDefault="00ED6758" w:rsidP="00E04323">
      <w:pPr>
        <w:widowControl w:val="0"/>
        <w:jc w:val="both"/>
        <w:rPr>
          <w:b/>
          <w:u w:val="single"/>
        </w:rPr>
      </w:pPr>
      <w:r w:rsidRPr="00E04323">
        <w:rPr>
          <w:b/>
          <w:u w:val="single"/>
        </w:rPr>
        <w:lastRenderedPageBreak/>
        <w:t>K článku II</w:t>
      </w:r>
    </w:p>
    <w:p w:rsidR="00ED6758" w:rsidRPr="00E04323" w:rsidRDefault="000963B8" w:rsidP="00E04323">
      <w:pPr>
        <w:pStyle w:val="Nadpis3"/>
        <w:keepNext w:val="0"/>
        <w:widowControl w:val="0"/>
        <w:rPr>
          <w:rFonts w:cs="Times New Roman"/>
        </w:rPr>
      </w:pPr>
      <w:r w:rsidRPr="00E04323">
        <w:rPr>
          <w:rFonts w:cs="Times New Roman"/>
        </w:rPr>
        <w:t xml:space="preserve">K bodom 1, </w:t>
      </w:r>
      <w:r w:rsidR="00ED6758" w:rsidRPr="00E04323">
        <w:rPr>
          <w:rFonts w:cs="Times New Roman"/>
        </w:rPr>
        <w:t>3</w:t>
      </w:r>
      <w:r w:rsidRPr="00E04323">
        <w:rPr>
          <w:rFonts w:cs="Times New Roman"/>
        </w:rPr>
        <w:t xml:space="preserve"> a 4</w:t>
      </w:r>
    </w:p>
    <w:p w:rsidR="00ED6758" w:rsidRPr="00E04323" w:rsidRDefault="00ED6758" w:rsidP="00E04323">
      <w:pPr>
        <w:pStyle w:val="odsek"/>
        <w:keepNext w:val="0"/>
        <w:widowControl w:val="0"/>
      </w:pPr>
      <w:r w:rsidRPr="00E04323">
        <w:t>Doplnenie jednoznačných identifikačných údajov o právnických osobách a fyzických osobách v centrálnom registri hospodárskych zvierat sa navrhuje z dôvodu jednoznačnej identifikácie osôb pri poskytovaní dotácií, kde dochádza k neoprávnenému žiadaniu dotácií na neexistujúce hospodárska zvieratá alebo na hospodárske zvieratá, ktoré v tom čase už vlastní iná právnická osoba alebo fyzická osoba. Táto evidencia je používaná aj pri zisťovaní prípadného šírenia nákazy v potravinovom reťazci pri identifikácii hospodárskych zvierat, ktoré môžu byť pôvodcom príslušnej nákazy.</w:t>
      </w:r>
    </w:p>
    <w:p w:rsidR="000963B8" w:rsidRPr="00E04323" w:rsidRDefault="000963B8" w:rsidP="00E04323">
      <w:pPr>
        <w:pStyle w:val="odsek"/>
        <w:keepNext w:val="0"/>
        <w:widowControl w:val="0"/>
        <w:ind w:firstLine="0"/>
        <w:rPr>
          <w:b/>
        </w:rPr>
      </w:pPr>
      <w:r w:rsidRPr="00E04323">
        <w:rPr>
          <w:b/>
        </w:rPr>
        <w:t>K bodu 2</w:t>
      </w:r>
    </w:p>
    <w:p w:rsidR="000963B8" w:rsidRPr="00E04323" w:rsidRDefault="000963B8" w:rsidP="00E04323">
      <w:pPr>
        <w:pStyle w:val="odsek"/>
        <w:keepNext w:val="0"/>
        <w:widowControl w:val="0"/>
        <w:ind w:firstLine="0"/>
      </w:pPr>
      <w:r w:rsidRPr="00E04323">
        <w:t xml:space="preserve">Požiadavka na doplnenie </w:t>
      </w:r>
      <w:r w:rsidR="00E239BE" w:rsidRPr="00E04323">
        <w:t xml:space="preserve">predmetného ustanovenia o usmrcovaní inváznych nepôvodných druhov zvierat vznikla počas prípravy návrhu zákona č. .../2017 </w:t>
      </w:r>
      <w:proofErr w:type="spellStart"/>
      <w:r w:rsidR="00E239BE" w:rsidRPr="00E04323">
        <w:t>Z.z</w:t>
      </w:r>
      <w:proofErr w:type="spellEnd"/>
      <w:r w:rsidR="00E239BE" w:rsidRPr="00E04323">
        <w:t xml:space="preserve">. </w:t>
      </w:r>
      <w:r w:rsidR="00E239BE" w:rsidRPr="00E04323">
        <w:rPr>
          <w:bCs/>
        </w:rPr>
        <w:t>o prevencii a manažmente introdukcie a šírenia inváznych nepôvodných druhov a o zmene a doplnení niektorých zákonov.</w:t>
      </w:r>
    </w:p>
    <w:p w:rsidR="00ED6758" w:rsidRPr="00E04323" w:rsidRDefault="000963B8" w:rsidP="00E04323">
      <w:pPr>
        <w:pStyle w:val="Nadpis3"/>
        <w:keepNext w:val="0"/>
        <w:widowControl w:val="0"/>
        <w:rPr>
          <w:rFonts w:cs="Times New Roman"/>
        </w:rPr>
      </w:pPr>
      <w:r w:rsidRPr="00E04323">
        <w:rPr>
          <w:rFonts w:cs="Times New Roman"/>
        </w:rPr>
        <w:t>K bodu 5</w:t>
      </w:r>
    </w:p>
    <w:p w:rsidR="00ED6758" w:rsidRPr="00E04323" w:rsidRDefault="00ED6758" w:rsidP="00E04323">
      <w:pPr>
        <w:pStyle w:val="odsek"/>
        <w:keepNext w:val="0"/>
        <w:widowControl w:val="0"/>
      </w:pPr>
      <w:r w:rsidRPr="00E04323">
        <w:t>Dopĺňa sa lehota, počas ktorej je vlastník alebo držiteľ hospodárskeho zvieraťa povinný doplniť údaje v centrálnom registri</w:t>
      </w:r>
      <w:r w:rsidR="008D3B6E" w:rsidRPr="00E04323">
        <w:t xml:space="preserve"> hospodárskych</w:t>
      </w:r>
      <w:r w:rsidRPr="00E04323">
        <w:t xml:space="preserve"> zvierat.</w:t>
      </w:r>
    </w:p>
    <w:p w:rsidR="00ED6758" w:rsidRPr="00E04323" w:rsidRDefault="00ED6758" w:rsidP="00E04323">
      <w:pPr>
        <w:widowControl w:val="0"/>
        <w:jc w:val="both"/>
      </w:pPr>
    </w:p>
    <w:p w:rsidR="00ED6758" w:rsidRPr="00E04323" w:rsidRDefault="00ED6758" w:rsidP="00E04323">
      <w:pPr>
        <w:widowControl w:val="0"/>
        <w:jc w:val="both"/>
      </w:pPr>
    </w:p>
    <w:p w:rsidR="00ED6758" w:rsidRPr="00E04323" w:rsidRDefault="00ED6758" w:rsidP="00E04323">
      <w:pPr>
        <w:widowControl w:val="0"/>
        <w:jc w:val="both"/>
        <w:rPr>
          <w:b/>
          <w:u w:val="single"/>
        </w:rPr>
      </w:pPr>
      <w:r w:rsidRPr="00E04323">
        <w:rPr>
          <w:b/>
          <w:u w:val="single"/>
        </w:rPr>
        <w:t>K článku III</w:t>
      </w:r>
    </w:p>
    <w:p w:rsidR="00ED6758" w:rsidRPr="00E04323" w:rsidRDefault="00ED6758" w:rsidP="00E04323">
      <w:pPr>
        <w:widowControl w:val="0"/>
        <w:jc w:val="both"/>
        <w:rPr>
          <w:rFonts w:eastAsia="MS Mincho"/>
        </w:rPr>
      </w:pPr>
      <w:r w:rsidRPr="00E04323">
        <w:t xml:space="preserve">Ustanovuje </w:t>
      </w:r>
      <w:r w:rsidR="00E239BE" w:rsidRPr="00E04323">
        <w:t xml:space="preserve">delenú </w:t>
      </w:r>
      <w:r w:rsidRPr="00E04323">
        <w:t xml:space="preserve">účinnosť </w:t>
      </w:r>
      <w:r w:rsidR="00E239BE" w:rsidRPr="00E04323">
        <w:t>návrhu zákona.</w:t>
      </w:r>
    </w:p>
    <w:p w:rsidR="00862737" w:rsidRDefault="00862737" w:rsidP="00ED6758">
      <w:pPr>
        <w:jc w:val="both"/>
      </w:pPr>
    </w:p>
    <w:sectPr w:rsidR="00862737" w:rsidSect="00E043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23" w:rsidRDefault="00E04323" w:rsidP="00E04323">
      <w:r>
        <w:separator/>
      </w:r>
    </w:p>
  </w:endnote>
  <w:endnote w:type="continuationSeparator" w:id="0">
    <w:p w:rsidR="00E04323" w:rsidRDefault="00E04323" w:rsidP="00E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23" w:rsidRDefault="00E0432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70540"/>
      <w:docPartObj>
        <w:docPartGallery w:val="Page Numbers (Bottom of Page)"/>
        <w:docPartUnique/>
      </w:docPartObj>
    </w:sdtPr>
    <w:sdtContent>
      <w:bookmarkStart w:id="0" w:name="_GoBack" w:displacedByCustomXml="prev"/>
      <w:bookmarkEnd w:id="0" w:displacedByCustomXml="prev"/>
      <w:p w:rsidR="00E04323" w:rsidRDefault="00E04323">
        <w:pPr>
          <w:pStyle w:val="Pta"/>
          <w:jc w:val="center"/>
        </w:pPr>
        <w:r>
          <w:fldChar w:fldCharType="begin"/>
        </w:r>
        <w:r>
          <w:instrText>PAGE   \* MERGEFORMAT</w:instrText>
        </w:r>
        <w:r>
          <w:fldChar w:fldCharType="separate"/>
        </w:r>
        <w:r>
          <w:rPr>
            <w:noProof/>
          </w:rPr>
          <w:t>15</w:t>
        </w:r>
        <w:r>
          <w:fldChar w:fldCharType="end"/>
        </w:r>
      </w:p>
    </w:sdtContent>
  </w:sdt>
  <w:p w:rsidR="00E04323" w:rsidRDefault="00E0432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23" w:rsidRDefault="00E043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23" w:rsidRDefault="00E04323" w:rsidP="00E04323">
      <w:r>
        <w:separator/>
      </w:r>
    </w:p>
  </w:footnote>
  <w:footnote w:type="continuationSeparator" w:id="0">
    <w:p w:rsidR="00E04323" w:rsidRDefault="00E04323" w:rsidP="00E0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23" w:rsidRDefault="00E043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23" w:rsidRDefault="00E0432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23" w:rsidRDefault="00E0432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58"/>
    <w:rsid w:val="000963B8"/>
    <w:rsid w:val="00862737"/>
    <w:rsid w:val="008D3B6E"/>
    <w:rsid w:val="00B44DD3"/>
    <w:rsid w:val="00D43CAD"/>
    <w:rsid w:val="00DD47BA"/>
    <w:rsid w:val="00E04323"/>
    <w:rsid w:val="00E239BE"/>
    <w:rsid w:val="00ED2560"/>
    <w:rsid w:val="00ED67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758"/>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ED6758"/>
    <w:pPr>
      <w:keepNext/>
      <w:spacing w:before="120" w:after="60"/>
      <w:jc w:val="both"/>
      <w:outlineLvl w:val="2"/>
    </w:pPr>
    <w:rPr>
      <w:rFonts w:cs="Arial"/>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D6758"/>
    <w:rPr>
      <w:rFonts w:ascii="Times New Roman" w:eastAsia="Times New Roman" w:hAnsi="Times New Roman" w:cs="Arial"/>
      <w:b/>
      <w:bCs/>
      <w:sz w:val="24"/>
      <w:szCs w:val="24"/>
      <w:lang w:eastAsia="cs-CZ"/>
    </w:rPr>
  </w:style>
  <w:style w:type="paragraph" w:customStyle="1" w:styleId="odsek">
    <w:name w:val="odsek"/>
    <w:basedOn w:val="Normlny"/>
    <w:link w:val="odsekChar"/>
    <w:qFormat/>
    <w:rsid w:val="00ED6758"/>
    <w:pPr>
      <w:keepNext/>
      <w:spacing w:before="120" w:after="120"/>
      <w:ind w:firstLine="709"/>
      <w:jc w:val="both"/>
    </w:pPr>
    <w:rPr>
      <w:lang w:eastAsia="cs-CZ"/>
    </w:rPr>
  </w:style>
  <w:style w:type="character" w:customStyle="1" w:styleId="odsekChar">
    <w:name w:val="odsek Char"/>
    <w:link w:val="odsek"/>
    <w:rsid w:val="00ED6758"/>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E04323"/>
    <w:pPr>
      <w:tabs>
        <w:tab w:val="center" w:pos="4536"/>
        <w:tab w:val="right" w:pos="9072"/>
      </w:tabs>
    </w:pPr>
  </w:style>
  <w:style w:type="character" w:customStyle="1" w:styleId="HlavikaChar">
    <w:name w:val="Hlavička Char"/>
    <w:basedOn w:val="Predvolenpsmoodseku"/>
    <w:link w:val="Hlavika"/>
    <w:uiPriority w:val="99"/>
    <w:rsid w:val="00E0432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04323"/>
    <w:pPr>
      <w:tabs>
        <w:tab w:val="center" w:pos="4536"/>
        <w:tab w:val="right" w:pos="9072"/>
      </w:tabs>
    </w:pPr>
  </w:style>
  <w:style w:type="character" w:customStyle="1" w:styleId="PtaChar">
    <w:name w:val="Päta Char"/>
    <w:basedOn w:val="Predvolenpsmoodseku"/>
    <w:link w:val="Pta"/>
    <w:uiPriority w:val="99"/>
    <w:rsid w:val="00E04323"/>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758"/>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ED6758"/>
    <w:pPr>
      <w:keepNext/>
      <w:spacing w:before="120" w:after="60"/>
      <w:jc w:val="both"/>
      <w:outlineLvl w:val="2"/>
    </w:pPr>
    <w:rPr>
      <w:rFonts w:cs="Arial"/>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D6758"/>
    <w:rPr>
      <w:rFonts w:ascii="Times New Roman" w:eastAsia="Times New Roman" w:hAnsi="Times New Roman" w:cs="Arial"/>
      <w:b/>
      <w:bCs/>
      <w:sz w:val="24"/>
      <w:szCs w:val="24"/>
      <w:lang w:eastAsia="cs-CZ"/>
    </w:rPr>
  </w:style>
  <w:style w:type="paragraph" w:customStyle="1" w:styleId="odsek">
    <w:name w:val="odsek"/>
    <w:basedOn w:val="Normlny"/>
    <w:link w:val="odsekChar"/>
    <w:qFormat/>
    <w:rsid w:val="00ED6758"/>
    <w:pPr>
      <w:keepNext/>
      <w:spacing w:before="120" w:after="120"/>
      <w:ind w:firstLine="709"/>
      <w:jc w:val="both"/>
    </w:pPr>
    <w:rPr>
      <w:lang w:eastAsia="cs-CZ"/>
    </w:rPr>
  </w:style>
  <w:style w:type="character" w:customStyle="1" w:styleId="odsekChar">
    <w:name w:val="odsek Char"/>
    <w:link w:val="odsek"/>
    <w:rsid w:val="00ED6758"/>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E04323"/>
    <w:pPr>
      <w:tabs>
        <w:tab w:val="center" w:pos="4536"/>
        <w:tab w:val="right" w:pos="9072"/>
      </w:tabs>
    </w:pPr>
  </w:style>
  <w:style w:type="character" w:customStyle="1" w:styleId="HlavikaChar">
    <w:name w:val="Hlavička Char"/>
    <w:basedOn w:val="Predvolenpsmoodseku"/>
    <w:link w:val="Hlavika"/>
    <w:uiPriority w:val="99"/>
    <w:rsid w:val="00E0432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04323"/>
    <w:pPr>
      <w:tabs>
        <w:tab w:val="center" w:pos="4536"/>
        <w:tab w:val="right" w:pos="9072"/>
      </w:tabs>
    </w:pPr>
  </w:style>
  <w:style w:type="character" w:customStyle="1" w:styleId="PtaChar">
    <w:name w:val="Päta Char"/>
    <w:basedOn w:val="Predvolenpsmoodseku"/>
    <w:link w:val="Pta"/>
    <w:uiPriority w:val="99"/>
    <w:rsid w:val="00E0432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Osobitná-časť"/>
    <f:field ref="objsubject" par="" edit="true" text=""/>
    <f:field ref="objcreatedby" par="" text="Halmešová, Daniela, Mgr."/>
    <f:field ref="objcreatedat" par="" text="15.7.2016 9:19:35"/>
    <f:field ref="objchangedby" par="" text="Administrator, System"/>
    <f:field ref="objmodifiedat" par="" text="15.7.2016 9:19: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970</Words>
  <Characters>5532</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Halmešová Daniela</dc:creator>
  <cp:keywords/>
  <dc:description/>
  <cp:lastModifiedBy>Elzerová Jana</cp:lastModifiedBy>
  <cp:revision>7</cp:revision>
  <dcterms:created xsi:type="dcterms:W3CDTF">2016-07-15T07:18:00Z</dcterms:created>
  <dcterms:modified xsi:type="dcterms:W3CDTF">2016-08-11T11:38:00Z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style="width:100.0%;height:37px;"&gt;			&lt;h2&gt;Správa o účasti verejnosti na tvorbe právneho predpisu&lt;/h2&gt;			&lt;h2&gt;Scenár 2: Verejno</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Daniela Halmešová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2681/2016-410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LP/2016/676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III – Poľnohospodárstvo a rybné hospodárstvo_x000d_
– Hlava III – Poľnohospodárstvo a rybné hospodárstvo_x000d_
– Hlava VII – Kapitola 3 – Aproximácia práva_x000d_
– Hlava XIV – Verejné zdravie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o porušení Zmluvy o fungovaní Európskej únie v platnom znení podľa čl. 226 až 228 tejto zmluvy.</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29. 6. 2016</vt:lpwstr>
  </property>
  <property fmtid="{D5CDD505-2E9C-101B-9397-08002B2CF9AE}" pid="59" name="FSC#SKEDITIONSLOVLEX@103.510:AttrDateDocPropUkonceniePKK">
    <vt:lpwstr>15. 7. 2016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Pozitívne_x000d_
Žiadne</vt:lpwstr>
  </property>
  <property fmtid="{D5CDD505-2E9C-101B-9397-08002B2CF9AE}" pid="65" name="FSC#SKEDITIONSLOVLEX@103.510:AttrStrListDocPropPoznamkaVplyv">
    <vt:lpwstr>Konzultácie sa uskutočnili podľa bodu 5.8. JMPPVV. Dňa 30. mája 2016 bol materiál prerokovaný v Rade pre potravinárstvo MPRV SR, ktorej členmi sú zástupcovia dotknutej podnikateľskej sféry. Členovia rady vzniesli k materiálu pripomienku, ktorá nebola akce</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ktorým sa mení a dopĺňa zákon Národnej rady Slovenskej republiky č. 152/1995 Z. z. o potravinách v znení neskorších predpisov a o doplnení záko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štátneho radca</vt:lpwstr>
  </property>
  <property fmtid="{D5CDD505-2E9C-101B-9397-08002B2CF9AE}" pid="140" name="FSC#SKEDITIONSLOVLEX@103.510:funkciaPredDativ">
    <vt:lpwstr>štátnemu radcovi</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justify;"&gt;&lt;strong&gt;Predkladacia správa&lt;/strong&gt;&lt;/p&gt;&lt;p style="text-align: justify;"&gt;Ministerstvo pôdohospodárstva a rozvoja vidieka Slovenskej republiky predkladá návrh zákona, ktorým sa mení a&amp;nbsp;dopĺňa zákon Národnej rady Slovenske</vt:lpwstr>
  </property>
  <property fmtid="{D5CDD505-2E9C-101B-9397-08002B2CF9AE}" pid="150" name="FSC#COOSYSTEM@1.1:Container">
    <vt:lpwstr>COO.2145.1000.3.1509905</vt:lpwstr>
  </property>
  <property fmtid="{D5CDD505-2E9C-101B-9397-08002B2CF9AE}" pid="151" name="FSC#FSCFOLIO@1.1001:docpropproject">
    <vt:lpwstr/>
  </property>
</Properties>
</file>