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8A1252" w:rsidP="007B71A4">
            <w:pPr>
              <w:jc w:val="center"/>
              <w:rPr>
                <w:b/>
                <w:sz w:val="24"/>
              </w:rPr>
            </w:pPr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9F2DFA" w:rsidP="007B71A4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410"/>
            </w:tblGrid>
            <w:tr w:rsidR="009F2DFA" w:rsidRPr="00F04CCD" w:rsidTr="007B71A4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:rsidTr="007B71A4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:rsidTr="007B71A4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C1F68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RDefault="009F2DFA" w:rsidP="007B71A4">
            <w:pPr>
              <w:rPr>
                <w:b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:rsidR="009F2DFA" w:rsidRPr="00F04CCD" w:rsidRDefault="009F2DFA" w:rsidP="007B71A4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9C1F68" w:rsidRDefault="009C1F68" w:rsidP="009C1F68"/>
          <w:p w:rsidR="009C1F68" w:rsidRPr="009C1F68" w:rsidRDefault="009C1F68" w:rsidP="009C1F68">
            <w:r w:rsidRPr="009C1F68">
              <w:t xml:space="preserve">V dôsledku zvýšenia právnej istoty a jednoznačného ustálenia právnej úpravy sa očakáva plošný pozitívny efekt na všetkých podnikateľov v súvislosti s uplatňovaním nárokov na náhradu škody v reťazci súťažiteľov na relevantnom trhu. </w:t>
            </w:r>
          </w:p>
          <w:p w:rsidR="009F2DFA" w:rsidRDefault="009C1F68" w:rsidP="009C1F68">
            <w:r w:rsidRPr="009C1F68">
              <w:t>Z pohľadu počtu nie je možné tento stanoviť, keďže právna úprava sa dotýka všetkých osôb predávajúcich a nakupujúcich na trhu tovary a služby a nie je možné určiť počet budúcich porušovateľov práva hospodárskej súťaže.</w:t>
            </w:r>
            <w:r>
              <w:t xml:space="preserve"> </w:t>
            </w:r>
          </w:p>
          <w:p w:rsidR="00C97903" w:rsidRPr="00F04CCD" w:rsidRDefault="00C97903" w:rsidP="009C1F68">
            <w:pPr>
              <w:rPr>
                <w:i/>
              </w:rPr>
            </w:pPr>
          </w:p>
        </w:tc>
      </w:tr>
      <w:tr w:rsidR="009F2DFA" w:rsidRPr="00F04CCD" w:rsidTr="007B71A4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.2 Vyhodnotenie konzultácií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9F2DFA" w:rsidRPr="000D2622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DF122D" w:rsidRDefault="00DF122D" w:rsidP="009C1F68">
            <w:pPr>
              <w:jc w:val="both"/>
            </w:pPr>
          </w:p>
          <w:p w:rsidR="009C1F68" w:rsidRPr="009C1F68" w:rsidRDefault="009C1F68" w:rsidP="009C1F68">
            <w:pPr>
              <w:jc w:val="both"/>
            </w:pPr>
            <w:r w:rsidRPr="009C1F68">
              <w:t>Predmetným návrhom dochádza k transpozícii smernice Európskeho parlamentu a Rady 2014/104/EÚ z 26. novembra 2014 o určitých pravidlách upravujúcich žaloby podľa vnútroštátneho práva o náhradu škody utrpenej v dôsledku porušenia ustanovení práva hospodárskej súťaže členských štátov a Európskej únie, ktorá bola pripravená v zmysle pravidiel prijímania smerníc.</w:t>
            </w:r>
          </w:p>
          <w:p w:rsidR="009C1F68" w:rsidRDefault="009C1F68" w:rsidP="009C1F68">
            <w:pPr>
              <w:jc w:val="both"/>
            </w:pPr>
            <w:r w:rsidRPr="009C1F68">
              <w:t>Predkladaný návrh bol zárove</w:t>
            </w:r>
            <w:r w:rsidR="006E3682">
              <w:t xml:space="preserve">ň konzultovaný </w:t>
            </w:r>
            <w:r w:rsidRPr="009C1F68">
              <w:t xml:space="preserve">s Protimonopolným úradom SR ako </w:t>
            </w:r>
            <w:proofErr w:type="spellStart"/>
            <w:r w:rsidRPr="009C1F68">
              <w:t>spolugestorom</w:t>
            </w:r>
            <w:proofErr w:type="spellEnd"/>
            <w:r w:rsidRPr="009C1F68">
              <w:t xml:space="preserve"> </w:t>
            </w:r>
            <w:r w:rsidR="00F93810">
              <w:t xml:space="preserve">návrhu zákona. </w:t>
            </w:r>
          </w:p>
          <w:p w:rsidR="00F93810" w:rsidRPr="009C1F68" w:rsidRDefault="00F93810" w:rsidP="00F93810">
            <w:pPr>
              <w:jc w:val="both"/>
            </w:pPr>
            <w:r>
              <w:t xml:space="preserve">V súlade s § 9 zákona č. 400/2015 Z. z. o tvorbe právnych predpisov a o Zbierke zákonov Slovenskej republiky a o zmene a doplnení niektorých zákonov bola </w:t>
            </w:r>
            <w:r w:rsidR="00DF122D">
              <w:t xml:space="preserve">na stránke: </w:t>
            </w:r>
            <w:r w:rsidR="00DF122D" w:rsidRPr="00DF122D">
              <w:t>https://www.slov-lex.sk/legislativne-procesy/SK/PI/2016/48</w:t>
            </w:r>
            <w:r>
              <w:t xml:space="preserve"> dňa 26.5.2016 uverejnená predbežná informácia o pripravovanom návrhu zákona, ku ktorej neboli </w:t>
            </w:r>
            <w:r w:rsidR="006E3682">
              <w:t xml:space="preserve">vznesené </w:t>
            </w:r>
            <w:r>
              <w:t xml:space="preserve">pripomienky verejnosti.  </w:t>
            </w:r>
          </w:p>
          <w:p w:rsidR="009F2DFA" w:rsidRPr="00F04CCD" w:rsidRDefault="009F2DFA" w:rsidP="007B71A4">
            <w:pPr>
              <w:rPr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93810" w:rsidRDefault="00F93810" w:rsidP="007B71A4">
            <w:r w:rsidRPr="00F93810">
              <w:t>nie</w:t>
            </w:r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.3.2 Nepriame finančné náklady</w:t>
            </w:r>
          </w:p>
          <w:p w:rsidR="009F2DFA" w:rsidRPr="00F04CCD" w:rsidRDefault="009F2DFA" w:rsidP="00B31A8E">
            <w:pPr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93810" w:rsidRDefault="00F93810" w:rsidP="007B71A4">
            <w:r w:rsidRPr="00F93810">
              <w:t>nie</w:t>
            </w:r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lastRenderedPageBreak/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DF122D" w:rsidRDefault="00DF122D" w:rsidP="007B71A4">
            <w:r w:rsidRPr="00DF122D">
              <w:t>nie</w:t>
            </w:r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:rsidTr="007B71A4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p w:rsidR="009F2DFA" w:rsidRPr="00F04CCD" w:rsidRDefault="009F2DFA" w:rsidP="007B71A4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49"/>
              <w:gridCol w:w="2941"/>
              <w:gridCol w:w="2946"/>
            </w:tblGrid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</w:tr>
          </w:tbl>
          <w:p w:rsidR="009F2DFA" w:rsidRPr="00F04CCD" w:rsidRDefault="009F2DFA" w:rsidP="007B71A4">
            <w:pPr>
              <w:rPr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</w:p>
          <w:p w:rsidR="009F2DFA" w:rsidRPr="00F04CCD" w:rsidRDefault="009F2DFA" w:rsidP="007B71A4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 xml:space="preserve">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F04CCD">
              <w:rPr>
                <w:i/>
              </w:rPr>
              <w:t>mikro</w:t>
            </w:r>
            <w:proofErr w:type="spellEnd"/>
            <w:r w:rsidRPr="00F04CCD">
              <w:rPr>
                <w:i/>
              </w:rPr>
              <w:t>, malé a stredné podniky tzv. MSP)? Ak áno, popíšte.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:rsidTr="007B71A4"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Default="009F2DFA" w:rsidP="00C1410F">
            <w:pPr>
              <w:jc w:val="both"/>
              <w:rPr>
                <w:i/>
              </w:rPr>
            </w:pPr>
          </w:p>
          <w:p w:rsidR="00C1410F" w:rsidRDefault="00DF122D" w:rsidP="00C1410F">
            <w:pPr>
              <w:jc w:val="both"/>
            </w:pPr>
            <w:r w:rsidRPr="009C1F68">
              <w:t xml:space="preserve">V dôsledku zvýšenia právnej istoty a jednoznačného ustálenia právnej úpravy sa očakáva plošný pozitívny efekt na všetkých </w:t>
            </w:r>
            <w:r>
              <w:t>dodávateľov alebo poskytovateľov služieb</w:t>
            </w:r>
            <w:r w:rsidRPr="009C1F68">
              <w:t xml:space="preserve"> v súvislosti s uplatňovaním nárokov na náhradu škody v reťazci súťažiteľov na relevantnom trhu.</w:t>
            </w:r>
            <w:r w:rsidR="00C1410F">
              <w:t xml:space="preserve"> V</w:t>
            </w:r>
            <w:r w:rsidR="00C1410F" w:rsidRPr="00C1410F">
              <w:t xml:space="preserve"> konečnom dôsledku sa predpokladá zvýšenie vymožiteľnosti práva a konkurencieschopnosti súťažiteľov na relevantnom trhu, a to za súčasného stavu očistenia trhu od porušovateľov protimonopolného práva.</w:t>
            </w:r>
          </w:p>
          <w:p w:rsidR="00C1410F" w:rsidRPr="00F04CCD" w:rsidRDefault="00C1410F" w:rsidP="00C1410F">
            <w:pPr>
              <w:jc w:val="both"/>
              <w:rPr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>, vlastníctvo know-how).</w:t>
            </w:r>
          </w:p>
          <w:p w:rsidR="009F2DFA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837639" w:rsidRPr="00F04CCD" w:rsidRDefault="00837639" w:rsidP="007B71A4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9F2DFA" w:rsidRPr="00F04CCD" w:rsidTr="007B71A4">
        <w:trPr>
          <w:trHeight w:val="1747"/>
        </w:trPr>
        <w:tc>
          <w:tcPr>
            <w:tcW w:w="9212" w:type="dxa"/>
          </w:tcPr>
          <w:p w:rsidR="00DF122D" w:rsidRDefault="00DF122D" w:rsidP="007B71A4">
            <w:pPr>
              <w:rPr>
                <w:i/>
              </w:rPr>
            </w:pPr>
          </w:p>
          <w:p w:rsidR="009F2DFA" w:rsidRPr="00DF122D" w:rsidRDefault="00DF122D" w:rsidP="007B71A4">
            <w:r w:rsidRPr="00DF122D">
              <w:t>-</w:t>
            </w:r>
          </w:p>
        </w:tc>
      </w:tr>
    </w:tbl>
    <w:p w:rsidR="009F2DFA" w:rsidRPr="00F04CCD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>
      <w:pPr>
        <w:rPr>
          <w:b/>
          <w:sz w:val="24"/>
        </w:rPr>
      </w:pPr>
      <w:bookmarkStart w:id="0" w:name="_GoBack"/>
      <w:bookmarkEnd w:id="0"/>
    </w:p>
    <w:sectPr w:rsidR="009F2D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9CA" w:rsidRDefault="000009CA" w:rsidP="009F2DFA">
      <w:r>
        <w:separator/>
      </w:r>
    </w:p>
  </w:endnote>
  <w:endnote w:type="continuationSeparator" w:id="0">
    <w:p w:rsidR="000009CA" w:rsidRDefault="000009CA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381234"/>
      <w:docPartObj>
        <w:docPartGallery w:val="Page Numbers (Bottom of Page)"/>
        <w:docPartUnique/>
      </w:docPartObj>
    </w:sdtPr>
    <w:sdtEndPr/>
    <w:sdtContent>
      <w:p w:rsidR="009F2DFA" w:rsidRDefault="009F2DF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6F6">
          <w:rPr>
            <w:noProof/>
          </w:rPr>
          <w:t>2</w:t>
        </w:r>
        <w:r>
          <w:fldChar w:fldCharType="end"/>
        </w:r>
      </w:p>
    </w:sdtContent>
  </w:sdt>
  <w:p w:rsidR="009F2DFA" w:rsidRDefault="009F2DF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9CA" w:rsidRDefault="000009CA" w:rsidP="009F2DFA">
      <w:r>
        <w:separator/>
      </w:r>
    </w:p>
  </w:footnote>
  <w:footnote w:type="continuationSeparator" w:id="0">
    <w:p w:rsidR="000009CA" w:rsidRDefault="000009CA" w:rsidP="009F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13"/>
    <w:rsid w:val="000009CA"/>
    <w:rsid w:val="00154881"/>
    <w:rsid w:val="001F2EE0"/>
    <w:rsid w:val="002B1108"/>
    <w:rsid w:val="0052297F"/>
    <w:rsid w:val="006E3682"/>
    <w:rsid w:val="00780BA6"/>
    <w:rsid w:val="00837639"/>
    <w:rsid w:val="008A1252"/>
    <w:rsid w:val="00904C9B"/>
    <w:rsid w:val="009566F6"/>
    <w:rsid w:val="009C1F68"/>
    <w:rsid w:val="009F2DFA"/>
    <w:rsid w:val="00B31A8E"/>
    <w:rsid w:val="00BA073A"/>
    <w:rsid w:val="00C1410F"/>
    <w:rsid w:val="00C97903"/>
    <w:rsid w:val="00CB3623"/>
    <w:rsid w:val="00D57F77"/>
    <w:rsid w:val="00DF122D"/>
    <w:rsid w:val="00E86AD1"/>
    <w:rsid w:val="00F41620"/>
    <w:rsid w:val="00F93810"/>
    <w:rsid w:val="00F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9384D-B620-431F-8287-CAEC0532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OROSOVÁ Katarína</cp:lastModifiedBy>
  <cp:revision>7</cp:revision>
  <dcterms:created xsi:type="dcterms:W3CDTF">2016-07-01T08:41:00Z</dcterms:created>
  <dcterms:modified xsi:type="dcterms:W3CDTF">2016-08-01T15:23:00Z</dcterms:modified>
</cp:coreProperties>
</file>