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34" w:rsidRPr="00BB2034" w:rsidRDefault="00BB2034" w:rsidP="00BB2034">
      <w:pPr>
        <w:jc w:val="center"/>
        <w:rPr>
          <w:sz w:val="24"/>
          <w:szCs w:val="24"/>
        </w:rPr>
      </w:pPr>
      <w:r w:rsidRPr="00BB2034">
        <w:rPr>
          <w:b/>
          <w:bCs/>
          <w:sz w:val="24"/>
          <w:szCs w:val="24"/>
        </w:rPr>
        <w:t>Vyhlásenie o rozpornosti</w:t>
      </w:r>
    </w:p>
    <w:p w:rsidR="00BB2034" w:rsidRPr="00BB2034" w:rsidRDefault="00BB2034" w:rsidP="00BB2034">
      <w:pPr>
        <w:jc w:val="center"/>
        <w:rPr>
          <w:sz w:val="24"/>
          <w:szCs w:val="24"/>
        </w:rPr>
      </w:pPr>
    </w:p>
    <w:p w:rsidR="00BB2034" w:rsidRPr="00BB2034" w:rsidRDefault="00BB2034" w:rsidP="00BB2034">
      <w:pPr>
        <w:jc w:val="both"/>
        <w:rPr>
          <w:sz w:val="24"/>
          <w:szCs w:val="24"/>
        </w:rPr>
      </w:pPr>
    </w:p>
    <w:p w:rsidR="003100CD" w:rsidRDefault="00BB2034" w:rsidP="00277372">
      <w:pPr>
        <w:pStyle w:val="Nzov"/>
        <w:ind w:firstLine="709"/>
        <w:jc w:val="both"/>
        <w:rPr>
          <w:b w:val="0"/>
          <w:bCs/>
          <w:szCs w:val="24"/>
        </w:rPr>
      </w:pPr>
      <w:r w:rsidRPr="00BB2034">
        <w:rPr>
          <w:b w:val="0"/>
          <w:bCs/>
          <w:szCs w:val="24"/>
        </w:rPr>
        <w:t xml:space="preserve">Návrh zákona, ktorým  sa mení a  dopĺňa zákon č. </w:t>
      </w:r>
      <w:r w:rsidR="001B5C51">
        <w:rPr>
          <w:b w:val="0"/>
          <w:bCs/>
          <w:szCs w:val="24"/>
        </w:rPr>
        <w:t>4</w:t>
      </w:r>
      <w:r w:rsidR="006E7052">
        <w:rPr>
          <w:b w:val="0"/>
          <w:bCs/>
          <w:szCs w:val="24"/>
        </w:rPr>
        <w:t>04</w:t>
      </w:r>
      <w:r w:rsidR="001B5C51">
        <w:rPr>
          <w:b w:val="0"/>
          <w:bCs/>
          <w:szCs w:val="24"/>
        </w:rPr>
        <w:t>/20</w:t>
      </w:r>
      <w:r w:rsidR="006E7052">
        <w:rPr>
          <w:b w:val="0"/>
          <w:bCs/>
          <w:szCs w:val="24"/>
        </w:rPr>
        <w:t>11</w:t>
      </w:r>
      <w:r w:rsidRPr="00BB2034">
        <w:rPr>
          <w:b w:val="0"/>
          <w:bCs/>
          <w:szCs w:val="24"/>
        </w:rPr>
        <w:t xml:space="preserve"> Z. z. o</w:t>
      </w:r>
      <w:r w:rsidR="006E7052">
        <w:rPr>
          <w:b w:val="0"/>
          <w:bCs/>
          <w:szCs w:val="24"/>
        </w:rPr>
        <w:t xml:space="preserve"> pobyte cudzincov  </w:t>
      </w:r>
      <w:r w:rsidR="001B5C51">
        <w:rPr>
          <w:b w:val="0"/>
          <w:bCs/>
          <w:szCs w:val="24"/>
        </w:rPr>
        <w:t xml:space="preserve"> </w:t>
      </w:r>
      <w:r w:rsidR="006E7052">
        <w:rPr>
          <w:b w:val="0"/>
          <w:bCs/>
          <w:szCs w:val="24"/>
        </w:rPr>
        <w:t xml:space="preserve"> </w:t>
      </w:r>
      <w:r w:rsidR="001B5C51">
        <w:rPr>
          <w:b w:val="0"/>
          <w:bCs/>
          <w:szCs w:val="24"/>
        </w:rPr>
        <w:t>a o zmene  a doplnení niektorých zákonov v znení neskorších predpisov</w:t>
      </w:r>
      <w:r w:rsidRPr="00BB2034">
        <w:rPr>
          <w:b w:val="0"/>
          <w:bCs/>
          <w:szCs w:val="24"/>
        </w:rPr>
        <w:t xml:space="preserve"> a ktorým sa menia a dopĺňajú niektoré zákony sa predkladá </w:t>
      </w:r>
      <w:r w:rsidR="00401E56">
        <w:rPr>
          <w:b w:val="0"/>
          <w:bCs/>
          <w:szCs w:val="24"/>
        </w:rPr>
        <w:t>s </w:t>
      </w:r>
      <w:r w:rsidRPr="00BB2034">
        <w:rPr>
          <w:b w:val="0"/>
          <w:bCs/>
          <w:szCs w:val="24"/>
        </w:rPr>
        <w:t>rozporo</w:t>
      </w:r>
      <w:r w:rsidR="00401E56">
        <w:rPr>
          <w:b w:val="0"/>
          <w:bCs/>
          <w:szCs w:val="24"/>
        </w:rPr>
        <w:t>m s Ligou za ľudské práva</w:t>
      </w:r>
      <w:r w:rsidR="003100CD">
        <w:rPr>
          <w:b w:val="0"/>
          <w:bCs/>
          <w:szCs w:val="24"/>
        </w:rPr>
        <w:t>.</w:t>
      </w:r>
    </w:p>
    <w:p w:rsidR="006049DC" w:rsidRDefault="006049DC" w:rsidP="00277372">
      <w:pPr>
        <w:pStyle w:val="Nzov"/>
        <w:ind w:firstLine="709"/>
        <w:jc w:val="both"/>
        <w:rPr>
          <w:b w:val="0"/>
          <w:bCs/>
          <w:szCs w:val="24"/>
        </w:rPr>
      </w:pPr>
    </w:p>
    <w:p w:rsidR="00E67F2D" w:rsidRPr="00EC0EA7" w:rsidRDefault="003100CD" w:rsidP="00277372">
      <w:pPr>
        <w:pStyle w:val="Odsekzoznamu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EC0EA7">
        <w:rPr>
          <w:bCs/>
          <w:sz w:val="24"/>
          <w:szCs w:val="24"/>
        </w:rPr>
        <w:t xml:space="preserve">Liga za ľudské práva </w:t>
      </w:r>
      <w:r w:rsidR="00E67F2D" w:rsidRPr="00EC0EA7">
        <w:rPr>
          <w:bCs/>
          <w:sz w:val="24"/>
          <w:szCs w:val="24"/>
        </w:rPr>
        <w:t xml:space="preserve">namieta proti vylúčeniu aplikácie </w:t>
      </w:r>
      <w:r w:rsidR="000226BB" w:rsidRPr="00EC0EA7">
        <w:rPr>
          <w:bCs/>
          <w:sz w:val="24"/>
          <w:szCs w:val="24"/>
        </w:rPr>
        <w:t>s</w:t>
      </w:r>
      <w:r w:rsidR="00E67F2D" w:rsidRPr="00EC0EA7">
        <w:rPr>
          <w:bCs/>
          <w:sz w:val="24"/>
          <w:szCs w:val="24"/>
        </w:rPr>
        <w:t xml:space="preserve">právneho poriadku pri </w:t>
      </w:r>
      <w:r w:rsidR="000226BB" w:rsidRPr="00EC0EA7">
        <w:rPr>
          <w:bCs/>
          <w:sz w:val="24"/>
          <w:szCs w:val="24"/>
        </w:rPr>
        <w:t xml:space="preserve">rozhodovaní o </w:t>
      </w:r>
      <w:r w:rsidR="00E67F2D" w:rsidRPr="00EC0EA7">
        <w:rPr>
          <w:bCs/>
          <w:sz w:val="24"/>
          <w:szCs w:val="24"/>
        </w:rPr>
        <w:t xml:space="preserve">udeľovaní trvalého pobytu </w:t>
      </w:r>
      <w:r w:rsidR="00E67F2D" w:rsidRPr="00EC0EA7">
        <w:rPr>
          <w:sz w:val="24"/>
          <w:szCs w:val="24"/>
        </w:rPr>
        <w:t>na neobmedzený čas bez splnenia podmienok ustanovených v</w:t>
      </w:r>
      <w:r w:rsidR="00A51AF0">
        <w:rPr>
          <w:sz w:val="24"/>
          <w:szCs w:val="24"/>
        </w:rPr>
        <w:t> </w:t>
      </w:r>
      <w:r w:rsidR="00E67F2D" w:rsidRPr="00EC0EA7">
        <w:rPr>
          <w:sz w:val="24"/>
          <w:szCs w:val="24"/>
        </w:rPr>
        <w:t>zákone</w:t>
      </w:r>
      <w:r w:rsidR="00A51AF0">
        <w:rPr>
          <w:sz w:val="24"/>
          <w:szCs w:val="24"/>
        </w:rPr>
        <w:t>.</w:t>
      </w:r>
    </w:p>
    <w:p w:rsidR="006049DC" w:rsidRDefault="006049DC" w:rsidP="00277372">
      <w:pPr>
        <w:ind w:firstLine="709"/>
        <w:jc w:val="both"/>
        <w:rPr>
          <w:sz w:val="24"/>
          <w:szCs w:val="24"/>
        </w:rPr>
      </w:pPr>
    </w:p>
    <w:p w:rsidR="006049DC" w:rsidRPr="00AA3CB1" w:rsidRDefault="00686419" w:rsidP="00277372">
      <w:pPr>
        <w:widowControl w:val="0"/>
        <w:adjustRightInd w:val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Ministerstvo vnútra považuje vylúčenie správneho poriadku za odôvodnené. </w:t>
      </w:r>
      <w:r w:rsidR="006049DC">
        <w:rPr>
          <w:sz w:val="24"/>
          <w:szCs w:val="24"/>
        </w:rPr>
        <w:t xml:space="preserve">Ide </w:t>
      </w:r>
      <w:r>
        <w:rPr>
          <w:sz w:val="24"/>
          <w:szCs w:val="24"/>
        </w:rPr>
        <w:t xml:space="preserve">totiž </w:t>
      </w:r>
      <w:r w:rsidR="006049DC">
        <w:rPr>
          <w:sz w:val="24"/>
          <w:szCs w:val="24"/>
        </w:rPr>
        <w:t xml:space="preserve">o nenárokové pobyty, ktoré sú udeľované </w:t>
      </w:r>
      <w:r w:rsidR="006049DC" w:rsidRPr="00AA3CB1">
        <w:rPr>
          <w:sz w:val="24"/>
          <w:szCs w:val="24"/>
        </w:rPr>
        <w:t>bez splnenia podmienok ustanovených v</w:t>
      </w:r>
      <w:r>
        <w:rPr>
          <w:sz w:val="24"/>
          <w:szCs w:val="24"/>
        </w:rPr>
        <w:t> </w:t>
      </w:r>
      <w:r w:rsidR="006049DC" w:rsidRPr="00AA3CB1">
        <w:rPr>
          <w:sz w:val="24"/>
          <w:szCs w:val="24"/>
        </w:rPr>
        <w:t>zákone</w:t>
      </w:r>
      <w:r>
        <w:rPr>
          <w:sz w:val="24"/>
          <w:szCs w:val="24"/>
        </w:rPr>
        <w:t>,</w:t>
      </w:r>
      <w:r w:rsidR="006049DC" w:rsidRPr="00AA3CB1">
        <w:rPr>
          <w:sz w:val="24"/>
          <w:szCs w:val="24"/>
        </w:rPr>
        <w:t xml:space="preserve"> </w:t>
      </w:r>
      <w:r w:rsidR="006049DC">
        <w:rPr>
          <w:sz w:val="24"/>
          <w:szCs w:val="24"/>
        </w:rPr>
        <w:t xml:space="preserve">najmä </w:t>
      </w:r>
      <w:r w:rsidR="006049DC" w:rsidRPr="00AA3CB1">
        <w:rPr>
          <w:sz w:val="24"/>
          <w:szCs w:val="24"/>
        </w:rPr>
        <w:t xml:space="preserve">v prípade poskytovania ochrany a pomoci svedkovi, pobytov z dôvodov hodných osobitného zreteľa alebo pobytov na návrh Slovenskej informačnej služby alebo Vojenského spravodajstva z dôvodu bezpečnostných záujmov Slovenskej republiky. </w:t>
      </w:r>
      <w:r w:rsidR="006049DC">
        <w:rPr>
          <w:sz w:val="24"/>
          <w:szCs w:val="24"/>
        </w:rPr>
        <w:t xml:space="preserve">Spoločným znakom týchto pobytov je </w:t>
      </w:r>
      <w:r w:rsidR="006049DC" w:rsidRPr="00AA3CB1">
        <w:rPr>
          <w:sz w:val="24"/>
          <w:szCs w:val="24"/>
        </w:rPr>
        <w:t>záuj</w:t>
      </w:r>
      <w:r w:rsidR="006049DC">
        <w:rPr>
          <w:sz w:val="24"/>
          <w:szCs w:val="24"/>
        </w:rPr>
        <w:t>e</w:t>
      </w:r>
      <w:r w:rsidR="006049DC" w:rsidRPr="00AA3CB1">
        <w:rPr>
          <w:sz w:val="24"/>
          <w:szCs w:val="24"/>
        </w:rPr>
        <w:t>m Slovenskej republiky</w:t>
      </w:r>
      <w:r w:rsidR="006049DC">
        <w:rPr>
          <w:sz w:val="24"/>
          <w:szCs w:val="24"/>
        </w:rPr>
        <w:t xml:space="preserve"> na ich udelení konkrétnym osobám, to znamená, že nestačí iba záujem cudzinca o takýto pobyt. Rozhodnutie správneho orgánu o ich udelení alebo neudelení, aj keď nemá formálne náležitosti rozhodnutia, podlieha súdnemu prieskumu. O zrušení týchto pobytov bude aj naďalej prebiehať riadne konanie podľa správneho poriadku.</w:t>
      </w:r>
    </w:p>
    <w:p w:rsidR="00E67F2D" w:rsidRDefault="00E67F2D" w:rsidP="00277372">
      <w:pPr>
        <w:ind w:firstLine="708"/>
        <w:jc w:val="both"/>
        <w:rPr>
          <w:sz w:val="24"/>
          <w:szCs w:val="24"/>
        </w:rPr>
      </w:pPr>
    </w:p>
    <w:p w:rsidR="00EC0EA7" w:rsidRDefault="004345F4" w:rsidP="00277372">
      <w:pPr>
        <w:pStyle w:val="Odsekzoznamu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Liga za ľudské práva ďalej namieta </w:t>
      </w:r>
      <w:r w:rsidR="00EC0EA7" w:rsidRPr="00EC0EA7">
        <w:rPr>
          <w:sz w:val="24"/>
          <w:szCs w:val="24"/>
        </w:rPr>
        <w:t>proti zaisťovaniu rodín s</w:t>
      </w:r>
      <w:r>
        <w:rPr>
          <w:sz w:val="24"/>
          <w:szCs w:val="24"/>
        </w:rPr>
        <w:t> </w:t>
      </w:r>
      <w:r w:rsidR="00EC0EA7" w:rsidRPr="00EC0EA7">
        <w:rPr>
          <w:sz w:val="24"/>
          <w:szCs w:val="24"/>
        </w:rPr>
        <w:t>deťmi</w:t>
      </w:r>
      <w:r>
        <w:rPr>
          <w:sz w:val="24"/>
          <w:szCs w:val="24"/>
        </w:rPr>
        <w:t>.</w:t>
      </w:r>
      <w:r w:rsidRPr="004345F4">
        <w:rPr>
          <w:color w:val="FF0000"/>
          <w:sz w:val="24"/>
          <w:szCs w:val="24"/>
        </w:rPr>
        <w:t xml:space="preserve"> </w:t>
      </w:r>
      <w:r w:rsidRPr="004345F4">
        <w:rPr>
          <w:sz w:val="24"/>
          <w:szCs w:val="24"/>
        </w:rPr>
        <w:t>Poukazuje na to, že súčasná právna úprava zaistenia rodín s deťmi za podmienok, ktoré nerešpektujú najlepší záujem dieťaťa je v rozpore s Európskym dohovorom na ochranu základných ľudských práv, ako aj s Dohovorom OSN o právach dieťaťa. Do pozornosti dáva rozsudky ESĽP, v ktorých štrasburský súd posúdil zaistenie detí s rodičmi v podobných podmienkach ako na Slovensku, za porušenie článku 3 Dohovoru, a teda za neľudské a ponižujúce zaobchádzanie.</w:t>
      </w:r>
      <w:r w:rsidR="00EC0EA7" w:rsidRPr="004345F4">
        <w:rPr>
          <w:sz w:val="24"/>
          <w:szCs w:val="24"/>
        </w:rPr>
        <w:t xml:space="preserve"> </w:t>
      </w:r>
    </w:p>
    <w:p w:rsidR="00277372" w:rsidRDefault="00277372" w:rsidP="00277372">
      <w:pPr>
        <w:pStyle w:val="Odsekzoznamu"/>
        <w:ind w:left="284"/>
        <w:jc w:val="both"/>
        <w:rPr>
          <w:sz w:val="24"/>
          <w:szCs w:val="24"/>
        </w:rPr>
      </w:pPr>
    </w:p>
    <w:p w:rsidR="00277372" w:rsidRDefault="00277372" w:rsidP="00277372">
      <w:pPr>
        <w:pStyle w:val="Odsekzoznamu"/>
        <w:ind w:left="284"/>
        <w:jc w:val="both"/>
        <w:rPr>
          <w:sz w:val="24"/>
          <w:szCs w:val="24"/>
        </w:rPr>
      </w:pPr>
      <w:r w:rsidRPr="005C17C6">
        <w:rPr>
          <w:sz w:val="24"/>
          <w:szCs w:val="24"/>
        </w:rPr>
        <w:t>Ministerstvo vnútra neuvažuje o úplnom vylúčení možnosti zaisťovať rodiny s maloletými deťmi. Výnimočnosť využitia tohto inštitútu je upravená aj v</w:t>
      </w:r>
      <w:r>
        <w:rPr>
          <w:sz w:val="24"/>
          <w:szCs w:val="24"/>
        </w:rPr>
        <w:t> </w:t>
      </w:r>
      <w:r w:rsidRPr="005C17C6">
        <w:rPr>
          <w:sz w:val="24"/>
          <w:szCs w:val="24"/>
        </w:rPr>
        <w:t>ustanoven</w:t>
      </w:r>
      <w:r>
        <w:rPr>
          <w:sz w:val="24"/>
          <w:szCs w:val="24"/>
        </w:rPr>
        <w:t>iach zákona o pobyte cudzincov a</w:t>
      </w:r>
      <w:r w:rsidRPr="005C17C6">
        <w:rPr>
          <w:sz w:val="24"/>
          <w:szCs w:val="24"/>
        </w:rPr>
        <w:t xml:space="preserve"> zraniteľné osoby </w:t>
      </w:r>
      <w:r>
        <w:rPr>
          <w:sz w:val="24"/>
          <w:szCs w:val="24"/>
        </w:rPr>
        <w:t xml:space="preserve">(to sú aj rodiny s deťmi) </w:t>
      </w:r>
      <w:r w:rsidRPr="005C17C6">
        <w:rPr>
          <w:sz w:val="24"/>
          <w:szCs w:val="24"/>
        </w:rPr>
        <w:t>možno zaistiť len v nevyhnutnom prípade a na čo najkratší čas.</w:t>
      </w:r>
      <w:r w:rsidRPr="002773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Ministerstvo vnútra však kategoricky odmieta, že by rodiny s deťmi v podmienkach zaisťovania na Slovensku boli vystavené neľudskému alebo ponižujúcemu zaobchádzaniu. Ich zaisťovanie umožňuje aj právo Európskej únie a zákon o pobyte cudzincov je s týmto právom plne v súlade.  </w:t>
      </w:r>
      <w:r w:rsidRPr="005C17C6">
        <w:rPr>
          <w:sz w:val="24"/>
          <w:szCs w:val="24"/>
        </w:rPr>
        <w:t xml:space="preserve">Rodiny s deťmi sa zaisťujú len v Útvare policajného zaistenia v Sečovciach, kde sú im vytvárané v rámci možností čo najvyhovujúcejšie podmienky a už v súčasnej dobe nad rámec zákonnej úpravy. Ministerstvo vnútra plánuje otvoriť nové zariadenie na zaisťovanie štátnych príslušníkov tretích </w:t>
      </w:r>
      <w:r w:rsidRPr="00422259">
        <w:rPr>
          <w:sz w:val="24"/>
          <w:szCs w:val="24"/>
        </w:rPr>
        <w:t>krajín a jednou z alternatív je aj vytvorenie samostatného zariadenia na zaisťovanie rodín s deťmi.</w:t>
      </w:r>
    </w:p>
    <w:p w:rsidR="006F48BE" w:rsidRPr="004345F4" w:rsidRDefault="006F48BE" w:rsidP="00277372">
      <w:pPr>
        <w:pStyle w:val="Odsekzoznamu"/>
        <w:ind w:left="284"/>
        <w:jc w:val="both"/>
        <w:rPr>
          <w:sz w:val="24"/>
          <w:szCs w:val="24"/>
        </w:rPr>
      </w:pPr>
    </w:p>
    <w:p w:rsidR="00E67F2D" w:rsidRPr="00EC0EA7" w:rsidRDefault="00FD434C" w:rsidP="00277372">
      <w:pPr>
        <w:pStyle w:val="Odsekzoznamu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Liga za ľudské práva </w:t>
      </w:r>
      <w:r w:rsidR="00EC0EA7" w:rsidRPr="00EC0EA7">
        <w:rPr>
          <w:sz w:val="24"/>
          <w:szCs w:val="24"/>
        </w:rPr>
        <w:t>n</w:t>
      </w:r>
      <w:r>
        <w:rPr>
          <w:sz w:val="24"/>
          <w:szCs w:val="24"/>
        </w:rPr>
        <w:t>a</w:t>
      </w:r>
      <w:r w:rsidR="00EC0EA7" w:rsidRPr="00EC0EA7">
        <w:rPr>
          <w:sz w:val="24"/>
          <w:szCs w:val="24"/>
        </w:rPr>
        <w:t>vrhu</w:t>
      </w:r>
      <w:r>
        <w:rPr>
          <w:sz w:val="24"/>
          <w:szCs w:val="24"/>
        </w:rPr>
        <w:t>je</w:t>
      </w:r>
      <w:r w:rsidR="00EC0EA7" w:rsidRPr="00EC0EA7">
        <w:rPr>
          <w:sz w:val="24"/>
          <w:szCs w:val="24"/>
        </w:rPr>
        <w:t>, aby v prípade zraniteľných osôb a rodín s deťmi, ktorým bola uložená alternatíva zaistenia, sa na tieto osoby na účely poskytovania zdravotnej starostlivosti počas doby výkonu povinnosti uloženej policajným útvarom</w:t>
      </w:r>
      <w:r w:rsidR="00277BE4">
        <w:rPr>
          <w:sz w:val="24"/>
          <w:szCs w:val="24"/>
        </w:rPr>
        <w:t>,</w:t>
      </w:r>
      <w:r w:rsidR="00EC0EA7" w:rsidRPr="00EC0EA7">
        <w:rPr>
          <w:sz w:val="24"/>
          <w:szCs w:val="24"/>
        </w:rPr>
        <w:t xml:space="preserve"> hľad</w:t>
      </w:r>
      <w:r w:rsidR="00277BE4">
        <w:rPr>
          <w:sz w:val="24"/>
          <w:szCs w:val="24"/>
        </w:rPr>
        <w:t>elo</w:t>
      </w:r>
      <w:r w:rsidR="00EC0EA7" w:rsidRPr="00EC0EA7">
        <w:rPr>
          <w:sz w:val="24"/>
          <w:szCs w:val="24"/>
        </w:rPr>
        <w:t xml:space="preserve"> ako na zaistené osoby</w:t>
      </w:r>
      <w:r w:rsidR="00277BE4">
        <w:rPr>
          <w:sz w:val="24"/>
          <w:szCs w:val="24"/>
        </w:rPr>
        <w:t>, to znamená, aby im bola poskytovaná zdravotná starostlivosť z verejného zdravotného poistenia ako povinne verejne zdravotne poisteným osobám</w:t>
      </w:r>
      <w:r w:rsidR="00EC0EA7" w:rsidRPr="00EC0EA7">
        <w:rPr>
          <w:sz w:val="24"/>
          <w:szCs w:val="24"/>
        </w:rPr>
        <w:t>.</w:t>
      </w:r>
    </w:p>
    <w:p w:rsidR="000C6206" w:rsidRDefault="000C6206" w:rsidP="00277372">
      <w:pPr>
        <w:jc w:val="both"/>
        <w:rPr>
          <w:sz w:val="24"/>
          <w:szCs w:val="24"/>
        </w:rPr>
      </w:pPr>
    </w:p>
    <w:p w:rsidR="00FD434C" w:rsidRDefault="00277BE4" w:rsidP="00FD434C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Táto požiadavka je nad rámec návrhu zákona a ministerstvo vnútra ju nemôže akceptovať </w:t>
      </w:r>
      <w:r w:rsidRPr="005C17C6">
        <w:rPr>
          <w:sz w:val="24"/>
          <w:szCs w:val="24"/>
        </w:rPr>
        <w:t>predovšetkým</w:t>
      </w:r>
      <w:r>
        <w:rPr>
          <w:sz w:val="24"/>
          <w:szCs w:val="24"/>
        </w:rPr>
        <w:t xml:space="preserve"> z dôvodu, </w:t>
      </w:r>
      <w:r w:rsidR="00FD434C" w:rsidRPr="005C17C6">
        <w:rPr>
          <w:sz w:val="24"/>
          <w:szCs w:val="24"/>
        </w:rPr>
        <w:t>že okruh osôb, ktoré sú verejne zdravotne poistené, má explicitne vyplývať zo zákona o zdravotnom poistení</w:t>
      </w:r>
      <w:r>
        <w:rPr>
          <w:sz w:val="24"/>
          <w:szCs w:val="24"/>
        </w:rPr>
        <w:t>, čo vyplýva aj zo stanoviska ministerstva zdravotníctva</w:t>
      </w:r>
      <w:r w:rsidR="00FD434C" w:rsidRPr="005C17C6">
        <w:rPr>
          <w:sz w:val="24"/>
          <w:szCs w:val="24"/>
        </w:rPr>
        <w:t xml:space="preserve">. Požiadavku je možné riešiť kedykoľvek samostatne v legislatívnom procese zmeny zákona o zdravotnom poistení, pretože táto zmena sa neviaže na navrhované zmeny v zákone o pobyte cudzincov (alternatívy k zaisteniu existujú už v platnom zákone). </w:t>
      </w:r>
    </w:p>
    <w:p w:rsidR="000C6206" w:rsidRDefault="000C6206" w:rsidP="00277372">
      <w:pPr>
        <w:jc w:val="both"/>
        <w:rPr>
          <w:sz w:val="24"/>
          <w:szCs w:val="24"/>
        </w:rPr>
      </w:pPr>
    </w:p>
    <w:p w:rsidR="000C6206" w:rsidRDefault="000C6206" w:rsidP="00277372">
      <w:pPr>
        <w:jc w:val="both"/>
        <w:rPr>
          <w:sz w:val="24"/>
          <w:szCs w:val="24"/>
        </w:rPr>
      </w:pPr>
    </w:p>
    <w:p w:rsidR="000C6206" w:rsidRDefault="000C6206" w:rsidP="00277372">
      <w:pPr>
        <w:jc w:val="both"/>
        <w:rPr>
          <w:sz w:val="24"/>
          <w:szCs w:val="24"/>
        </w:rPr>
      </w:pPr>
    </w:p>
    <w:p w:rsidR="000C6206" w:rsidRDefault="000C6206" w:rsidP="00277372">
      <w:pPr>
        <w:jc w:val="both"/>
        <w:rPr>
          <w:sz w:val="24"/>
          <w:szCs w:val="24"/>
        </w:rPr>
      </w:pPr>
    </w:p>
    <w:p w:rsidR="000C6206" w:rsidRDefault="000C6206" w:rsidP="00277372">
      <w:pPr>
        <w:jc w:val="both"/>
        <w:rPr>
          <w:sz w:val="24"/>
          <w:szCs w:val="24"/>
        </w:rPr>
      </w:pPr>
    </w:p>
    <w:p w:rsidR="00900101" w:rsidRDefault="00900101" w:rsidP="00277372">
      <w:pPr>
        <w:pStyle w:val="Nzov"/>
        <w:ind w:firstLine="708"/>
        <w:jc w:val="both"/>
        <w:rPr>
          <w:b w:val="0"/>
          <w:bCs/>
          <w:szCs w:val="24"/>
        </w:rPr>
      </w:pPr>
    </w:p>
    <w:sectPr w:rsidR="00900101" w:rsidSect="00DE1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926"/>
    <w:multiLevelType w:val="hybridMultilevel"/>
    <w:tmpl w:val="EEC80540"/>
    <w:lvl w:ilvl="0" w:tplc="D2DE1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BE7ECA"/>
    <w:multiLevelType w:val="hybridMultilevel"/>
    <w:tmpl w:val="A93CCFD2"/>
    <w:lvl w:ilvl="0" w:tplc="449A2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B61F81"/>
    <w:multiLevelType w:val="hybridMultilevel"/>
    <w:tmpl w:val="1C6CDB60"/>
    <w:lvl w:ilvl="0" w:tplc="A22E5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82749C"/>
    <w:multiLevelType w:val="hybridMultilevel"/>
    <w:tmpl w:val="E4529C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3159"/>
    <w:rsid w:val="000226BB"/>
    <w:rsid w:val="000C6206"/>
    <w:rsid w:val="000D21E4"/>
    <w:rsid w:val="000D4A98"/>
    <w:rsid w:val="001274FB"/>
    <w:rsid w:val="0013323D"/>
    <w:rsid w:val="00134D29"/>
    <w:rsid w:val="001B5C51"/>
    <w:rsid w:val="001B6FA1"/>
    <w:rsid w:val="00277372"/>
    <w:rsid w:val="00277BE4"/>
    <w:rsid w:val="002F59CF"/>
    <w:rsid w:val="003100CD"/>
    <w:rsid w:val="003A7C32"/>
    <w:rsid w:val="003C27B5"/>
    <w:rsid w:val="00401E56"/>
    <w:rsid w:val="0041751B"/>
    <w:rsid w:val="004345F4"/>
    <w:rsid w:val="004D284B"/>
    <w:rsid w:val="004D5781"/>
    <w:rsid w:val="00592AB5"/>
    <w:rsid w:val="005E2ACB"/>
    <w:rsid w:val="006049DC"/>
    <w:rsid w:val="00686419"/>
    <w:rsid w:val="006975F8"/>
    <w:rsid w:val="006E7052"/>
    <w:rsid w:val="006F48BE"/>
    <w:rsid w:val="00777CCC"/>
    <w:rsid w:val="00850128"/>
    <w:rsid w:val="00895A4B"/>
    <w:rsid w:val="008B1162"/>
    <w:rsid w:val="008B1EEA"/>
    <w:rsid w:val="008E403A"/>
    <w:rsid w:val="008F7C03"/>
    <w:rsid w:val="00900101"/>
    <w:rsid w:val="00924229"/>
    <w:rsid w:val="00983159"/>
    <w:rsid w:val="009E50CF"/>
    <w:rsid w:val="009F0F85"/>
    <w:rsid w:val="00A0599F"/>
    <w:rsid w:val="00A51AF0"/>
    <w:rsid w:val="00A97D11"/>
    <w:rsid w:val="00AF1AF1"/>
    <w:rsid w:val="00B22DC7"/>
    <w:rsid w:val="00B3294A"/>
    <w:rsid w:val="00B81005"/>
    <w:rsid w:val="00B82C52"/>
    <w:rsid w:val="00BA1B74"/>
    <w:rsid w:val="00BB2034"/>
    <w:rsid w:val="00BF6757"/>
    <w:rsid w:val="00C34052"/>
    <w:rsid w:val="00CB4AFA"/>
    <w:rsid w:val="00D009EC"/>
    <w:rsid w:val="00D33761"/>
    <w:rsid w:val="00D86E68"/>
    <w:rsid w:val="00DE16DC"/>
    <w:rsid w:val="00DF0E66"/>
    <w:rsid w:val="00E009EA"/>
    <w:rsid w:val="00E61B10"/>
    <w:rsid w:val="00E67F2D"/>
    <w:rsid w:val="00E90519"/>
    <w:rsid w:val="00EC0EA7"/>
    <w:rsid w:val="00EE6FB0"/>
    <w:rsid w:val="00F01F27"/>
    <w:rsid w:val="00F31648"/>
    <w:rsid w:val="00F56187"/>
    <w:rsid w:val="00FD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0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BB2034"/>
    <w:pPr>
      <w:keepNext/>
      <w:autoSpaceDE/>
      <w:autoSpaceDN/>
      <w:jc w:val="both"/>
      <w:outlineLvl w:val="3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unhideWhenUsed/>
    <w:rsid w:val="00BB2034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B203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BB203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BB2034"/>
    <w:pPr>
      <w:autoSpaceDE/>
      <w:autoSpaceDN/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99"/>
    <w:rsid w:val="00BB203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Textzstupnhosymbolu1">
    <w:name w:val="Text zástupného symbolu1"/>
    <w:basedOn w:val="Predvolenpsmoodseku"/>
    <w:rsid w:val="00401E56"/>
    <w:rPr>
      <w:rFonts w:ascii="Times New Roman" w:eastAsia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2F59CF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6975F8"/>
    <w:rPr>
      <w:rFonts w:ascii="Times New Roman" w:hAnsi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4345F4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345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0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BB2034"/>
    <w:pPr>
      <w:keepNext/>
      <w:autoSpaceDE/>
      <w:autoSpaceDN/>
      <w:jc w:val="both"/>
      <w:outlineLvl w:val="3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unhideWhenUsed/>
    <w:rsid w:val="00BB2034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B203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BB203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BB2034"/>
    <w:pPr>
      <w:autoSpaceDE/>
      <w:autoSpaceDN/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99"/>
    <w:rsid w:val="00BB2034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Gregušová</dc:creator>
  <cp:keywords/>
  <dc:description/>
  <cp:lastModifiedBy>Klaudia Gregušová</cp:lastModifiedBy>
  <cp:revision>48</cp:revision>
  <dcterms:created xsi:type="dcterms:W3CDTF">2013-06-07T08:45:00Z</dcterms:created>
  <dcterms:modified xsi:type="dcterms:W3CDTF">2016-08-02T06:01:00Z</dcterms:modified>
</cp:coreProperties>
</file>