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83" w:rsidRPr="00876805" w:rsidRDefault="00D320C1" w:rsidP="00106B2F">
      <w:pPr>
        <w:rPr>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5pt;margin-top:-29.55pt;width:113.9pt;height:78.75pt;z-index:-251658752;mso-wrap-distance-left:7.1pt;mso-wrap-distance-right:7.1pt;mso-position-horizontal-relative:page" wrapcoords="-126 0 -126 21417 21600 21417 21600 0 -126 0" o:allowincell="f">
            <v:imagedata r:id="rId8" o:title="koz+etuc_logo"/>
            <w10:wrap type="tight" anchorx="page"/>
          </v:shape>
        </w:pict>
      </w:r>
      <w:r w:rsidR="00353083" w:rsidRPr="00876805">
        <w:rPr>
          <w:b/>
          <w:sz w:val="24"/>
          <w:szCs w:val="24"/>
        </w:rPr>
        <w:t>KONFEDERÁCIA ODBOROVÝCH ZVÄZOV SLOVENSKEJ REPUBLIKY</w:t>
      </w:r>
    </w:p>
    <w:p w:rsidR="00353083" w:rsidRPr="00876805" w:rsidRDefault="008768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76805" w:rsidRDefault="00876805" w:rsidP="00876805">
      <w:pPr>
        <w:pStyle w:val="Nzov"/>
        <w:spacing w:before="0"/>
        <w:jc w:val="both"/>
        <w:rPr>
          <w:b w:val="0"/>
          <w:szCs w:val="24"/>
        </w:rPr>
      </w:pPr>
    </w:p>
    <w:p w:rsidR="00A14A6D" w:rsidRDefault="00A14A6D" w:rsidP="00ED0BA3">
      <w:pPr>
        <w:pStyle w:val="Nzov"/>
        <w:spacing w:before="0" w:line="276" w:lineRule="auto"/>
        <w:jc w:val="both"/>
        <w:rPr>
          <w:b w:val="0"/>
          <w:szCs w:val="24"/>
        </w:rPr>
      </w:pPr>
    </w:p>
    <w:p w:rsidR="00876805" w:rsidRPr="0032711A" w:rsidRDefault="00876805" w:rsidP="00ED0BA3">
      <w:pPr>
        <w:pStyle w:val="Nzov"/>
        <w:spacing w:before="0" w:line="276" w:lineRule="auto"/>
        <w:jc w:val="both"/>
        <w:rPr>
          <w:b w:val="0"/>
          <w:szCs w:val="24"/>
        </w:rPr>
      </w:pPr>
      <w:r w:rsidRPr="0032711A">
        <w:rPr>
          <w:b w:val="0"/>
          <w:szCs w:val="24"/>
        </w:rPr>
        <w:t>Materiál na rokovanie</w:t>
      </w:r>
    </w:p>
    <w:p w:rsidR="00876805" w:rsidRPr="007B255B" w:rsidRDefault="00E80F15" w:rsidP="001E7ABF">
      <w:pPr>
        <w:pStyle w:val="Nzov"/>
        <w:spacing w:before="0" w:line="360" w:lineRule="auto"/>
        <w:jc w:val="both"/>
        <w:rPr>
          <w:b w:val="0"/>
          <w:szCs w:val="24"/>
          <w:lang w:val="sk-SK"/>
        </w:rPr>
      </w:pPr>
      <w:r>
        <w:rPr>
          <w:b w:val="0"/>
          <w:szCs w:val="24"/>
        </w:rPr>
        <w:t xml:space="preserve">HSR SR </w:t>
      </w:r>
      <w:r w:rsidR="006E179B">
        <w:rPr>
          <w:b w:val="0"/>
          <w:szCs w:val="24"/>
          <w:lang w:val="sk-SK"/>
        </w:rPr>
        <w:t>04</w:t>
      </w:r>
      <w:r w:rsidR="00EF3C16">
        <w:rPr>
          <w:b w:val="0"/>
          <w:szCs w:val="24"/>
        </w:rPr>
        <w:t>.</w:t>
      </w:r>
      <w:r w:rsidR="006E179B">
        <w:rPr>
          <w:b w:val="0"/>
          <w:szCs w:val="24"/>
          <w:lang w:val="sk-SK"/>
        </w:rPr>
        <w:t>10</w:t>
      </w:r>
      <w:r w:rsidR="00EF3C16">
        <w:rPr>
          <w:b w:val="0"/>
          <w:szCs w:val="24"/>
        </w:rPr>
        <w:t>.201</w:t>
      </w:r>
      <w:r w:rsidR="007B255B">
        <w:rPr>
          <w:b w:val="0"/>
          <w:szCs w:val="24"/>
          <w:lang w:val="sk-SK"/>
        </w:rPr>
        <w:t>6</w:t>
      </w:r>
    </w:p>
    <w:p w:rsidR="00A57357" w:rsidRDefault="00396D8E" w:rsidP="00A57357">
      <w:pPr>
        <w:pStyle w:val="Nzov"/>
        <w:spacing w:before="0" w:line="360" w:lineRule="auto"/>
        <w:ind w:left="7791"/>
        <w:jc w:val="both"/>
        <w:rPr>
          <w:b w:val="0"/>
          <w:szCs w:val="24"/>
          <w:lang w:val="sk-SK"/>
        </w:rPr>
      </w:pPr>
      <w:r>
        <w:rPr>
          <w:b w:val="0"/>
          <w:szCs w:val="24"/>
        </w:rPr>
        <w:t>b</w:t>
      </w:r>
      <w:r w:rsidR="00A745D5">
        <w:rPr>
          <w:b w:val="0"/>
          <w:szCs w:val="24"/>
        </w:rPr>
        <w:t>od</w:t>
      </w:r>
      <w:r w:rsidR="0010287F">
        <w:rPr>
          <w:b w:val="0"/>
          <w:szCs w:val="24"/>
          <w:lang w:val="sk-SK"/>
        </w:rPr>
        <w:t xml:space="preserve"> </w:t>
      </w:r>
      <w:r w:rsidR="007016DD">
        <w:rPr>
          <w:b w:val="0"/>
          <w:szCs w:val="24"/>
          <w:lang w:val="sk-SK"/>
        </w:rPr>
        <w:t>1</w:t>
      </w:r>
    </w:p>
    <w:p w:rsidR="00E80F15" w:rsidRDefault="00E80F15" w:rsidP="00ED0BA3">
      <w:pPr>
        <w:pStyle w:val="Nzov"/>
        <w:spacing w:before="0" w:line="276" w:lineRule="auto"/>
        <w:rPr>
          <w:szCs w:val="24"/>
        </w:rPr>
      </w:pPr>
    </w:p>
    <w:p w:rsidR="00876805" w:rsidRPr="00876805" w:rsidRDefault="00876805" w:rsidP="00ED0BA3">
      <w:pPr>
        <w:pStyle w:val="Nzov"/>
        <w:spacing w:before="0" w:line="276" w:lineRule="auto"/>
        <w:rPr>
          <w:szCs w:val="24"/>
        </w:rPr>
      </w:pPr>
      <w:r w:rsidRPr="00876805">
        <w:rPr>
          <w:szCs w:val="24"/>
        </w:rPr>
        <w:t>S T A N O V I S K O</w:t>
      </w:r>
    </w:p>
    <w:p w:rsidR="00A73E7C" w:rsidRPr="00A73E7C" w:rsidRDefault="00A73E7C" w:rsidP="00106B2F">
      <w:pPr>
        <w:jc w:val="center"/>
        <w:rPr>
          <w:rFonts w:cs="Calibri"/>
          <w:b/>
          <w:iCs/>
          <w:sz w:val="24"/>
          <w:szCs w:val="24"/>
        </w:rPr>
      </w:pPr>
      <w:r w:rsidRPr="00A73E7C">
        <w:rPr>
          <w:b/>
          <w:sz w:val="24"/>
          <w:szCs w:val="24"/>
        </w:rPr>
        <w:t>k</w:t>
      </w:r>
      <w:r w:rsidR="00A36F8F">
        <w:rPr>
          <w:rFonts w:cs="Calibri"/>
          <w:b/>
          <w:iCs/>
          <w:sz w:val="24"/>
          <w:szCs w:val="24"/>
        </w:rPr>
        <w:t> </w:t>
      </w:r>
      <w:r w:rsidR="00EF3C16">
        <w:rPr>
          <w:rFonts w:cs="Calibri"/>
          <w:b/>
          <w:iCs/>
          <w:sz w:val="24"/>
          <w:szCs w:val="24"/>
        </w:rPr>
        <w:t>návrhu</w:t>
      </w:r>
      <w:r w:rsidR="00A36F8F">
        <w:rPr>
          <w:rFonts w:cs="Calibri"/>
          <w:b/>
          <w:iCs/>
          <w:sz w:val="24"/>
          <w:szCs w:val="24"/>
        </w:rPr>
        <w:t xml:space="preserve"> </w:t>
      </w:r>
      <w:r w:rsidR="007016DD" w:rsidRPr="007016DD">
        <w:rPr>
          <w:rFonts w:cs="Calibri"/>
          <w:b/>
          <w:iCs/>
          <w:sz w:val="24"/>
          <w:szCs w:val="24"/>
        </w:rPr>
        <w:t>zákona o štátnom rozpočte na rok 2017</w:t>
      </w:r>
    </w:p>
    <w:p w:rsidR="00D003C1" w:rsidRPr="00D003C1" w:rsidRDefault="00D003C1" w:rsidP="00D003C1">
      <w:pPr>
        <w:pStyle w:val="Odsekzoznamu"/>
        <w:spacing w:after="0"/>
        <w:ind w:left="0"/>
        <w:contextualSpacing/>
        <w:jc w:val="center"/>
        <w:rPr>
          <w:rFonts w:ascii="Times New Roman" w:hAnsi="Times New Roman" w:cs="Times New Roman"/>
          <w:b/>
          <w:sz w:val="24"/>
          <w:szCs w:val="24"/>
        </w:rPr>
      </w:pPr>
    </w:p>
    <w:p w:rsidR="002434E3" w:rsidRDefault="00E4335D" w:rsidP="001E7ABF">
      <w:pPr>
        <w:numPr>
          <w:ilvl w:val="0"/>
          <w:numId w:val="16"/>
        </w:numPr>
        <w:spacing w:after="200" w:line="276" w:lineRule="auto"/>
        <w:ind w:left="426"/>
        <w:jc w:val="both"/>
        <w:rPr>
          <w:b/>
          <w:sz w:val="24"/>
          <w:szCs w:val="24"/>
        </w:rPr>
      </w:pPr>
      <w:r>
        <w:rPr>
          <w:b/>
          <w:sz w:val="24"/>
          <w:szCs w:val="24"/>
        </w:rPr>
        <w:t>Popis materiálu</w:t>
      </w:r>
    </w:p>
    <w:p w:rsidR="002729BE" w:rsidRDefault="007016DD" w:rsidP="002729BE">
      <w:pPr>
        <w:jc w:val="both"/>
        <w:rPr>
          <w:sz w:val="24"/>
          <w:szCs w:val="24"/>
        </w:rPr>
      </w:pPr>
      <w:r w:rsidRPr="007016DD">
        <w:rPr>
          <w:sz w:val="24"/>
          <w:szCs w:val="24"/>
        </w:rPr>
        <w:t>Predložený Návrh rozpočtu verejnej správy na roky 2016 až 2018 vychádza z aktualizovanej septembrovej makroekonomickej prognózy a prognózy daňových a odvodových príjmov. Rozpočet verejnej správy sa zostavuje za štátny rozpočet a rozpočty ostatných subjektov verejnej správy na obdobie troch rokov, tzn. na roky 201</w:t>
      </w:r>
      <w:r w:rsidR="00391944">
        <w:rPr>
          <w:sz w:val="24"/>
          <w:szCs w:val="24"/>
        </w:rPr>
        <w:t>7</w:t>
      </w:r>
      <w:r w:rsidRPr="007016DD">
        <w:rPr>
          <w:sz w:val="24"/>
          <w:szCs w:val="24"/>
        </w:rPr>
        <w:t>, 201</w:t>
      </w:r>
      <w:r w:rsidR="00391944">
        <w:rPr>
          <w:sz w:val="24"/>
          <w:szCs w:val="24"/>
        </w:rPr>
        <w:t>8</w:t>
      </w:r>
      <w:r w:rsidRPr="007016DD">
        <w:rPr>
          <w:sz w:val="24"/>
          <w:szCs w:val="24"/>
        </w:rPr>
        <w:t xml:space="preserve"> a 201</w:t>
      </w:r>
      <w:r w:rsidR="00391944">
        <w:rPr>
          <w:sz w:val="24"/>
          <w:szCs w:val="24"/>
        </w:rPr>
        <w:t>9</w:t>
      </w:r>
      <w:r w:rsidRPr="007016DD">
        <w:rPr>
          <w:sz w:val="24"/>
          <w:szCs w:val="24"/>
        </w:rPr>
        <w:t>.</w:t>
      </w:r>
    </w:p>
    <w:p w:rsidR="002729BE" w:rsidRDefault="002729BE" w:rsidP="00D5144B">
      <w:pPr>
        <w:jc w:val="both"/>
        <w:rPr>
          <w:sz w:val="24"/>
          <w:szCs w:val="24"/>
        </w:rPr>
      </w:pPr>
      <w:r w:rsidRPr="002729BE">
        <w:rPr>
          <w:sz w:val="24"/>
          <w:szCs w:val="24"/>
        </w:rPr>
        <w:t>Celkové príjmy štátneho rozpočtu na rok 2017 sa rozpočtujú sumou 15 415 002</w:t>
      </w:r>
      <w:r>
        <w:rPr>
          <w:sz w:val="24"/>
          <w:szCs w:val="24"/>
        </w:rPr>
        <w:t> </w:t>
      </w:r>
      <w:r w:rsidRPr="002729BE">
        <w:rPr>
          <w:sz w:val="24"/>
          <w:szCs w:val="24"/>
        </w:rPr>
        <w:t>377</w:t>
      </w:r>
      <w:r>
        <w:rPr>
          <w:sz w:val="24"/>
          <w:szCs w:val="24"/>
        </w:rPr>
        <w:t>€</w:t>
      </w:r>
      <w:r w:rsidRPr="002729BE">
        <w:rPr>
          <w:sz w:val="24"/>
          <w:szCs w:val="24"/>
        </w:rPr>
        <w:t>. Celkové výdavky štátneho rozpočtu na rok 2017 sa určujú sumou 17 432 367</w:t>
      </w:r>
      <w:r>
        <w:rPr>
          <w:sz w:val="24"/>
          <w:szCs w:val="24"/>
        </w:rPr>
        <w:t> </w:t>
      </w:r>
      <w:r w:rsidRPr="002729BE">
        <w:rPr>
          <w:sz w:val="24"/>
          <w:szCs w:val="24"/>
        </w:rPr>
        <w:t>567</w:t>
      </w:r>
      <w:r>
        <w:rPr>
          <w:sz w:val="24"/>
          <w:szCs w:val="24"/>
        </w:rPr>
        <w:t>€</w:t>
      </w:r>
      <w:r w:rsidRPr="002729BE">
        <w:rPr>
          <w:sz w:val="24"/>
          <w:szCs w:val="24"/>
        </w:rPr>
        <w:t>.</w:t>
      </w:r>
      <w:r>
        <w:rPr>
          <w:sz w:val="24"/>
          <w:szCs w:val="24"/>
        </w:rPr>
        <w:t xml:space="preserve"> </w:t>
      </w:r>
      <w:r w:rsidRPr="002729BE">
        <w:rPr>
          <w:sz w:val="24"/>
          <w:szCs w:val="24"/>
        </w:rPr>
        <w:t>Schodok štátneho rozpočtu na rok 2017 sa určuje sumou 2 017 365</w:t>
      </w:r>
      <w:r>
        <w:rPr>
          <w:sz w:val="24"/>
          <w:szCs w:val="24"/>
        </w:rPr>
        <w:t> </w:t>
      </w:r>
      <w:r w:rsidRPr="002729BE">
        <w:rPr>
          <w:sz w:val="24"/>
          <w:szCs w:val="24"/>
        </w:rPr>
        <w:t>190</w:t>
      </w:r>
      <w:r>
        <w:rPr>
          <w:sz w:val="24"/>
          <w:szCs w:val="24"/>
        </w:rPr>
        <w:t>€</w:t>
      </w:r>
      <w:r w:rsidRPr="002729BE">
        <w:rPr>
          <w:sz w:val="24"/>
          <w:szCs w:val="24"/>
        </w:rPr>
        <w:t>.</w:t>
      </w:r>
    </w:p>
    <w:p w:rsidR="007016DD" w:rsidRDefault="00391944" w:rsidP="00D5144B">
      <w:pPr>
        <w:jc w:val="both"/>
        <w:rPr>
          <w:sz w:val="24"/>
          <w:szCs w:val="24"/>
        </w:rPr>
      </w:pPr>
      <w:r>
        <w:rPr>
          <w:sz w:val="24"/>
          <w:szCs w:val="24"/>
        </w:rPr>
        <w:t>C</w:t>
      </w:r>
      <w:r w:rsidR="007016DD" w:rsidRPr="007016DD">
        <w:rPr>
          <w:sz w:val="24"/>
          <w:szCs w:val="24"/>
        </w:rPr>
        <w:t>ieľová hodnota deficitu verejnej správy na rok 201</w:t>
      </w:r>
      <w:r>
        <w:rPr>
          <w:sz w:val="24"/>
          <w:szCs w:val="24"/>
        </w:rPr>
        <w:t>7 je</w:t>
      </w:r>
      <w:r w:rsidR="00D5144B">
        <w:rPr>
          <w:sz w:val="24"/>
          <w:szCs w:val="24"/>
        </w:rPr>
        <w:t xml:space="preserve"> stanovená vo výške 1,29% </w:t>
      </w:r>
      <w:r w:rsidR="007016DD" w:rsidRPr="007016DD">
        <w:rPr>
          <w:sz w:val="24"/>
          <w:szCs w:val="24"/>
        </w:rPr>
        <w:t>HDP. V ďalších rokoch sa predpokladá znižovanie deficitu</w:t>
      </w:r>
      <w:r>
        <w:rPr>
          <w:sz w:val="24"/>
          <w:szCs w:val="24"/>
        </w:rPr>
        <w:t xml:space="preserve"> na úroveň </w:t>
      </w:r>
      <w:r w:rsidR="00D5144B">
        <w:rPr>
          <w:sz w:val="24"/>
          <w:szCs w:val="24"/>
        </w:rPr>
        <w:t>0,44%</w:t>
      </w:r>
      <w:r>
        <w:rPr>
          <w:sz w:val="24"/>
          <w:szCs w:val="24"/>
        </w:rPr>
        <w:t xml:space="preserve"> HDP v roku 2018</w:t>
      </w:r>
      <w:r w:rsidR="00D5144B">
        <w:rPr>
          <w:sz w:val="24"/>
          <w:szCs w:val="24"/>
        </w:rPr>
        <w:t xml:space="preserve"> </w:t>
      </w:r>
      <w:r w:rsidR="00D5144B" w:rsidRPr="00D5144B">
        <w:rPr>
          <w:sz w:val="24"/>
          <w:szCs w:val="24"/>
        </w:rPr>
        <w:t>a v roku 2019 by mal byť dosiahnutý rozpočtový prebytok vo výške 0,16 % HDP.</w:t>
      </w:r>
      <w:r w:rsidR="00D5144B">
        <w:rPr>
          <w:sz w:val="24"/>
          <w:szCs w:val="24"/>
        </w:rPr>
        <w:t xml:space="preserve"> </w:t>
      </w:r>
      <w:r w:rsidR="007016DD" w:rsidRPr="007016DD">
        <w:rPr>
          <w:sz w:val="24"/>
          <w:szCs w:val="24"/>
        </w:rPr>
        <w:t xml:space="preserve">Stanovené ciele majú prispieť k znižovaniu dlhu verejnej správy, čím sa zohľadňujú aj požiadavky ústavného zákona o rozpočtovej zodpovednosti. Za predpokladu naplnenia rozpočtových cieľov </w:t>
      </w:r>
      <w:r w:rsidR="00D5144B" w:rsidRPr="00D5144B">
        <w:rPr>
          <w:sz w:val="24"/>
          <w:szCs w:val="24"/>
        </w:rPr>
        <w:t>možno očakávať, že hrubý dlh verejnej správy bude v pomere k HDP postupne klesať až na hranicu 49,1 % HDP v roku 2019</w:t>
      </w:r>
      <w:r w:rsidR="007016DD" w:rsidRPr="007016DD">
        <w:rPr>
          <w:sz w:val="24"/>
          <w:szCs w:val="24"/>
        </w:rPr>
        <w:t>.</w:t>
      </w:r>
    </w:p>
    <w:p w:rsidR="007016DD" w:rsidRPr="007016DD" w:rsidRDefault="007016DD" w:rsidP="003769B5">
      <w:pPr>
        <w:jc w:val="both"/>
        <w:rPr>
          <w:sz w:val="24"/>
          <w:szCs w:val="24"/>
        </w:rPr>
      </w:pPr>
      <w:r w:rsidRPr="007016DD">
        <w:rPr>
          <w:sz w:val="24"/>
          <w:szCs w:val="24"/>
        </w:rPr>
        <w:t>Na rok 201</w:t>
      </w:r>
      <w:r w:rsidR="00391944">
        <w:rPr>
          <w:sz w:val="24"/>
          <w:szCs w:val="24"/>
        </w:rPr>
        <w:t>7</w:t>
      </w:r>
      <w:r w:rsidRPr="007016DD">
        <w:rPr>
          <w:sz w:val="24"/>
          <w:szCs w:val="24"/>
        </w:rPr>
        <w:t xml:space="preserve"> sa predpokl</w:t>
      </w:r>
      <w:r w:rsidR="00391944">
        <w:rPr>
          <w:sz w:val="24"/>
          <w:szCs w:val="24"/>
        </w:rPr>
        <w:t>adá rast ekonomiky na úrovni 3,5%</w:t>
      </w:r>
      <w:r w:rsidRPr="007016DD">
        <w:rPr>
          <w:sz w:val="24"/>
          <w:szCs w:val="24"/>
        </w:rPr>
        <w:t>. Zamestnanosť bude pokračovať v ďalšom raste. V roku 201</w:t>
      </w:r>
      <w:r w:rsidR="00391944">
        <w:rPr>
          <w:sz w:val="24"/>
          <w:szCs w:val="24"/>
        </w:rPr>
        <w:t>7</w:t>
      </w:r>
      <w:r w:rsidRPr="007016DD">
        <w:rPr>
          <w:sz w:val="24"/>
          <w:szCs w:val="24"/>
        </w:rPr>
        <w:t xml:space="preserve"> predstavuje </w:t>
      </w:r>
      <w:r w:rsidR="00391944">
        <w:rPr>
          <w:sz w:val="24"/>
          <w:szCs w:val="24"/>
        </w:rPr>
        <w:t xml:space="preserve">jej </w:t>
      </w:r>
      <w:r w:rsidRPr="007016DD">
        <w:rPr>
          <w:sz w:val="24"/>
          <w:szCs w:val="24"/>
        </w:rPr>
        <w:t xml:space="preserve">nárast </w:t>
      </w:r>
      <w:r w:rsidR="00391944">
        <w:rPr>
          <w:sz w:val="24"/>
          <w:szCs w:val="24"/>
        </w:rPr>
        <w:t xml:space="preserve">1,5%. </w:t>
      </w:r>
      <w:r w:rsidRPr="007016DD">
        <w:rPr>
          <w:sz w:val="24"/>
          <w:szCs w:val="24"/>
        </w:rPr>
        <w:t>Miera nezamestnanosti</w:t>
      </w:r>
      <w:r w:rsidR="00391944">
        <w:rPr>
          <w:sz w:val="24"/>
          <w:szCs w:val="24"/>
        </w:rPr>
        <w:t xml:space="preserve"> vďaka tomu dosiahne úroveň 8,5</w:t>
      </w:r>
      <w:r w:rsidRPr="007016DD">
        <w:rPr>
          <w:sz w:val="24"/>
          <w:szCs w:val="24"/>
        </w:rPr>
        <w:t>%. Nominálna priemerná mesačná mzda v n</w:t>
      </w:r>
      <w:r w:rsidR="00391944">
        <w:rPr>
          <w:sz w:val="24"/>
          <w:szCs w:val="24"/>
        </w:rPr>
        <w:t>árodnom hospodárstve v roku 2017 bude rásť tempom 3,5</w:t>
      </w:r>
      <w:r w:rsidRPr="007016DD">
        <w:rPr>
          <w:sz w:val="24"/>
          <w:szCs w:val="24"/>
        </w:rPr>
        <w:t>%, čo predstavuje zrýchlenie oproti roku 201</w:t>
      </w:r>
      <w:r w:rsidR="00391944">
        <w:rPr>
          <w:sz w:val="24"/>
          <w:szCs w:val="24"/>
        </w:rPr>
        <w:t>6 a dosiahne výšku 940€</w:t>
      </w:r>
      <w:r w:rsidRPr="007016DD">
        <w:rPr>
          <w:sz w:val="24"/>
          <w:szCs w:val="24"/>
        </w:rPr>
        <w:t xml:space="preserve">. </w:t>
      </w:r>
      <w:r w:rsidR="00391944">
        <w:rPr>
          <w:sz w:val="24"/>
          <w:szCs w:val="24"/>
        </w:rPr>
        <w:t>Inflácia sa v roku 2017</w:t>
      </w:r>
      <w:r w:rsidRPr="007016DD">
        <w:rPr>
          <w:sz w:val="24"/>
          <w:szCs w:val="24"/>
        </w:rPr>
        <w:t xml:space="preserve"> predpokladá naďalej na nízkej úrovni 0,9%.</w:t>
      </w:r>
    </w:p>
    <w:p w:rsidR="003769B5" w:rsidRPr="003769B5" w:rsidRDefault="003769B5" w:rsidP="003769B5">
      <w:pPr>
        <w:spacing w:after="200"/>
        <w:jc w:val="both"/>
        <w:rPr>
          <w:sz w:val="24"/>
          <w:szCs w:val="24"/>
        </w:rPr>
      </w:pPr>
      <w:r w:rsidRPr="003769B5">
        <w:rPr>
          <w:sz w:val="24"/>
          <w:szCs w:val="24"/>
        </w:rPr>
        <w:t xml:space="preserve">Platové tarify v zmysle zákona č. 400/2009 Z. z. o štátnej službe </w:t>
      </w:r>
      <w:r>
        <w:rPr>
          <w:sz w:val="24"/>
          <w:szCs w:val="24"/>
        </w:rPr>
        <w:t xml:space="preserve">sa v roku 2017 zvýšia o 0% a stupnice platových taríf podľa zákona </w:t>
      </w:r>
      <w:r w:rsidRPr="003769B5">
        <w:rPr>
          <w:sz w:val="24"/>
          <w:szCs w:val="24"/>
        </w:rPr>
        <w:t>č. 553/2003 Z. z. o odmeňovaní niektorých zamestnanco</w:t>
      </w:r>
      <w:r>
        <w:rPr>
          <w:sz w:val="24"/>
          <w:szCs w:val="24"/>
        </w:rPr>
        <w:t xml:space="preserve">v pri výkone práce vo verejnom sa v roku 2017 zvýšia o 0%, ak </w:t>
      </w:r>
      <w:r w:rsidRPr="003769B5">
        <w:rPr>
          <w:sz w:val="24"/>
          <w:szCs w:val="24"/>
        </w:rPr>
        <w:t>sa v kol</w:t>
      </w:r>
      <w:r>
        <w:rPr>
          <w:sz w:val="24"/>
          <w:szCs w:val="24"/>
        </w:rPr>
        <w:t>ektívnej zmluve vyššieho stupňa</w:t>
      </w:r>
      <w:r w:rsidRPr="003769B5">
        <w:rPr>
          <w:sz w:val="24"/>
          <w:szCs w:val="24"/>
        </w:rPr>
        <w:t xml:space="preserve"> na rok 2017 nedohodne inak.</w:t>
      </w:r>
    </w:p>
    <w:p w:rsidR="00B6220C" w:rsidRPr="00872878" w:rsidRDefault="00872878" w:rsidP="007016DD">
      <w:pPr>
        <w:numPr>
          <w:ilvl w:val="0"/>
          <w:numId w:val="16"/>
        </w:numPr>
        <w:spacing w:after="200"/>
        <w:jc w:val="both"/>
        <w:rPr>
          <w:b/>
          <w:sz w:val="24"/>
          <w:szCs w:val="24"/>
        </w:rPr>
      </w:pPr>
      <w:r w:rsidRPr="00872878">
        <w:rPr>
          <w:b/>
          <w:sz w:val="24"/>
          <w:szCs w:val="24"/>
        </w:rPr>
        <w:t>S</w:t>
      </w:r>
      <w:r w:rsidR="00B6220C" w:rsidRPr="00872878">
        <w:rPr>
          <w:b/>
          <w:sz w:val="24"/>
          <w:szCs w:val="24"/>
        </w:rPr>
        <w:t>tanovisko KOZ SR</w:t>
      </w:r>
    </w:p>
    <w:p w:rsidR="003769B5" w:rsidRPr="00E93DA8" w:rsidRDefault="003769B5" w:rsidP="00E93DA8">
      <w:pPr>
        <w:jc w:val="both"/>
        <w:rPr>
          <w:bCs/>
          <w:iCs/>
          <w:sz w:val="24"/>
          <w:szCs w:val="24"/>
        </w:rPr>
      </w:pPr>
      <w:r w:rsidRPr="00E93DA8">
        <w:rPr>
          <w:bCs/>
          <w:iCs/>
          <w:sz w:val="24"/>
          <w:szCs w:val="24"/>
        </w:rPr>
        <w:t>Rozpočtová politika v nasledujúcich rozpočtových rokoch vychádza z Programového vyhlásenia vlády SR, kde medzi hlavné priority opätovne patrí konsolidácia verejných financií. Stratégia rozpočtovej politiky v nasledujúcich rozpočtových rokoch je zameraná na ďalšie zlepšovanie rozpočtovej pozície verejnej správy s cieľom dosiahnuť dlhodobú u</w:t>
      </w:r>
      <w:r w:rsidR="00523964" w:rsidRPr="00E93DA8">
        <w:rPr>
          <w:bCs/>
          <w:iCs/>
          <w:sz w:val="24"/>
          <w:szCs w:val="24"/>
        </w:rPr>
        <w:t>držateľnosť verejných financií.</w:t>
      </w:r>
    </w:p>
    <w:p w:rsidR="007016DD" w:rsidRPr="00E93DA8" w:rsidRDefault="007016DD" w:rsidP="00E93DA8">
      <w:pPr>
        <w:jc w:val="both"/>
        <w:rPr>
          <w:sz w:val="24"/>
          <w:szCs w:val="24"/>
        </w:rPr>
      </w:pPr>
      <w:r w:rsidRPr="00E93DA8">
        <w:rPr>
          <w:bCs/>
          <w:iCs/>
          <w:sz w:val="24"/>
          <w:szCs w:val="24"/>
        </w:rPr>
        <w:t xml:space="preserve">KOZ SR oceňuje snahu vlády pokračovať aj v nasledujúcich rokoch v znižovaní deficitu verejnej správy a zlepšovať dlhodobú udržateľnosť verejných financií, ako aj cieľ </w:t>
      </w:r>
      <w:r w:rsidR="003769B5" w:rsidRPr="00E93DA8">
        <w:rPr>
          <w:bCs/>
          <w:iCs/>
          <w:sz w:val="24"/>
          <w:szCs w:val="24"/>
        </w:rPr>
        <w:t xml:space="preserve">hospodáriť v roku 2019 s prebytkom. </w:t>
      </w:r>
      <w:r w:rsidRPr="00E93DA8">
        <w:rPr>
          <w:sz w:val="24"/>
          <w:szCs w:val="24"/>
        </w:rPr>
        <w:t>Tieto ciele spĺňajú európske pravidlá a prispejú k znižovaniu dlhu verejnej správy v zmysle požiadaviek ústavného zák</w:t>
      </w:r>
      <w:r w:rsidR="003769B5" w:rsidRPr="00E93DA8">
        <w:rPr>
          <w:sz w:val="24"/>
          <w:szCs w:val="24"/>
        </w:rPr>
        <w:t>ona o rozpočtovej zodpovednosti, ktorý by sa v roku 2019 mal dostať pod 50%.</w:t>
      </w:r>
    </w:p>
    <w:p w:rsidR="00980389" w:rsidRPr="00E93DA8" w:rsidRDefault="00523964" w:rsidP="00E93DA8">
      <w:pPr>
        <w:jc w:val="both"/>
        <w:rPr>
          <w:bCs/>
          <w:iCs/>
          <w:sz w:val="24"/>
          <w:szCs w:val="24"/>
        </w:rPr>
      </w:pPr>
      <w:r w:rsidRPr="00E93DA8">
        <w:rPr>
          <w:b/>
          <w:bCs/>
          <w:iCs/>
          <w:sz w:val="24"/>
          <w:szCs w:val="24"/>
        </w:rPr>
        <w:lastRenderedPageBreak/>
        <w:t xml:space="preserve">Avšak </w:t>
      </w:r>
      <w:r w:rsidR="007D5B2F" w:rsidRPr="00E93DA8">
        <w:rPr>
          <w:b/>
          <w:bCs/>
          <w:iCs/>
          <w:sz w:val="24"/>
          <w:szCs w:val="24"/>
        </w:rPr>
        <w:t>KOZ SR opakovane deklaruje</w:t>
      </w:r>
      <w:r w:rsidR="007016DD" w:rsidRPr="00E93DA8">
        <w:rPr>
          <w:b/>
          <w:bCs/>
          <w:iCs/>
          <w:sz w:val="24"/>
          <w:szCs w:val="24"/>
        </w:rPr>
        <w:t xml:space="preserve">, že prehnané úsilie vyrovnaného rozpočtu v súčasnom období kvantitatívneho uvoľňovania ECB a pretrvávajúcich </w:t>
      </w:r>
      <w:r w:rsidR="00980389" w:rsidRPr="00E93DA8">
        <w:rPr>
          <w:b/>
          <w:bCs/>
          <w:iCs/>
          <w:sz w:val="24"/>
          <w:szCs w:val="24"/>
        </w:rPr>
        <w:t xml:space="preserve">deflačných tlakoch je </w:t>
      </w:r>
      <w:r w:rsidR="007016DD" w:rsidRPr="00E93DA8">
        <w:rPr>
          <w:b/>
          <w:bCs/>
          <w:iCs/>
          <w:sz w:val="24"/>
          <w:szCs w:val="24"/>
        </w:rPr>
        <w:t xml:space="preserve">kontraproduktívne. </w:t>
      </w:r>
      <w:r w:rsidR="007D5B2F" w:rsidRPr="00E93DA8">
        <w:rPr>
          <w:bCs/>
          <w:iCs/>
          <w:sz w:val="24"/>
          <w:szCs w:val="24"/>
        </w:rPr>
        <w:t xml:space="preserve">Vzhľadom </w:t>
      </w:r>
      <w:r w:rsidR="00A75B53" w:rsidRPr="00E93DA8">
        <w:rPr>
          <w:bCs/>
          <w:iCs/>
          <w:sz w:val="24"/>
          <w:szCs w:val="24"/>
        </w:rPr>
        <w:t>na doterajší vývoj</w:t>
      </w:r>
      <w:r w:rsidR="00980389" w:rsidRPr="00E93DA8">
        <w:rPr>
          <w:bCs/>
          <w:iCs/>
          <w:sz w:val="24"/>
          <w:szCs w:val="24"/>
        </w:rPr>
        <w:t xml:space="preserve"> deficitu, považuje KOZ SR cieľ dosiahnuť v roku 2019 rozpočtový prebytok za ambiciózny. KOZ SR nepovažuje prílišnú konsolidáciu verejných financií, ale zvyšovanie investícii, miezd a platov spolu s nízkymi cenami za rozhodujúce pre zvyšovanie potenciálu rastu ekonomiky. Vzhľadom na pozitívne makroekonomické prognózy, ako aj na</w:t>
      </w:r>
      <w:r w:rsidR="00980389" w:rsidRPr="00E93DA8">
        <w:rPr>
          <w:b/>
          <w:bCs/>
          <w:iCs/>
          <w:sz w:val="24"/>
          <w:szCs w:val="24"/>
        </w:rPr>
        <w:t xml:space="preserve"> </w:t>
      </w:r>
      <w:r w:rsidR="00980389" w:rsidRPr="00E93DA8">
        <w:rPr>
          <w:bCs/>
          <w:iCs/>
          <w:sz w:val="24"/>
          <w:szCs w:val="24"/>
        </w:rPr>
        <w:t xml:space="preserve">výrazný rast daňovo-odvodových príjmov </w:t>
      </w:r>
      <w:r w:rsidRPr="00E93DA8">
        <w:rPr>
          <w:bCs/>
          <w:iCs/>
          <w:sz w:val="24"/>
          <w:szCs w:val="24"/>
        </w:rPr>
        <w:t xml:space="preserve">by mohli byť </w:t>
      </w:r>
      <w:r w:rsidR="00980389" w:rsidRPr="00E93DA8">
        <w:rPr>
          <w:bCs/>
          <w:iCs/>
          <w:sz w:val="24"/>
          <w:szCs w:val="24"/>
        </w:rPr>
        <w:t>markantnejšie u</w:t>
      </w:r>
      <w:r w:rsidR="007016DD" w:rsidRPr="00E93DA8">
        <w:rPr>
          <w:bCs/>
          <w:iCs/>
          <w:sz w:val="24"/>
          <w:szCs w:val="24"/>
        </w:rPr>
        <w:t>voľne</w:t>
      </w:r>
      <w:r w:rsidR="00980389" w:rsidRPr="00E93DA8">
        <w:rPr>
          <w:bCs/>
          <w:iCs/>
          <w:sz w:val="24"/>
          <w:szCs w:val="24"/>
        </w:rPr>
        <w:t>né</w:t>
      </w:r>
      <w:r w:rsidR="007016DD" w:rsidRPr="00E93DA8">
        <w:rPr>
          <w:bCs/>
          <w:iCs/>
          <w:sz w:val="24"/>
          <w:szCs w:val="24"/>
        </w:rPr>
        <w:t xml:space="preserve"> cielen</w:t>
      </w:r>
      <w:r w:rsidR="00980389" w:rsidRPr="00E93DA8">
        <w:rPr>
          <w:bCs/>
          <w:iCs/>
          <w:sz w:val="24"/>
          <w:szCs w:val="24"/>
        </w:rPr>
        <w:t>é</w:t>
      </w:r>
      <w:r w:rsidR="007016DD" w:rsidRPr="00E93DA8">
        <w:rPr>
          <w:bCs/>
          <w:iCs/>
          <w:sz w:val="24"/>
          <w:szCs w:val="24"/>
        </w:rPr>
        <w:t xml:space="preserve"> </w:t>
      </w:r>
      <w:r w:rsidR="00980389" w:rsidRPr="00E93DA8">
        <w:rPr>
          <w:bCs/>
          <w:iCs/>
          <w:sz w:val="24"/>
          <w:szCs w:val="24"/>
        </w:rPr>
        <w:t>deficity</w:t>
      </w:r>
      <w:r w:rsidR="007016DD" w:rsidRPr="00E93DA8">
        <w:rPr>
          <w:bCs/>
          <w:iCs/>
          <w:sz w:val="24"/>
          <w:szCs w:val="24"/>
        </w:rPr>
        <w:t xml:space="preserve"> v rozpočtovanom období za účelom expanzívnejšej stimulácie ekonomiky</w:t>
      </w:r>
      <w:r w:rsidR="00980389" w:rsidRPr="00E93DA8">
        <w:rPr>
          <w:bCs/>
          <w:iCs/>
          <w:sz w:val="24"/>
          <w:szCs w:val="24"/>
        </w:rPr>
        <w:t>.</w:t>
      </w:r>
    </w:p>
    <w:p w:rsidR="004B23A2" w:rsidRPr="00E93DA8" w:rsidRDefault="007016DD" w:rsidP="00E93DA8">
      <w:pPr>
        <w:jc w:val="both"/>
        <w:rPr>
          <w:bCs/>
          <w:iCs/>
          <w:sz w:val="24"/>
          <w:szCs w:val="24"/>
        </w:rPr>
      </w:pPr>
      <w:r w:rsidRPr="00E93DA8">
        <w:rPr>
          <w:bCs/>
          <w:iCs/>
          <w:sz w:val="24"/>
          <w:szCs w:val="24"/>
        </w:rPr>
        <w:t xml:space="preserve">KOZ SR </w:t>
      </w:r>
      <w:r w:rsidR="00980389" w:rsidRPr="00E93DA8">
        <w:rPr>
          <w:bCs/>
          <w:iCs/>
          <w:sz w:val="24"/>
          <w:szCs w:val="24"/>
        </w:rPr>
        <w:t>je presvedčená, že</w:t>
      </w:r>
      <w:r w:rsidRPr="00E93DA8">
        <w:rPr>
          <w:bCs/>
          <w:iCs/>
          <w:sz w:val="24"/>
          <w:szCs w:val="24"/>
        </w:rPr>
        <w:t xml:space="preserve"> štátny rozpočet je potrebné napĺňať predovšetkým na príjmovej strane, a to najmä sústavným zefektívňovaním výberu existujúcich daní. </w:t>
      </w:r>
      <w:r w:rsidRPr="00E93DA8">
        <w:rPr>
          <w:b/>
          <w:bCs/>
          <w:iCs/>
          <w:sz w:val="24"/>
          <w:szCs w:val="24"/>
        </w:rPr>
        <w:t>KOZ SR stále vidí priestor v dani z luxusu, v ďalšom zdaňovaní bánk a regulovaných odvetví, resp. v zavedení dane z prirodzených monopolov, ako aj v tzv. ekodaniach</w:t>
      </w:r>
      <w:r w:rsidRPr="00E93DA8">
        <w:rPr>
          <w:bCs/>
          <w:iCs/>
          <w:sz w:val="24"/>
          <w:szCs w:val="24"/>
        </w:rPr>
        <w:t xml:space="preserve">. </w:t>
      </w:r>
      <w:r w:rsidR="004B23A2" w:rsidRPr="00E93DA8">
        <w:rPr>
          <w:b/>
          <w:bCs/>
          <w:iCs/>
          <w:sz w:val="24"/>
          <w:szCs w:val="24"/>
        </w:rPr>
        <w:t>Tieto však nemôžu ísť na úkor zamestnancov</w:t>
      </w:r>
      <w:r w:rsidR="00523964" w:rsidRPr="00E93DA8">
        <w:rPr>
          <w:b/>
          <w:bCs/>
          <w:iCs/>
          <w:sz w:val="24"/>
          <w:szCs w:val="24"/>
        </w:rPr>
        <w:t xml:space="preserve"> v týchto odvetviach</w:t>
      </w:r>
      <w:r w:rsidR="004B23A2" w:rsidRPr="00E93DA8">
        <w:rPr>
          <w:b/>
          <w:bCs/>
          <w:iCs/>
          <w:sz w:val="24"/>
          <w:szCs w:val="24"/>
        </w:rPr>
        <w:t xml:space="preserve"> a</w:t>
      </w:r>
      <w:r w:rsidR="00523964" w:rsidRPr="00E93DA8">
        <w:rPr>
          <w:b/>
          <w:bCs/>
          <w:iCs/>
          <w:sz w:val="24"/>
          <w:szCs w:val="24"/>
        </w:rPr>
        <w:t xml:space="preserve"> na úkor </w:t>
      </w:r>
      <w:r w:rsidR="004B23A2" w:rsidRPr="00E93DA8">
        <w:rPr>
          <w:b/>
          <w:bCs/>
          <w:iCs/>
          <w:sz w:val="24"/>
          <w:szCs w:val="24"/>
        </w:rPr>
        <w:t>nepriameho obmedzovania kolektívneho vyjednávania</w:t>
      </w:r>
      <w:r w:rsidR="004B23A2" w:rsidRPr="00E93DA8">
        <w:rPr>
          <w:bCs/>
          <w:iCs/>
          <w:sz w:val="24"/>
          <w:szCs w:val="24"/>
        </w:rPr>
        <w:t>.</w:t>
      </w:r>
    </w:p>
    <w:p w:rsidR="00513C4B" w:rsidRPr="00E93DA8" w:rsidRDefault="007016DD" w:rsidP="00E93DA8">
      <w:pPr>
        <w:jc w:val="both"/>
        <w:rPr>
          <w:bCs/>
          <w:iCs/>
          <w:sz w:val="24"/>
          <w:szCs w:val="24"/>
        </w:rPr>
      </w:pPr>
      <w:r w:rsidRPr="00E93DA8">
        <w:rPr>
          <w:bCs/>
          <w:iCs/>
          <w:sz w:val="24"/>
          <w:szCs w:val="24"/>
        </w:rPr>
        <w:t>Na príjmovej strane KOZ SR pozitívne vníma vládou prijaté opatrenia, ktoré výrazne zlepšili efektivitu výberu a obmedzili možnosti daňových únikov a podvodov. Tento nastolený proces pov</w:t>
      </w:r>
      <w:r w:rsidR="00513C4B" w:rsidRPr="00E93DA8">
        <w:rPr>
          <w:bCs/>
          <w:iCs/>
          <w:sz w:val="24"/>
          <w:szCs w:val="24"/>
        </w:rPr>
        <w:t>ažuje KOZ SR naďalej za rozhodujúci, avšak KOZ SR sa stotožňuje s </w:t>
      </w:r>
      <w:r w:rsidR="00347C61" w:rsidRPr="00E93DA8">
        <w:rPr>
          <w:bCs/>
          <w:iCs/>
          <w:sz w:val="24"/>
          <w:szCs w:val="24"/>
        </w:rPr>
        <w:t>odporúčaniami</w:t>
      </w:r>
      <w:r w:rsidR="00513C4B" w:rsidRPr="00E93DA8">
        <w:rPr>
          <w:bCs/>
          <w:iCs/>
          <w:sz w:val="24"/>
          <w:szCs w:val="24"/>
        </w:rPr>
        <w:t xml:space="preserve"> Rady EÚ, že v</w:t>
      </w:r>
      <w:r w:rsidR="00A21483" w:rsidRPr="00E93DA8">
        <w:rPr>
          <w:bCs/>
          <w:iCs/>
          <w:sz w:val="24"/>
          <w:szCs w:val="24"/>
        </w:rPr>
        <w:t>ýpa</w:t>
      </w:r>
      <w:r w:rsidR="00523964" w:rsidRPr="00E93DA8">
        <w:rPr>
          <w:bCs/>
          <w:iCs/>
          <w:sz w:val="24"/>
          <w:szCs w:val="24"/>
        </w:rPr>
        <w:t>dky príjmov</w:t>
      </w:r>
      <w:r w:rsidR="00A21483" w:rsidRPr="00E93DA8">
        <w:rPr>
          <w:bCs/>
          <w:iCs/>
          <w:sz w:val="24"/>
          <w:szCs w:val="24"/>
        </w:rPr>
        <w:t xml:space="preserve"> z</w:t>
      </w:r>
      <w:r w:rsidR="00513C4B" w:rsidRPr="00E93DA8">
        <w:rPr>
          <w:bCs/>
          <w:iCs/>
          <w:sz w:val="24"/>
          <w:szCs w:val="24"/>
        </w:rPr>
        <w:t xml:space="preserve"> </w:t>
      </w:r>
      <w:r w:rsidR="00A21483" w:rsidRPr="00E93DA8">
        <w:rPr>
          <w:bCs/>
          <w:iCs/>
          <w:sz w:val="24"/>
          <w:szCs w:val="24"/>
        </w:rPr>
        <w:t>DPH sú naďalej vysoké, čiže problém v oblasti dodržiavania predpisov pretrváva.</w:t>
      </w:r>
    </w:p>
    <w:p w:rsidR="00347C61" w:rsidRPr="00E93DA8" w:rsidRDefault="00347C61" w:rsidP="00E93DA8">
      <w:pPr>
        <w:jc w:val="both"/>
        <w:rPr>
          <w:bCs/>
          <w:iCs/>
          <w:sz w:val="24"/>
          <w:szCs w:val="24"/>
        </w:rPr>
      </w:pPr>
      <w:r w:rsidRPr="00E93DA8">
        <w:rPr>
          <w:bCs/>
          <w:iCs/>
          <w:sz w:val="24"/>
          <w:szCs w:val="24"/>
        </w:rPr>
        <w:t xml:space="preserve">KOZ SR považuje prínos v daňových príjmoch v dôsledku nezvyšovania životného minima </w:t>
      </w:r>
      <w:r w:rsidR="00CA7FE4" w:rsidRPr="00E93DA8">
        <w:rPr>
          <w:bCs/>
          <w:iCs/>
          <w:sz w:val="24"/>
          <w:szCs w:val="24"/>
        </w:rPr>
        <w:t>v rokoch 2016 a 2017</w:t>
      </w:r>
      <w:r w:rsidRPr="00E93DA8">
        <w:rPr>
          <w:bCs/>
          <w:iCs/>
          <w:sz w:val="24"/>
          <w:szCs w:val="24"/>
        </w:rPr>
        <w:t xml:space="preserve"> za neprijateľn</w:t>
      </w:r>
      <w:r w:rsidR="00523964" w:rsidRPr="00E93DA8">
        <w:rPr>
          <w:bCs/>
          <w:iCs/>
          <w:sz w:val="24"/>
          <w:szCs w:val="24"/>
        </w:rPr>
        <w:t>ý</w:t>
      </w:r>
      <w:r w:rsidRPr="00E93DA8">
        <w:rPr>
          <w:bCs/>
          <w:iCs/>
          <w:sz w:val="24"/>
          <w:szCs w:val="24"/>
        </w:rPr>
        <w:t xml:space="preserve">. Stagnovanie životného minima sa odráža v sociálnej situácii najzraniteľnejších osôb, ale aj zamestnancov. Zmrazenie sumy životného minima malo za následok </w:t>
      </w:r>
      <w:r w:rsidRPr="00E93DA8">
        <w:rPr>
          <w:b/>
          <w:bCs/>
          <w:iCs/>
          <w:sz w:val="24"/>
          <w:szCs w:val="24"/>
        </w:rPr>
        <w:t>rovnakú výšku nezdaniteľnej časti základu dane</w:t>
      </w:r>
      <w:r w:rsidR="00523964" w:rsidRPr="00E93DA8">
        <w:rPr>
          <w:b/>
          <w:bCs/>
          <w:iCs/>
          <w:sz w:val="24"/>
          <w:szCs w:val="24"/>
        </w:rPr>
        <w:t xml:space="preserve"> pre zamestnancov</w:t>
      </w:r>
      <w:r w:rsidRPr="00E93DA8">
        <w:rPr>
          <w:bCs/>
          <w:iCs/>
          <w:sz w:val="24"/>
          <w:szCs w:val="24"/>
        </w:rPr>
        <w:t>, ktorá priamo vplýva na rast čistých miezd.</w:t>
      </w:r>
    </w:p>
    <w:p w:rsidR="0033189C" w:rsidRPr="00E93DA8" w:rsidRDefault="007016DD" w:rsidP="00E93DA8">
      <w:pPr>
        <w:jc w:val="both"/>
        <w:rPr>
          <w:bCs/>
          <w:iCs/>
          <w:sz w:val="24"/>
          <w:szCs w:val="24"/>
        </w:rPr>
      </w:pPr>
      <w:r w:rsidRPr="00E93DA8">
        <w:rPr>
          <w:bCs/>
          <w:iCs/>
          <w:sz w:val="24"/>
          <w:szCs w:val="24"/>
        </w:rPr>
        <w:t>Ďalším spôsobom stimulácie</w:t>
      </w:r>
      <w:r w:rsidR="0033189C" w:rsidRPr="00E93DA8">
        <w:rPr>
          <w:bCs/>
          <w:iCs/>
          <w:sz w:val="24"/>
          <w:szCs w:val="24"/>
        </w:rPr>
        <w:t xml:space="preserve"> ekonomiky</w:t>
      </w:r>
      <w:r w:rsidRPr="00E93DA8">
        <w:rPr>
          <w:bCs/>
          <w:iCs/>
          <w:sz w:val="24"/>
          <w:szCs w:val="24"/>
        </w:rPr>
        <w:t xml:space="preserve"> je zvýšenie spotreby prostredníctvom rastu príjmov domácností, ktoré v konečnom dôsledku zaplatia viac na daniach, či už priamych alebo nepriamych a vytvoria zvýšený dopyt po tovaroch a službách. To sa pozitívne odrazí aj na rovnovážnejšom ekonomickom raste. </w:t>
      </w:r>
      <w:r w:rsidRPr="00E93DA8">
        <w:rPr>
          <w:b/>
          <w:bCs/>
          <w:iCs/>
          <w:sz w:val="24"/>
          <w:szCs w:val="24"/>
        </w:rPr>
        <w:t xml:space="preserve">KOZ SR </w:t>
      </w:r>
      <w:r w:rsidR="0033189C" w:rsidRPr="00E93DA8">
        <w:rPr>
          <w:b/>
          <w:bCs/>
          <w:iCs/>
          <w:sz w:val="24"/>
          <w:szCs w:val="24"/>
        </w:rPr>
        <w:t>opätovne</w:t>
      </w:r>
      <w:r w:rsidRPr="00E93DA8">
        <w:rPr>
          <w:b/>
          <w:bCs/>
          <w:iCs/>
          <w:sz w:val="24"/>
          <w:szCs w:val="24"/>
        </w:rPr>
        <w:t xml:space="preserve"> poukazuje na skutočnosť, že na Slovensku je z národohospodárskeho pohľadu, dlhodobý nepomer medzi mzdami zamestnancov a ziskami firiem.</w:t>
      </w:r>
      <w:r w:rsidRPr="00E93DA8">
        <w:rPr>
          <w:bCs/>
          <w:iCs/>
          <w:sz w:val="24"/>
          <w:szCs w:val="24"/>
        </w:rPr>
        <w:t xml:space="preserve"> Podiel miezd na HDP dlhodobo klesá (v súčasnosti je len </w:t>
      </w:r>
      <w:r w:rsidR="00BC242E" w:rsidRPr="00E93DA8">
        <w:rPr>
          <w:bCs/>
          <w:iCs/>
          <w:sz w:val="24"/>
          <w:szCs w:val="24"/>
        </w:rPr>
        <w:t>31</w:t>
      </w:r>
      <w:r w:rsidRPr="00E93DA8">
        <w:rPr>
          <w:bCs/>
          <w:iCs/>
          <w:sz w:val="24"/>
          <w:szCs w:val="24"/>
        </w:rPr>
        <w:t xml:space="preserve">%-ný), takmer najnižší v EÚ, pričom sa ukazuje, že ako stabilizujúca zložka rovnovážneho a udržateľného rastu ekonomiky a na vonkajšie vplyvy najodolnejším „ťahúňom“ národného hospodárstva je práve spotreba domácností, ovplyvnená predovšetkým rastom zamestnanosti a reálnych miezd. Napriek </w:t>
      </w:r>
      <w:r w:rsidR="0033189C" w:rsidRPr="00E93DA8">
        <w:rPr>
          <w:bCs/>
          <w:iCs/>
          <w:sz w:val="24"/>
          <w:szCs w:val="24"/>
        </w:rPr>
        <w:t xml:space="preserve">pretrvávajúcej </w:t>
      </w:r>
      <w:r w:rsidRPr="00E93DA8">
        <w:rPr>
          <w:bCs/>
          <w:iCs/>
          <w:sz w:val="24"/>
          <w:szCs w:val="24"/>
        </w:rPr>
        <w:t>miernej deflácii nebol mzdový rast</w:t>
      </w:r>
      <w:r w:rsidR="0033189C" w:rsidRPr="00E93DA8">
        <w:rPr>
          <w:bCs/>
          <w:iCs/>
          <w:sz w:val="24"/>
          <w:szCs w:val="24"/>
        </w:rPr>
        <w:t>,</w:t>
      </w:r>
      <w:r w:rsidRPr="00E93DA8">
        <w:rPr>
          <w:bCs/>
          <w:iCs/>
          <w:sz w:val="24"/>
          <w:szCs w:val="24"/>
        </w:rPr>
        <w:t xml:space="preserve"> ani vývoj na trhu práce dostatočný nato, aby motivoval domácnosti k podstatne zvýšenej spotrebe - domácnosti si stále držia vysokú mieru úspor</w:t>
      </w:r>
      <w:r w:rsidR="0033189C" w:rsidRPr="00E93DA8">
        <w:rPr>
          <w:bCs/>
          <w:iCs/>
          <w:sz w:val="24"/>
          <w:szCs w:val="24"/>
        </w:rPr>
        <w:t xml:space="preserve"> cez 10%</w:t>
      </w:r>
      <w:r w:rsidRPr="00E93DA8">
        <w:rPr>
          <w:bCs/>
          <w:iCs/>
          <w:sz w:val="24"/>
          <w:szCs w:val="24"/>
        </w:rPr>
        <w:t>, avšak  práve reálny rast miezd a istota pravidelných príjmov ich motivuje k zvýšenej spotrebe.</w:t>
      </w:r>
      <w:r w:rsidR="0033189C" w:rsidRPr="00E93DA8">
        <w:rPr>
          <w:bCs/>
          <w:iCs/>
          <w:sz w:val="24"/>
          <w:szCs w:val="24"/>
        </w:rPr>
        <w:t xml:space="preserve"> </w:t>
      </w:r>
      <w:r w:rsidRPr="00E93DA8">
        <w:rPr>
          <w:bCs/>
          <w:iCs/>
          <w:sz w:val="24"/>
          <w:szCs w:val="24"/>
        </w:rPr>
        <w:t>Faktormi na zabezpečenie rovnovážneho a udržateľného rastu sú najmä stabilné pracovné prostredie, adekvátny príjem za vykonanú prácu a zvyšujúca sa životná úroveň.</w:t>
      </w:r>
    </w:p>
    <w:p w:rsidR="002301DA" w:rsidRPr="00E93DA8" w:rsidRDefault="007016DD" w:rsidP="00E93DA8">
      <w:pPr>
        <w:jc w:val="both"/>
        <w:rPr>
          <w:bCs/>
          <w:iCs/>
          <w:sz w:val="24"/>
          <w:szCs w:val="24"/>
        </w:rPr>
      </w:pPr>
      <w:r w:rsidRPr="00E93DA8">
        <w:rPr>
          <w:bCs/>
          <w:iCs/>
          <w:sz w:val="24"/>
          <w:szCs w:val="24"/>
        </w:rPr>
        <w:t>V roku 201</w:t>
      </w:r>
      <w:r w:rsidR="00BC242E" w:rsidRPr="00E93DA8">
        <w:rPr>
          <w:bCs/>
          <w:iCs/>
          <w:sz w:val="24"/>
          <w:szCs w:val="24"/>
        </w:rPr>
        <w:t>7</w:t>
      </w:r>
      <w:r w:rsidRPr="00E93DA8">
        <w:rPr>
          <w:bCs/>
          <w:iCs/>
          <w:sz w:val="24"/>
          <w:szCs w:val="24"/>
        </w:rPr>
        <w:t xml:space="preserve"> sa očakáva v sektore verejne</w:t>
      </w:r>
      <w:r w:rsidR="003C7DB2" w:rsidRPr="00E93DA8">
        <w:rPr>
          <w:bCs/>
          <w:iCs/>
          <w:sz w:val="24"/>
          <w:szCs w:val="24"/>
        </w:rPr>
        <w:t xml:space="preserve">j správy zamestnanosť na úrovni 419,5 </w:t>
      </w:r>
      <w:r w:rsidRPr="00E93DA8">
        <w:rPr>
          <w:bCs/>
          <w:iCs/>
          <w:sz w:val="24"/>
          <w:szCs w:val="24"/>
        </w:rPr>
        <w:t xml:space="preserve">tis. osôb, čo predstavuje síce </w:t>
      </w:r>
      <w:r w:rsidR="003C7DB2" w:rsidRPr="00E93DA8">
        <w:rPr>
          <w:bCs/>
          <w:iCs/>
          <w:sz w:val="24"/>
          <w:szCs w:val="24"/>
        </w:rPr>
        <w:t>2,97</w:t>
      </w:r>
      <w:r w:rsidRPr="00E93DA8">
        <w:rPr>
          <w:bCs/>
          <w:iCs/>
          <w:sz w:val="24"/>
          <w:szCs w:val="24"/>
        </w:rPr>
        <w:t>%-ný nárast oproti rozpočtu na roky 201</w:t>
      </w:r>
      <w:r w:rsidR="003C7DB2" w:rsidRPr="00E93DA8">
        <w:rPr>
          <w:bCs/>
          <w:iCs/>
          <w:sz w:val="24"/>
          <w:szCs w:val="24"/>
        </w:rPr>
        <w:t>6</w:t>
      </w:r>
      <w:r w:rsidRPr="00E93DA8">
        <w:rPr>
          <w:bCs/>
          <w:iCs/>
          <w:sz w:val="24"/>
          <w:szCs w:val="24"/>
        </w:rPr>
        <w:t>-201</w:t>
      </w:r>
      <w:r w:rsidR="003C7DB2" w:rsidRPr="00E93DA8">
        <w:rPr>
          <w:bCs/>
          <w:iCs/>
          <w:sz w:val="24"/>
          <w:szCs w:val="24"/>
        </w:rPr>
        <w:t>8</w:t>
      </w:r>
      <w:r w:rsidRPr="00E93DA8">
        <w:rPr>
          <w:bCs/>
          <w:iCs/>
          <w:sz w:val="24"/>
          <w:szCs w:val="24"/>
        </w:rPr>
        <w:t xml:space="preserve">, ale </w:t>
      </w:r>
      <w:r w:rsidR="003C7DB2" w:rsidRPr="00E93DA8">
        <w:rPr>
          <w:bCs/>
          <w:iCs/>
          <w:sz w:val="24"/>
          <w:szCs w:val="24"/>
        </w:rPr>
        <w:t>výrazným faktorom ovplyvňujúcim túto skutočnosť je zaradenie nových subjektov (napr. Železničná spoločnosť Slovensko, a. s.) medzi subjekty verejnej správy (zvýšenie o 6 tis. osôb) a dosahovaná, výrazne vyššia skutočnosť v územnej samospráve (3,73 tis. osôb)</w:t>
      </w:r>
      <w:r w:rsidRPr="00E93DA8">
        <w:rPr>
          <w:bCs/>
          <w:iCs/>
          <w:sz w:val="24"/>
          <w:szCs w:val="24"/>
        </w:rPr>
        <w:t xml:space="preserve">. </w:t>
      </w:r>
      <w:r w:rsidR="00BC242E" w:rsidRPr="00E93DA8">
        <w:rPr>
          <w:bCs/>
          <w:iCs/>
          <w:sz w:val="24"/>
          <w:szCs w:val="24"/>
        </w:rPr>
        <w:t>Osobné výdavky majú v roku 2017</w:t>
      </w:r>
      <w:r w:rsidRPr="00E93DA8">
        <w:rPr>
          <w:bCs/>
          <w:iCs/>
          <w:sz w:val="24"/>
          <w:szCs w:val="24"/>
        </w:rPr>
        <w:t xml:space="preserve"> vzrásť </w:t>
      </w:r>
      <w:r w:rsidR="003C7DB2" w:rsidRPr="00E93DA8">
        <w:rPr>
          <w:bCs/>
          <w:iCs/>
          <w:sz w:val="24"/>
          <w:szCs w:val="24"/>
        </w:rPr>
        <w:t xml:space="preserve">oproti rozpočtu 2016 </w:t>
      </w:r>
      <w:r w:rsidRPr="00E93DA8">
        <w:rPr>
          <w:bCs/>
          <w:iCs/>
          <w:sz w:val="24"/>
          <w:szCs w:val="24"/>
        </w:rPr>
        <w:t>o</w:t>
      </w:r>
      <w:r w:rsidR="003C7DB2" w:rsidRPr="00E93DA8">
        <w:rPr>
          <w:bCs/>
          <w:iCs/>
          <w:sz w:val="24"/>
          <w:szCs w:val="24"/>
        </w:rPr>
        <w:t> 8,03</w:t>
      </w:r>
      <w:r w:rsidRPr="00E93DA8">
        <w:rPr>
          <w:bCs/>
          <w:iCs/>
          <w:sz w:val="24"/>
          <w:szCs w:val="24"/>
        </w:rPr>
        <w:t xml:space="preserve">%. </w:t>
      </w:r>
    </w:p>
    <w:p w:rsidR="006E179B" w:rsidRPr="00E93DA8" w:rsidRDefault="007016DD" w:rsidP="00E93DA8">
      <w:pPr>
        <w:jc w:val="both"/>
        <w:rPr>
          <w:bCs/>
          <w:iCs/>
          <w:sz w:val="24"/>
          <w:szCs w:val="24"/>
        </w:rPr>
      </w:pPr>
      <w:r w:rsidRPr="00E93DA8">
        <w:rPr>
          <w:bCs/>
          <w:iCs/>
          <w:sz w:val="24"/>
          <w:szCs w:val="24"/>
        </w:rPr>
        <w:t>KOZ SR pozitívne hodnotí odhad priemerných mzdových výdavkov vo verejnom</w:t>
      </w:r>
      <w:r w:rsidR="00BC242E" w:rsidRPr="00E93DA8">
        <w:rPr>
          <w:bCs/>
          <w:iCs/>
          <w:sz w:val="24"/>
          <w:szCs w:val="24"/>
        </w:rPr>
        <w:t xml:space="preserve"> sektore, ktoré budú</w:t>
      </w:r>
      <w:r w:rsidR="003C7DB2" w:rsidRPr="00E93DA8">
        <w:rPr>
          <w:bCs/>
          <w:iCs/>
          <w:sz w:val="24"/>
          <w:szCs w:val="24"/>
        </w:rPr>
        <w:t xml:space="preserve"> aj</w:t>
      </w:r>
      <w:r w:rsidR="00BC242E" w:rsidRPr="00E93DA8">
        <w:rPr>
          <w:bCs/>
          <w:iCs/>
          <w:sz w:val="24"/>
          <w:szCs w:val="24"/>
        </w:rPr>
        <w:t xml:space="preserve"> v roku 2017</w:t>
      </w:r>
      <w:r w:rsidRPr="00E93DA8">
        <w:rPr>
          <w:bCs/>
          <w:iCs/>
          <w:sz w:val="24"/>
          <w:szCs w:val="24"/>
        </w:rPr>
        <w:t xml:space="preserve"> predstavovať </w:t>
      </w:r>
      <w:r w:rsidR="003C7DB2" w:rsidRPr="00E93DA8">
        <w:rPr>
          <w:bCs/>
          <w:iCs/>
          <w:sz w:val="24"/>
          <w:szCs w:val="24"/>
        </w:rPr>
        <w:t>1,06</w:t>
      </w:r>
      <w:r w:rsidRPr="00E93DA8">
        <w:rPr>
          <w:bCs/>
          <w:iCs/>
          <w:sz w:val="24"/>
          <w:szCs w:val="24"/>
        </w:rPr>
        <w:t xml:space="preserve">-násobok priemernej mzdy v národnom hospodárstve. </w:t>
      </w:r>
      <w:r w:rsidRPr="00E93DA8">
        <w:rPr>
          <w:b/>
          <w:bCs/>
          <w:iCs/>
          <w:sz w:val="24"/>
          <w:szCs w:val="24"/>
        </w:rPr>
        <w:t xml:space="preserve">Znižovanie tohto pomeru je pre KOZ SR neprijateľné, nakoľko neexistuje žiadny </w:t>
      </w:r>
      <w:r w:rsidRPr="00E93DA8">
        <w:rPr>
          <w:b/>
          <w:bCs/>
          <w:iCs/>
          <w:sz w:val="24"/>
          <w:szCs w:val="24"/>
        </w:rPr>
        <w:lastRenderedPageBreak/>
        <w:t>objektívny dôvod nato, aby priemerné platy vo verejnom sektore nedosahovali úroveň priemerných miezd v národnom hospodárstve.</w:t>
      </w:r>
    </w:p>
    <w:p w:rsidR="00FF2014" w:rsidRPr="00A275B4" w:rsidRDefault="00FF2014" w:rsidP="00E93DA8">
      <w:pPr>
        <w:jc w:val="both"/>
        <w:rPr>
          <w:b/>
          <w:bCs/>
          <w:iCs/>
          <w:sz w:val="24"/>
          <w:szCs w:val="24"/>
        </w:rPr>
      </w:pPr>
      <w:r w:rsidRPr="00E93DA8">
        <w:rPr>
          <w:bCs/>
          <w:iCs/>
          <w:sz w:val="24"/>
          <w:szCs w:val="24"/>
        </w:rPr>
        <w:t xml:space="preserve">Priemerný mzdový výdavok zamestnancov regionálneho školstva sa v roku 2017 očakáva na úrovni 986,92€, pedagogických a odborných zamestnancov na úrovni 1 116,00€ (medziročný rozpočtovaný nárast o 63,17€) a nepedagogických zamestnancov na úrovni 567,62€. </w:t>
      </w:r>
      <w:r w:rsidR="007F142B" w:rsidRPr="00E93DA8">
        <w:rPr>
          <w:bCs/>
          <w:iCs/>
          <w:sz w:val="24"/>
          <w:szCs w:val="24"/>
        </w:rPr>
        <w:t>Vzhľadom</w:t>
      </w:r>
      <w:r w:rsidRPr="00E93DA8">
        <w:rPr>
          <w:bCs/>
          <w:iCs/>
          <w:sz w:val="24"/>
          <w:szCs w:val="24"/>
        </w:rPr>
        <w:t xml:space="preserve"> na skutočnosť, že výsledky</w:t>
      </w:r>
      <w:r w:rsidRPr="00E93DA8">
        <w:rPr>
          <w:b/>
          <w:bCs/>
          <w:iCs/>
          <w:sz w:val="24"/>
          <w:szCs w:val="24"/>
        </w:rPr>
        <w:t xml:space="preserve"> v oblasti vzdelávania sú v medzinárodnom porovnaní slabé a ešte viac sa zhoršili, je potrebné zatraktívniť učiteľské povolanie a investovať do vzdelávacích systémov. </w:t>
      </w:r>
      <w:r w:rsidR="007F142B" w:rsidRPr="00E93DA8">
        <w:rPr>
          <w:bCs/>
          <w:iCs/>
          <w:sz w:val="24"/>
          <w:szCs w:val="24"/>
        </w:rPr>
        <w:t xml:space="preserve">KOZ SR považuje za </w:t>
      </w:r>
      <w:r w:rsidR="007F142B" w:rsidRPr="00E93DA8">
        <w:rPr>
          <w:b/>
          <w:bCs/>
          <w:iCs/>
          <w:sz w:val="24"/>
          <w:szCs w:val="24"/>
        </w:rPr>
        <w:t>neprijateľne</w:t>
      </w:r>
      <w:r w:rsidRPr="00E93DA8">
        <w:rPr>
          <w:b/>
          <w:bCs/>
          <w:iCs/>
          <w:sz w:val="24"/>
          <w:szCs w:val="24"/>
        </w:rPr>
        <w:t xml:space="preserve"> nízke ohodnotenie nepedagogických zamestnancov a celkovo zamestnancov, ktorí sú odmeňovaní</w:t>
      </w:r>
      <w:r w:rsidRPr="00E93DA8">
        <w:rPr>
          <w:bCs/>
          <w:iCs/>
          <w:sz w:val="24"/>
          <w:szCs w:val="24"/>
        </w:rPr>
        <w:t xml:space="preserve"> </w:t>
      </w:r>
      <w:r w:rsidR="002301DA" w:rsidRPr="00A275B4">
        <w:rPr>
          <w:b/>
          <w:bCs/>
          <w:iCs/>
          <w:sz w:val="24"/>
          <w:szCs w:val="24"/>
        </w:rPr>
        <w:t>podľa zákona č. 553/2003, najmä pokiaľ sú ich tarifné platy pod úrovňou minimálnej mzdy.</w:t>
      </w:r>
    </w:p>
    <w:p w:rsidR="00523964" w:rsidRPr="00E93DA8" w:rsidRDefault="00523964" w:rsidP="00E93DA8">
      <w:pPr>
        <w:jc w:val="both"/>
        <w:rPr>
          <w:bCs/>
          <w:iCs/>
          <w:sz w:val="24"/>
          <w:szCs w:val="24"/>
        </w:rPr>
      </w:pPr>
      <w:r w:rsidRPr="00E93DA8">
        <w:rPr>
          <w:bCs/>
          <w:iCs/>
          <w:sz w:val="24"/>
          <w:szCs w:val="24"/>
        </w:rPr>
        <w:t>Rada EÚ Slovensku dlhodobo vytýka neefektívnu verejnú správu, vzhľadom na jej fragmentovanú a nepružnú štruktúru chýbajúcu účinnú koordináciu.</w:t>
      </w:r>
      <w:r w:rsidRPr="00E93DA8">
        <w:rPr>
          <w:b/>
          <w:bCs/>
          <w:iCs/>
          <w:sz w:val="24"/>
          <w:szCs w:val="24"/>
        </w:rPr>
        <w:t xml:space="preserve"> Jedným z dôvodov je aj skutočnosť, že platy väčšiny zamestnancov vo verejnom sektore nedosahujú ani len priemernú mzdu</w:t>
      </w:r>
      <w:r w:rsidRPr="00E93DA8">
        <w:rPr>
          <w:bCs/>
          <w:iCs/>
          <w:sz w:val="24"/>
          <w:szCs w:val="24"/>
        </w:rPr>
        <w:t xml:space="preserve"> v národnom hospodárstve</w:t>
      </w:r>
      <w:r w:rsidR="0099544B" w:rsidRPr="00E93DA8">
        <w:rPr>
          <w:bCs/>
          <w:iCs/>
          <w:sz w:val="24"/>
          <w:szCs w:val="24"/>
        </w:rPr>
        <w:t>.</w:t>
      </w:r>
    </w:p>
    <w:p w:rsidR="002301DA" w:rsidRPr="00E93DA8" w:rsidRDefault="002301DA" w:rsidP="00E93DA8">
      <w:pPr>
        <w:jc w:val="both"/>
        <w:rPr>
          <w:bCs/>
          <w:iCs/>
          <w:sz w:val="24"/>
          <w:szCs w:val="24"/>
        </w:rPr>
      </w:pPr>
      <w:r w:rsidRPr="00E93DA8">
        <w:rPr>
          <w:bCs/>
          <w:iCs/>
          <w:sz w:val="24"/>
          <w:szCs w:val="24"/>
        </w:rPr>
        <w:t>KOZ SR je presvedčená o tom, že so zreteľom na súčasný vývoj a</w:t>
      </w:r>
      <w:r w:rsidR="00FA6262" w:rsidRPr="00E93DA8">
        <w:rPr>
          <w:bCs/>
          <w:iCs/>
          <w:sz w:val="24"/>
          <w:szCs w:val="24"/>
        </w:rPr>
        <w:t> </w:t>
      </w:r>
      <w:r w:rsidRPr="00E93DA8">
        <w:rPr>
          <w:bCs/>
          <w:iCs/>
          <w:sz w:val="24"/>
          <w:szCs w:val="24"/>
        </w:rPr>
        <w:t>prognózy</w:t>
      </w:r>
      <w:r w:rsidR="00FA6262" w:rsidRPr="00E93DA8">
        <w:rPr>
          <w:bCs/>
          <w:iCs/>
          <w:sz w:val="24"/>
          <w:szCs w:val="24"/>
        </w:rPr>
        <w:t>, pozitívny hospodársky vývoj, vyššie daňové príjmy, pokles hrubého dlhu verejnej správy pod 50% HDP a rozpočtový prebytok</w:t>
      </w:r>
      <w:r w:rsidRPr="00E93DA8">
        <w:rPr>
          <w:bCs/>
          <w:iCs/>
          <w:sz w:val="24"/>
          <w:szCs w:val="24"/>
        </w:rPr>
        <w:t xml:space="preserve"> existuje dostatočný </w:t>
      </w:r>
      <w:r w:rsidRPr="00E93DA8">
        <w:rPr>
          <w:b/>
          <w:bCs/>
          <w:iCs/>
          <w:sz w:val="24"/>
          <w:szCs w:val="24"/>
        </w:rPr>
        <w:t>priestor pre valorizáciu platov zamestnancov verejnej a štátnej správy</w:t>
      </w:r>
      <w:r w:rsidRPr="00E93DA8">
        <w:rPr>
          <w:bCs/>
          <w:iCs/>
          <w:sz w:val="24"/>
          <w:szCs w:val="24"/>
        </w:rPr>
        <w:t>.</w:t>
      </w:r>
    </w:p>
    <w:p w:rsidR="00523964" w:rsidRDefault="004232A2" w:rsidP="00523964">
      <w:pPr>
        <w:spacing w:after="200"/>
        <w:jc w:val="both"/>
        <w:rPr>
          <w:bCs/>
          <w:iCs/>
          <w:sz w:val="24"/>
          <w:szCs w:val="24"/>
        </w:rPr>
      </w:pPr>
      <w:r w:rsidRPr="00F74A50">
        <w:rPr>
          <w:b/>
          <w:bCs/>
          <w:iCs/>
          <w:sz w:val="24"/>
          <w:szCs w:val="24"/>
        </w:rPr>
        <w:t>KOZ SR požaduje rozpočtovať rezervu na závery kolektívneho vyjednávania</w:t>
      </w:r>
      <w:r w:rsidRPr="00F74A50">
        <w:rPr>
          <w:bCs/>
          <w:iCs/>
          <w:sz w:val="24"/>
          <w:szCs w:val="24"/>
        </w:rPr>
        <w:t xml:space="preserve"> kolektívnych zmlúv vyššieho stupňa pre štátnu a verejnú službu. Návrh rozpočtu tak ako je spracovaný spochybňuje zmysluplnosť samotného kolektívneho vyjednávania pre najbližšie tri roky a znižuje celospoločenský význam kolektívnych zmlúv vyššieho stupňa.</w:t>
      </w:r>
    </w:p>
    <w:p w:rsidR="007F142B" w:rsidRPr="007F142B" w:rsidRDefault="007F142B" w:rsidP="00523964">
      <w:pPr>
        <w:spacing w:after="200"/>
        <w:jc w:val="both"/>
        <w:rPr>
          <w:b/>
          <w:bCs/>
          <w:iCs/>
          <w:sz w:val="24"/>
          <w:szCs w:val="24"/>
        </w:rPr>
      </w:pPr>
      <w:r w:rsidRPr="007F142B">
        <w:rPr>
          <w:b/>
          <w:bCs/>
          <w:iCs/>
          <w:sz w:val="24"/>
          <w:szCs w:val="24"/>
        </w:rPr>
        <w:t>2.1. Pripomienky KOZ SR k návrhu rozpočtu vybraných kapitol</w:t>
      </w:r>
    </w:p>
    <w:p w:rsidR="007F142B" w:rsidRPr="007F142B" w:rsidRDefault="007F142B" w:rsidP="007F142B">
      <w:pPr>
        <w:jc w:val="both"/>
        <w:rPr>
          <w:bCs/>
          <w:iCs/>
          <w:sz w:val="24"/>
          <w:szCs w:val="24"/>
        </w:rPr>
      </w:pPr>
      <w:r w:rsidRPr="007F142B">
        <w:rPr>
          <w:b/>
          <w:bCs/>
          <w:iCs/>
          <w:sz w:val="24"/>
          <w:szCs w:val="24"/>
        </w:rPr>
        <w:t xml:space="preserve">KOZ SR navrhuje prehodnotiť, resp. navýšiť finančné prostriedky v jednotlivých pro-rastovo orientovaných rozpočtových položkách, </w:t>
      </w:r>
      <w:r w:rsidRPr="007F142B">
        <w:rPr>
          <w:bCs/>
          <w:iCs/>
          <w:sz w:val="24"/>
          <w:szCs w:val="24"/>
        </w:rPr>
        <w:t xml:space="preserve">nakoľko okrem iného, súčasný návrh rozpočtu vyvoláva ich stagnáciu a v niektorých prípadoch až pokles, čo mám nepriaznivý vplyv v tých oblastiach hospodárstva, ktoré majú výrazný vplyv na zamestnanosť, ako aj rovnovážny a udržateľný ekonomický rast. </w:t>
      </w:r>
    </w:p>
    <w:p w:rsidR="007F142B" w:rsidRPr="007F142B" w:rsidRDefault="007F142B" w:rsidP="007F142B">
      <w:pPr>
        <w:jc w:val="both"/>
        <w:rPr>
          <w:bCs/>
          <w:iCs/>
          <w:sz w:val="24"/>
          <w:szCs w:val="24"/>
        </w:rPr>
      </w:pPr>
      <w:r w:rsidRPr="007F142B">
        <w:rPr>
          <w:bCs/>
          <w:iCs/>
          <w:sz w:val="24"/>
          <w:szCs w:val="24"/>
        </w:rPr>
        <w:t xml:space="preserve">Navrhované finančné prostriedky napr. do cestnej infraštruktúry, železničnej infraštruktúry, pre oblasť civilného letectva, či na podporu rozvoja bývania nezodpovedajú stanoveným úlohám. </w:t>
      </w:r>
    </w:p>
    <w:p w:rsidR="007F142B" w:rsidRPr="007F142B" w:rsidRDefault="007F142B" w:rsidP="007F142B">
      <w:pPr>
        <w:jc w:val="both"/>
        <w:rPr>
          <w:bCs/>
          <w:iCs/>
          <w:sz w:val="24"/>
          <w:szCs w:val="24"/>
        </w:rPr>
      </w:pPr>
      <w:r w:rsidRPr="007F142B">
        <w:rPr>
          <w:bCs/>
          <w:iCs/>
          <w:sz w:val="24"/>
          <w:szCs w:val="24"/>
        </w:rPr>
        <w:t xml:space="preserve">Kladne však možno hodnotiť, že aj na rok 2017 je rozpočtovaných na rozvoj bývania 40 mil. €, čo je úroveň roka 2016 (pričom oproti roku 2015 nárast o 100%). V predchádzajúcich rokoch nebol limit výdavkov na tento účel dostatočne finančne krytý, finančné prostriedky boli až dodatočne pridelené, čo bolo na úkor náhradných nájomných bytov (z celkového bytového fondu tvorí nájomné bývanie len cca 3%), ako aj štátnej prémie pri stavebnom sporení, ktorá má veľký význam predovšetkým pre mladých ľudí a rodiny, avšak toto opatrenie postupne, s poklesom štátnej podpory stavebného sporenia, naďalej stráca na atraktivite. </w:t>
      </w:r>
    </w:p>
    <w:p w:rsidR="007F142B" w:rsidRPr="007F142B" w:rsidRDefault="007F142B" w:rsidP="007F142B">
      <w:pPr>
        <w:spacing w:after="200"/>
        <w:jc w:val="both"/>
        <w:rPr>
          <w:bCs/>
          <w:iCs/>
          <w:sz w:val="24"/>
          <w:szCs w:val="24"/>
        </w:rPr>
      </w:pPr>
      <w:r w:rsidRPr="007F142B">
        <w:rPr>
          <w:bCs/>
          <w:iCs/>
          <w:sz w:val="24"/>
          <w:szCs w:val="24"/>
        </w:rPr>
        <w:t>KOZ SR zároveň odporúča neznižovať, ale naopak v budúcnosti zvýšiť príspevok na štátnu prémiu pri stavebnom sporení, ktoré výrazne prispieva k rozvoju individuálnej bytovej výstavby, obdobne aj ŠFRB.</w:t>
      </w:r>
    </w:p>
    <w:p w:rsidR="0032711A" w:rsidRPr="004B63A5" w:rsidRDefault="006606DC" w:rsidP="006606DC">
      <w:pPr>
        <w:numPr>
          <w:ilvl w:val="0"/>
          <w:numId w:val="16"/>
        </w:numPr>
        <w:spacing w:after="200"/>
        <w:ind w:left="426"/>
        <w:jc w:val="both"/>
        <w:rPr>
          <w:b/>
          <w:sz w:val="24"/>
          <w:szCs w:val="24"/>
        </w:rPr>
      </w:pPr>
      <w:r>
        <w:rPr>
          <w:b/>
          <w:sz w:val="24"/>
          <w:szCs w:val="24"/>
        </w:rPr>
        <w:t>Z</w:t>
      </w:r>
      <w:r w:rsidR="0032711A" w:rsidRPr="004B63A5">
        <w:rPr>
          <w:b/>
          <w:sz w:val="24"/>
          <w:szCs w:val="24"/>
        </w:rPr>
        <w:t>ávery a</w:t>
      </w:r>
      <w:r w:rsidR="001D064B" w:rsidRPr="004B63A5">
        <w:rPr>
          <w:b/>
          <w:sz w:val="24"/>
          <w:szCs w:val="24"/>
        </w:rPr>
        <w:t> </w:t>
      </w:r>
      <w:r w:rsidR="0032711A" w:rsidRPr="004B63A5">
        <w:rPr>
          <w:b/>
          <w:sz w:val="24"/>
          <w:szCs w:val="24"/>
        </w:rPr>
        <w:t>odporúčania</w:t>
      </w:r>
    </w:p>
    <w:p w:rsidR="007016DD" w:rsidRDefault="0099544B" w:rsidP="007016DD">
      <w:pPr>
        <w:jc w:val="both"/>
        <w:rPr>
          <w:bCs/>
          <w:iCs/>
          <w:sz w:val="24"/>
          <w:szCs w:val="24"/>
        </w:rPr>
      </w:pPr>
      <w:r>
        <w:rPr>
          <w:bCs/>
          <w:iCs/>
          <w:sz w:val="24"/>
          <w:szCs w:val="24"/>
        </w:rPr>
        <w:t>Vzhľadom na krátkosť času pripomienkovani</w:t>
      </w:r>
      <w:r w:rsidR="00D320C1">
        <w:rPr>
          <w:bCs/>
          <w:iCs/>
          <w:sz w:val="24"/>
          <w:szCs w:val="24"/>
        </w:rPr>
        <w:t>a</w:t>
      </w:r>
      <w:bookmarkStart w:id="0" w:name="_GoBack"/>
      <w:bookmarkEnd w:id="0"/>
      <w:r>
        <w:rPr>
          <w:bCs/>
          <w:iCs/>
          <w:sz w:val="24"/>
          <w:szCs w:val="24"/>
        </w:rPr>
        <w:t xml:space="preserve">, </w:t>
      </w:r>
      <w:r w:rsidR="007016DD" w:rsidRPr="00F54A0A">
        <w:rPr>
          <w:bCs/>
          <w:iCs/>
          <w:sz w:val="24"/>
          <w:szCs w:val="24"/>
        </w:rPr>
        <w:t xml:space="preserve">KOZ SR </w:t>
      </w:r>
      <w:r w:rsidR="007016DD">
        <w:rPr>
          <w:bCs/>
          <w:iCs/>
          <w:sz w:val="24"/>
          <w:szCs w:val="24"/>
        </w:rPr>
        <w:t>berie predložený Návrh rozpočtu</w:t>
      </w:r>
      <w:r w:rsidR="007016DD">
        <w:rPr>
          <w:sz w:val="24"/>
          <w:szCs w:val="24"/>
        </w:rPr>
        <w:t xml:space="preserve"> verejnej správy na roky 201</w:t>
      </w:r>
      <w:r>
        <w:rPr>
          <w:sz w:val="24"/>
          <w:szCs w:val="24"/>
        </w:rPr>
        <w:t>7</w:t>
      </w:r>
      <w:r w:rsidR="007016DD" w:rsidRPr="007D4B54">
        <w:rPr>
          <w:sz w:val="24"/>
          <w:szCs w:val="24"/>
        </w:rPr>
        <w:t xml:space="preserve"> až 201</w:t>
      </w:r>
      <w:r>
        <w:rPr>
          <w:sz w:val="24"/>
          <w:szCs w:val="24"/>
        </w:rPr>
        <w:t>9</w:t>
      </w:r>
      <w:r w:rsidR="007016DD">
        <w:rPr>
          <w:bCs/>
          <w:iCs/>
          <w:sz w:val="24"/>
          <w:szCs w:val="24"/>
        </w:rPr>
        <w:t xml:space="preserve"> na vedomie s</w:t>
      </w:r>
      <w:r>
        <w:rPr>
          <w:bCs/>
          <w:iCs/>
          <w:sz w:val="24"/>
          <w:szCs w:val="24"/>
        </w:rPr>
        <w:t xml:space="preserve"> vyššie uvedenými </w:t>
      </w:r>
      <w:r w:rsidR="007016DD">
        <w:rPr>
          <w:bCs/>
          <w:iCs/>
          <w:sz w:val="24"/>
          <w:szCs w:val="24"/>
        </w:rPr>
        <w:t xml:space="preserve">pripomienkami. </w:t>
      </w:r>
    </w:p>
    <w:p w:rsidR="007016DD" w:rsidRPr="00F54A0A" w:rsidRDefault="007016DD" w:rsidP="007016DD">
      <w:pPr>
        <w:jc w:val="both"/>
        <w:rPr>
          <w:sz w:val="24"/>
          <w:szCs w:val="24"/>
        </w:rPr>
      </w:pPr>
      <w:r>
        <w:rPr>
          <w:bCs/>
          <w:iCs/>
          <w:sz w:val="24"/>
          <w:szCs w:val="24"/>
        </w:rPr>
        <w:t>KOZ SR odporúča návrh rozpočtu na ďalšie legislatívne konanie</w:t>
      </w:r>
      <w:r w:rsidR="0099544B">
        <w:rPr>
          <w:bCs/>
          <w:iCs/>
          <w:sz w:val="24"/>
          <w:szCs w:val="24"/>
        </w:rPr>
        <w:t xml:space="preserve"> po zapracovaní pripomienok</w:t>
      </w:r>
      <w:r>
        <w:rPr>
          <w:bCs/>
          <w:iCs/>
          <w:sz w:val="24"/>
          <w:szCs w:val="24"/>
        </w:rPr>
        <w:t>.</w:t>
      </w:r>
      <w:r w:rsidRPr="00F54A0A">
        <w:rPr>
          <w:sz w:val="24"/>
          <w:szCs w:val="24"/>
        </w:rPr>
        <w:t xml:space="preserve"> </w:t>
      </w:r>
    </w:p>
    <w:p w:rsidR="00345265" w:rsidRDefault="00345265" w:rsidP="00872878">
      <w:pPr>
        <w:pStyle w:val="Odsekzoznamu"/>
        <w:ind w:left="0"/>
        <w:contextualSpacing/>
        <w:rPr>
          <w:rFonts w:ascii="Times New Roman" w:hAnsi="Times New Roman"/>
          <w:sz w:val="24"/>
          <w:szCs w:val="24"/>
        </w:rPr>
      </w:pPr>
    </w:p>
    <w:sectPr w:rsidR="00345265" w:rsidSect="00DF6753">
      <w:pgSz w:w="11907" w:h="16840" w:code="9"/>
      <w:pgMar w:top="1304" w:right="1304" w:bottom="1304" w:left="1304" w:header="0" w:footer="85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738" w:rsidRDefault="00E25738">
      <w:r>
        <w:separator/>
      </w:r>
    </w:p>
  </w:endnote>
  <w:endnote w:type="continuationSeparator" w:id="0">
    <w:p w:rsidR="00E25738" w:rsidRDefault="00E2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ITC Bookman E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EE"/>
    <w:family w:val="roman"/>
    <w:notTrueType/>
    <w:pitch w:val="default"/>
    <w:sig w:usb0="00000003"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738" w:rsidRDefault="00E25738">
      <w:r>
        <w:separator/>
      </w:r>
    </w:p>
  </w:footnote>
  <w:footnote w:type="continuationSeparator" w:id="0">
    <w:p w:rsidR="00E25738" w:rsidRDefault="00E25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952"/>
    <w:multiLevelType w:val="hybridMultilevel"/>
    <w:tmpl w:val="0146539C"/>
    <w:lvl w:ilvl="0" w:tplc="9A925B1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34649B"/>
    <w:multiLevelType w:val="hybridMultilevel"/>
    <w:tmpl w:val="914443AA"/>
    <w:lvl w:ilvl="0" w:tplc="FEE0734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92445F"/>
    <w:multiLevelType w:val="hybridMultilevel"/>
    <w:tmpl w:val="BECE9846"/>
    <w:lvl w:ilvl="0" w:tplc="506A7B06">
      <w:start w:val="1"/>
      <w:numFmt w:val="decimal"/>
      <w:pStyle w:val="odsek1"/>
      <w:lvlText w:val="(%1)"/>
      <w:lvlJc w:val="lef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51CC7F58"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28452276"/>
    <w:multiLevelType w:val="hybridMultilevel"/>
    <w:tmpl w:val="E9D2DEAC"/>
    <w:lvl w:ilvl="0" w:tplc="37C03AB0">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97E7758"/>
    <w:multiLevelType w:val="hybridMultilevel"/>
    <w:tmpl w:val="4A1C8DB0"/>
    <w:lvl w:ilvl="0" w:tplc="B84CDEB4">
      <w:start w:val="84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A5A85"/>
    <w:multiLevelType w:val="hybridMultilevel"/>
    <w:tmpl w:val="01BAB3D4"/>
    <w:lvl w:ilvl="0" w:tplc="641CEA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502594"/>
    <w:multiLevelType w:val="hybridMultilevel"/>
    <w:tmpl w:val="9D346F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37189F"/>
    <w:multiLevelType w:val="hybridMultilevel"/>
    <w:tmpl w:val="87261EDC"/>
    <w:lvl w:ilvl="0" w:tplc="37761164">
      <w:start w:val="16"/>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CC6307"/>
    <w:multiLevelType w:val="hybridMultilevel"/>
    <w:tmpl w:val="93DC0D32"/>
    <w:lvl w:ilvl="0" w:tplc="3184F2E2">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452C0F"/>
    <w:multiLevelType w:val="hybridMultilevel"/>
    <w:tmpl w:val="DD300F8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42840DD2"/>
    <w:multiLevelType w:val="hybridMultilevel"/>
    <w:tmpl w:val="D27A2C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505D3FFE"/>
    <w:multiLevelType w:val="hybridMultilevel"/>
    <w:tmpl w:val="068449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781C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EE07A8"/>
    <w:multiLevelType w:val="hybridMultilevel"/>
    <w:tmpl w:val="08DC2B68"/>
    <w:lvl w:ilvl="0" w:tplc="41049D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FF13779"/>
    <w:multiLevelType w:val="hybridMultilevel"/>
    <w:tmpl w:val="A88227F6"/>
    <w:lvl w:ilvl="0" w:tplc="3EBE9174">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4"/>
  </w:num>
  <w:num w:numId="5">
    <w:abstractNumId w:val="16"/>
  </w:num>
  <w:num w:numId="6">
    <w:abstractNumId w:val="6"/>
  </w:num>
  <w:num w:numId="7">
    <w:abstractNumId w:val="9"/>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num>
  <w:num w:numId="13">
    <w:abstractNumId w:val="4"/>
  </w:num>
  <w:num w:numId="14">
    <w:abstractNumId w:val="11"/>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FA7"/>
    <w:rsid w:val="00012D05"/>
    <w:rsid w:val="00014428"/>
    <w:rsid w:val="000178BB"/>
    <w:rsid w:val="000340C9"/>
    <w:rsid w:val="0004462D"/>
    <w:rsid w:val="00044F7C"/>
    <w:rsid w:val="000520BA"/>
    <w:rsid w:val="0006137F"/>
    <w:rsid w:val="0006625D"/>
    <w:rsid w:val="000B28F3"/>
    <w:rsid w:val="000C2A87"/>
    <w:rsid w:val="000C4C2A"/>
    <w:rsid w:val="000F176D"/>
    <w:rsid w:val="000F1CBA"/>
    <w:rsid w:val="000F4AFC"/>
    <w:rsid w:val="0010284E"/>
    <w:rsid w:val="0010287F"/>
    <w:rsid w:val="001029D2"/>
    <w:rsid w:val="00105A5A"/>
    <w:rsid w:val="00106B2F"/>
    <w:rsid w:val="00107055"/>
    <w:rsid w:val="00117222"/>
    <w:rsid w:val="00120440"/>
    <w:rsid w:val="00126F6E"/>
    <w:rsid w:val="00136F4F"/>
    <w:rsid w:val="00142764"/>
    <w:rsid w:val="00142973"/>
    <w:rsid w:val="00152748"/>
    <w:rsid w:val="001531AB"/>
    <w:rsid w:val="001653CF"/>
    <w:rsid w:val="00165AEF"/>
    <w:rsid w:val="0016743D"/>
    <w:rsid w:val="00181BA7"/>
    <w:rsid w:val="00182EBF"/>
    <w:rsid w:val="00187CF0"/>
    <w:rsid w:val="001972EE"/>
    <w:rsid w:val="001A5292"/>
    <w:rsid w:val="001B116B"/>
    <w:rsid w:val="001B3D9E"/>
    <w:rsid w:val="001C317D"/>
    <w:rsid w:val="001C5237"/>
    <w:rsid w:val="001D064B"/>
    <w:rsid w:val="001D1CDF"/>
    <w:rsid w:val="001E1306"/>
    <w:rsid w:val="001E673B"/>
    <w:rsid w:val="001E7ABF"/>
    <w:rsid w:val="001F6823"/>
    <w:rsid w:val="001F748E"/>
    <w:rsid w:val="002053CB"/>
    <w:rsid w:val="00206FFE"/>
    <w:rsid w:val="00210EC7"/>
    <w:rsid w:val="0021533F"/>
    <w:rsid w:val="0021628F"/>
    <w:rsid w:val="00217428"/>
    <w:rsid w:val="002301DA"/>
    <w:rsid w:val="002322F0"/>
    <w:rsid w:val="00234939"/>
    <w:rsid w:val="00236044"/>
    <w:rsid w:val="0024172F"/>
    <w:rsid w:val="00242B4D"/>
    <w:rsid w:val="002434E3"/>
    <w:rsid w:val="002471D9"/>
    <w:rsid w:val="00251F6A"/>
    <w:rsid w:val="002714BB"/>
    <w:rsid w:val="002724DA"/>
    <w:rsid w:val="002729BE"/>
    <w:rsid w:val="00275263"/>
    <w:rsid w:val="002770EC"/>
    <w:rsid w:val="0028681C"/>
    <w:rsid w:val="0029385E"/>
    <w:rsid w:val="002975FD"/>
    <w:rsid w:val="002A481C"/>
    <w:rsid w:val="002A55DD"/>
    <w:rsid w:val="002A6382"/>
    <w:rsid w:val="002C36A3"/>
    <w:rsid w:val="002D63A9"/>
    <w:rsid w:val="002E2DF9"/>
    <w:rsid w:val="002E578A"/>
    <w:rsid w:val="002F0F76"/>
    <w:rsid w:val="003043AB"/>
    <w:rsid w:val="00307873"/>
    <w:rsid w:val="0032269A"/>
    <w:rsid w:val="00324369"/>
    <w:rsid w:val="003260BA"/>
    <w:rsid w:val="0032711A"/>
    <w:rsid w:val="0033189C"/>
    <w:rsid w:val="0033526B"/>
    <w:rsid w:val="00335EF8"/>
    <w:rsid w:val="003364B5"/>
    <w:rsid w:val="00341AFD"/>
    <w:rsid w:val="00345265"/>
    <w:rsid w:val="00345CAE"/>
    <w:rsid w:val="00347C61"/>
    <w:rsid w:val="00353083"/>
    <w:rsid w:val="00354BDE"/>
    <w:rsid w:val="003653FF"/>
    <w:rsid w:val="00374046"/>
    <w:rsid w:val="003769B5"/>
    <w:rsid w:val="003831B7"/>
    <w:rsid w:val="00385AA0"/>
    <w:rsid w:val="00391944"/>
    <w:rsid w:val="00392192"/>
    <w:rsid w:val="003938AD"/>
    <w:rsid w:val="00396D8E"/>
    <w:rsid w:val="003A0003"/>
    <w:rsid w:val="003B39BA"/>
    <w:rsid w:val="003C125B"/>
    <w:rsid w:val="003C7DB2"/>
    <w:rsid w:val="003D5BFD"/>
    <w:rsid w:val="003D5E44"/>
    <w:rsid w:val="003F2578"/>
    <w:rsid w:val="00407397"/>
    <w:rsid w:val="00410315"/>
    <w:rsid w:val="004232A2"/>
    <w:rsid w:val="00423BB8"/>
    <w:rsid w:val="00425172"/>
    <w:rsid w:val="00434D4F"/>
    <w:rsid w:val="0044337E"/>
    <w:rsid w:val="00445D6B"/>
    <w:rsid w:val="00447123"/>
    <w:rsid w:val="00453597"/>
    <w:rsid w:val="00461392"/>
    <w:rsid w:val="0046399C"/>
    <w:rsid w:val="0046616E"/>
    <w:rsid w:val="0048366E"/>
    <w:rsid w:val="00486A8C"/>
    <w:rsid w:val="0049645B"/>
    <w:rsid w:val="004B23A2"/>
    <w:rsid w:val="004B63A5"/>
    <w:rsid w:val="004D2F12"/>
    <w:rsid w:val="004D6821"/>
    <w:rsid w:val="004D69EF"/>
    <w:rsid w:val="004D6A6B"/>
    <w:rsid w:val="004F49A4"/>
    <w:rsid w:val="004F52FD"/>
    <w:rsid w:val="004F79DD"/>
    <w:rsid w:val="00511631"/>
    <w:rsid w:val="00513C4B"/>
    <w:rsid w:val="00517102"/>
    <w:rsid w:val="0051792F"/>
    <w:rsid w:val="00523964"/>
    <w:rsid w:val="00532D23"/>
    <w:rsid w:val="0053385C"/>
    <w:rsid w:val="00551C93"/>
    <w:rsid w:val="0055500E"/>
    <w:rsid w:val="00572A4C"/>
    <w:rsid w:val="00580EC4"/>
    <w:rsid w:val="0058235B"/>
    <w:rsid w:val="00583240"/>
    <w:rsid w:val="0059033E"/>
    <w:rsid w:val="005975B9"/>
    <w:rsid w:val="005A1FD4"/>
    <w:rsid w:val="005A4DDE"/>
    <w:rsid w:val="005B4395"/>
    <w:rsid w:val="005C637F"/>
    <w:rsid w:val="005C68DC"/>
    <w:rsid w:val="005D0928"/>
    <w:rsid w:val="005D0F0F"/>
    <w:rsid w:val="005D36D1"/>
    <w:rsid w:val="005D3708"/>
    <w:rsid w:val="005F29FD"/>
    <w:rsid w:val="005F5C4D"/>
    <w:rsid w:val="00602365"/>
    <w:rsid w:val="00606379"/>
    <w:rsid w:val="0061251D"/>
    <w:rsid w:val="00613088"/>
    <w:rsid w:val="00614065"/>
    <w:rsid w:val="00620168"/>
    <w:rsid w:val="006204DD"/>
    <w:rsid w:val="00620758"/>
    <w:rsid w:val="0062114A"/>
    <w:rsid w:val="006267DC"/>
    <w:rsid w:val="00627DB8"/>
    <w:rsid w:val="0064730C"/>
    <w:rsid w:val="006473BD"/>
    <w:rsid w:val="006519ED"/>
    <w:rsid w:val="006521ED"/>
    <w:rsid w:val="00654356"/>
    <w:rsid w:val="006606DC"/>
    <w:rsid w:val="006802DF"/>
    <w:rsid w:val="00682D59"/>
    <w:rsid w:val="006916AE"/>
    <w:rsid w:val="00693861"/>
    <w:rsid w:val="00693DBD"/>
    <w:rsid w:val="006A0F20"/>
    <w:rsid w:val="006A520C"/>
    <w:rsid w:val="006C424A"/>
    <w:rsid w:val="006D54ED"/>
    <w:rsid w:val="006D702E"/>
    <w:rsid w:val="006E179B"/>
    <w:rsid w:val="006E5652"/>
    <w:rsid w:val="006F013B"/>
    <w:rsid w:val="006F6929"/>
    <w:rsid w:val="007016DD"/>
    <w:rsid w:val="00705CC2"/>
    <w:rsid w:val="007149B0"/>
    <w:rsid w:val="007254B6"/>
    <w:rsid w:val="00727EF9"/>
    <w:rsid w:val="007340CE"/>
    <w:rsid w:val="00736800"/>
    <w:rsid w:val="007436D3"/>
    <w:rsid w:val="00753E3A"/>
    <w:rsid w:val="00754811"/>
    <w:rsid w:val="00756BB5"/>
    <w:rsid w:val="00756CFF"/>
    <w:rsid w:val="007627E2"/>
    <w:rsid w:val="00770347"/>
    <w:rsid w:val="00773E23"/>
    <w:rsid w:val="0077418C"/>
    <w:rsid w:val="00781F59"/>
    <w:rsid w:val="00792DBB"/>
    <w:rsid w:val="0079321D"/>
    <w:rsid w:val="007A1146"/>
    <w:rsid w:val="007A3E1D"/>
    <w:rsid w:val="007A7BBE"/>
    <w:rsid w:val="007B255B"/>
    <w:rsid w:val="007C246B"/>
    <w:rsid w:val="007C64B5"/>
    <w:rsid w:val="007D5B2F"/>
    <w:rsid w:val="007E4FB5"/>
    <w:rsid w:val="007F142B"/>
    <w:rsid w:val="007F2F53"/>
    <w:rsid w:val="007F3E51"/>
    <w:rsid w:val="00805ADB"/>
    <w:rsid w:val="00817FAC"/>
    <w:rsid w:val="00824F02"/>
    <w:rsid w:val="00830C09"/>
    <w:rsid w:val="0084110F"/>
    <w:rsid w:val="008423A4"/>
    <w:rsid w:val="00853E44"/>
    <w:rsid w:val="00854092"/>
    <w:rsid w:val="008549F2"/>
    <w:rsid w:val="00857DB6"/>
    <w:rsid w:val="0086414A"/>
    <w:rsid w:val="00872878"/>
    <w:rsid w:val="00874603"/>
    <w:rsid w:val="008766C1"/>
    <w:rsid w:val="00876805"/>
    <w:rsid w:val="00881D02"/>
    <w:rsid w:val="00883E0A"/>
    <w:rsid w:val="00886020"/>
    <w:rsid w:val="008970FB"/>
    <w:rsid w:val="00897B5B"/>
    <w:rsid w:val="008A72A3"/>
    <w:rsid w:val="008B2F79"/>
    <w:rsid w:val="008C2C91"/>
    <w:rsid w:val="008E0878"/>
    <w:rsid w:val="008E3C1D"/>
    <w:rsid w:val="008E6E49"/>
    <w:rsid w:val="008F31E9"/>
    <w:rsid w:val="00910429"/>
    <w:rsid w:val="00912796"/>
    <w:rsid w:val="00916B21"/>
    <w:rsid w:val="00923B5F"/>
    <w:rsid w:val="00930890"/>
    <w:rsid w:val="0094300C"/>
    <w:rsid w:val="0095334B"/>
    <w:rsid w:val="00956AC5"/>
    <w:rsid w:val="0096066F"/>
    <w:rsid w:val="00967CBB"/>
    <w:rsid w:val="0097252D"/>
    <w:rsid w:val="00974DDE"/>
    <w:rsid w:val="00980389"/>
    <w:rsid w:val="0099275D"/>
    <w:rsid w:val="00992804"/>
    <w:rsid w:val="0099544B"/>
    <w:rsid w:val="009A2834"/>
    <w:rsid w:val="009C187A"/>
    <w:rsid w:val="009C4105"/>
    <w:rsid w:val="009C7CA7"/>
    <w:rsid w:val="009D431F"/>
    <w:rsid w:val="009E3CC9"/>
    <w:rsid w:val="009F1743"/>
    <w:rsid w:val="009F2E3B"/>
    <w:rsid w:val="00A00162"/>
    <w:rsid w:val="00A02CB5"/>
    <w:rsid w:val="00A03212"/>
    <w:rsid w:val="00A1082F"/>
    <w:rsid w:val="00A12724"/>
    <w:rsid w:val="00A14A6D"/>
    <w:rsid w:val="00A21483"/>
    <w:rsid w:val="00A275B4"/>
    <w:rsid w:val="00A31AA4"/>
    <w:rsid w:val="00A322D5"/>
    <w:rsid w:val="00A36F8F"/>
    <w:rsid w:val="00A41A17"/>
    <w:rsid w:val="00A50B76"/>
    <w:rsid w:val="00A57320"/>
    <w:rsid w:val="00A57357"/>
    <w:rsid w:val="00A62D0C"/>
    <w:rsid w:val="00A673F3"/>
    <w:rsid w:val="00A7129A"/>
    <w:rsid w:val="00A73E7C"/>
    <w:rsid w:val="00A745D5"/>
    <w:rsid w:val="00A75B53"/>
    <w:rsid w:val="00A84A65"/>
    <w:rsid w:val="00A87EDB"/>
    <w:rsid w:val="00A906B0"/>
    <w:rsid w:val="00A91857"/>
    <w:rsid w:val="00A97E72"/>
    <w:rsid w:val="00AB6123"/>
    <w:rsid w:val="00AD3FA3"/>
    <w:rsid w:val="00AD7B53"/>
    <w:rsid w:val="00AE47BF"/>
    <w:rsid w:val="00AE6ADE"/>
    <w:rsid w:val="00B04398"/>
    <w:rsid w:val="00B1799A"/>
    <w:rsid w:val="00B23EC8"/>
    <w:rsid w:val="00B25C0F"/>
    <w:rsid w:val="00B2679F"/>
    <w:rsid w:val="00B26E70"/>
    <w:rsid w:val="00B31DF5"/>
    <w:rsid w:val="00B36496"/>
    <w:rsid w:val="00B372F8"/>
    <w:rsid w:val="00B40F49"/>
    <w:rsid w:val="00B4533B"/>
    <w:rsid w:val="00B4643D"/>
    <w:rsid w:val="00B51251"/>
    <w:rsid w:val="00B519AD"/>
    <w:rsid w:val="00B53B23"/>
    <w:rsid w:val="00B6220C"/>
    <w:rsid w:val="00B872A4"/>
    <w:rsid w:val="00B87834"/>
    <w:rsid w:val="00B95CE6"/>
    <w:rsid w:val="00BA7999"/>
    <w:rsid w:val="00BB09E0"/>
    <w:rsid w:val="00BB3D9D"/>
    <w:rsid w:val="00BB4C50"/>
    <w:rsid w:val="00BB5C19"/>
    <w:rsid w:val="00BB6A1E"/>
    <w:rsid w:val="00BC242E"/>
    <w:rsid w:val="00BC7516"/>
    <w:rsid w:val="00BD244C"/>
    <w:rsid w:val="00BE07D3"/>
    <w:rsid w:val="00BE5113"/>
    <w:rsid w:val="00BF2EE3"/>
    <w:rsid w:val="00BF644E"/>
    <w:rsid w:val="00C027E5"/>
    <w:rsid w:val="00C0540A"/>
    <w:rsid w:val="00C146F7"/>
    <w:rsid w:val="00C20A3D"/>
    <w:rsid w:val="00C21492"/>
    <w:rsid w:val="00C252F7"/>
    <w:rsid w:val="00C27339"/>
    <w:rsid w:val="00C27B4D"/>
    <w:rsid w:val="00C32390"/>
    <w:rsid w:val="00C406E9"/>
    <w:rsid w:val="00C44C36"/>
    <w:rsid w:val="00C45BAB"/>
    <w:rsid w:val="00C542AD"/>
    <w:rsid w:val="00C575C7"/>
    <w:rsid w:val="00C715D0"/>
    <w:rsid w:val="00C740D1"/>
    <w:rsid w:val="00C8355E"/>
    <w:rsid w:val="00C930ED"/>
    <w:rsid w:val="00C93998"/>
    <w:rsid w:val="00CA3BB1"/>
    <w:rsid w:val="00CA7FE4"/>
    <w:rsid w:val="00CB1C57"/>
    <w:rsid w:val="00CB3E41"/>
    <w:rsid w:val="00CB549B"/>
    <w:rsid w:val="00CD708C"/>
    <w:rsid w:val="00CD7F9D"/>
    <w:rsid w:val="00CE0BC9"/>
    <w:rsid w:val="00CE2FDA"/>
    <w:rsid w:val="00CE49CC"/>
    <w:rsid w:val="00CF0B34"/>
    <w:rsid w:val="00CF37AF"/>
    <w:rsid w:val="00D003C1"/>
    <w:rsid w:val="00D02CE9"/>
    <w:rsid w:val="00D03F80"/>
    <w:rsid w:val="00D0562B"/>
    <w:rsid w:val="00D131BF"/>
    <w:rsid w:val="00D149D4"/>
    <w:rsid w:val="00D15F49"/>
    <w:rsid w:val="00D3112A"/>
    <w:rsid w:val="00D320C1"/>
    <w:rsid w:val="00D41E2A"/>
    <w:rsid w:val="00D5144B"/>
    <w:rsid w:val="00D53F5F"/>
    <w:rsid w:val="00D61C17"/>
    <w:rsid w:val="00D62E91"/>
    <w:rsid w:val="00D70807"/>
    <w:rsid w:val="00D80AA1"/>
    <w:rsid w:val="00D860BA"/>
    <w:rsid w:val="00D868B1"/>
    <w:rsid w:val="00D87DF6"/>
    <w:rsid w:val="00D90160"/>
    <w:rsid w:val="00D9024F"/>
    <w:rsid w:val="00D9402E"/>
    <w:rsid w:val="00DA7286"/>
    <w:rsid w:val="00DE7E7D"/>
    <w:rsid w:val="00DF05DE"/>
    <w:rsid w:val="00DF0F7D"/>
    <w:rsid w:val="00DF6753"/>
    <w:rsid w:val="00E102D1"/>
    <w:rsid w:val="00E14143"/>
    <w:rsid w:val="00E22503"/>
    <w:rsid w:val="00E25738"/>
    <w:rsid w:val="00E272B3"/>
    <w:rsid w:val="00E3276F"/>
    <w:rsid w:val="00E32FA7"/>
    <w:rsid w:val="00E4335D"/>
    <w:rsid w:val="00E45EDC"/>
    <w:rsid w:val="00E504B6"/>
    <w:rsid w:val="00E50763"/>
    <w:rsid w:val="00E60987"/>
    <w:rsid w:val="00E71EE0"/>
    <w:rsid w:val="00E72B18"/>
    <w:rsid w:val="00E72D37"/>
    <w:rsid w:val="00E80F15"/>
    <w:rsid w:val="00E93DA8"/>
    <w:rsid w:val="00E94825"/>
    <w:rsid w:val="00E96EB1"/>
    <w:rsid w:val="00EA1D35"/>
    <w:rsid w:val="00EA315D"/>
    <w:rsid w:val="00EA6E33"/>
    <w:rsid w:val="00EB170C"/>
    <w:rsid w:val="00EB7D4A"/>
    <w:rsid w:val="00EC3F64"/>
    <w:rsid w:val="00ED01D8"/>
    <w:rsid w:val="00ED0BA3"/>
    <w:rsid w:val="00ED17F2"/>
    <w:rsid w:val="00EE5419"/>
    <w:rsid w:val="00EF3C16"/>
    <w:rsid w:val="00F07E88"/>
    <w:rsid w:val="00F12EC0"/>
    <w:rsid w:val="00F13E19"/>
    <w:rsid w:val="00F21F95"/>
    <w:rsid w:val="00F327AB"/>
    <w:rsid w:val="00F400BD"/>
    <w:rsid w:val="00F67947"/>
    <w:rsid w:val="00F91A1C"/>
    <w:rsid w:val="00F939EB"/>
    <w:rsid w:val="00FA6262"/>
    <w:rsid w:val="00FA7ADC"/>
    <w:rsid w:val="00FB15C7"/>
    <w:rsid w:val="00FB6A28"/>
    <w:rsid w:val="00FC5719"/>
    <w:rsid w:val="00FE021F"/>
    <w:rsid w:val="00FE2C71"/>
    <w:rsid w:val="00FF2014"/>
    <w:rsid w:val="00FF3BF4"/>
    <w:rsid w:val="00FF5B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DA5E126-E835-4646-9D63-9E1BA6A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ED17F2"/>
    <w:pPr>
      <w:keepNext/>
      <w:spacing w:before="240" w:after="60"/>
      <w:outlineLvl w:val="0"/>
    </w:pPr>
    <w:rPr>
      <w:rFonts w:ascii="Cambria" w:hAnsi="Cambria"/>
      <w:b/>
      <w:bCs/>
      <w:kern w:val="32"/>
      <w:sz w:val="32"/>
      <w:szCs w:val="32"/>
      <w:lang w:val="x-none" w:eastAsia="x-none"/>
    </w:rPr>
  </w:style>
  <w:style w:type="paragraph" w:styleId="Nadpis3">
    <w:name w:val="heading 3"/>
    <w:basedOn w:val="Normlny"/>
    <w:next w:val="Normlny"/>
    <w:link w:val="Nadpis3Char"/>
    <w:qFormat/>
    <w:rsid w:val="0059033E"/>
    <w:pPr>
      <w:keepNext/>
      <w:widowControl w:val="0"/>
      <w:adjustRightInd w:val="0"/>
      <w:spacing w:before="240" w:after="60"/>
      <w:outlineLvl w:val="2"/>
    </w:pPr>
    <w:rPr>
      <w:rFonts w:ascii="Arial" w:hAnsi="Arial"/>
      <w:b/>
      <w:b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paragraph" w:styleId="Nzov">
    <w:name w:val="Title"/>
    <w:basedOn w:val="Normlny"/>
    <w:link w:val="NzovChar"/>
    <w:uiPriority w:val="10"/>
    <w:qFormat/>
    <w:rsid w:val="00876805"/>
    <w:pPr>
      <w:snapToGrid w:val="0"/>
      <w:spacing w:before="120"/>
      <w:jc w:val="center"/>
    </w:pPr>
    <w:rPr>
      <w:b/>
      <w:sz w:val="24"/>
      <w:lang w:val="x-none" w:eastAsia="x-none"/>
    </w:rPr>
  </w:style>
  <w:style w:type="character" w:customStyle="1" w:styleId="NzovChar">
    <w:name w:val="Názov Char"/>
    <w:link w:val="Nzov"/>
    <w:uiPriority w:val="10"/>
    <w:rsid w:val="00876805"/>
    <w:rPr>
      <w:b/>
      <w:sz w:val="24"/>
    </w:rPr>
  </w:style>
  <w:style w:type="character" w:customStyle="1" w:styleId="Textzstupnhosymbolu">
    <w:name w:val="Text zástupného symbolu"/>
    <w:uiPriority w:val="99"/>
    <w:semiHidden/>
    <w:rsid w:val="00876805"/>
    <w:rPr>
      <w:rFonts w:ascii="Times New Roman" w:hAnsi="Times New Roman" w:cs="Times New Roman"/>
      <w:color w:val="808080"/>
    </w:rPr>
  </w:style>
  <w:style w:type="character" w:customStyle="1" w:styleId="ppp-input-value1">
    <w:name w:val="ppp-input-value1"/>
    <w:rsid w:val="00876805"/>
    <w:rPr>
      <w:rFonts w:ascii="Tahoma" w:hAnsi="Tahoma" w:cs="Tahoma" w:hint="default"/>
      <w:color w:val="837A73"/>
      <w:sz w:val="16"/>
      <w:szCs w:val="16"/>
    </w:rPr>
  </w:style>
  <w:style w:type="character" w:customStyle="1" w:styleId="ppp-msumm">
    <w:name w:val="ppp-msumm"/>
    <w:basedOn w:val="Predvolenpsmoodseku"/>
    <w:rsid w:val="00876805"/>
  </w:style>
  <w:style w:type="paragraph" w:customStyle="1" w:styleId="TAB-CENT-MIDL">
    <w:name w:val="TAB-CENT-MIDL"/>
    <w:rsid w:val="00AD7B53"/>
    <w:pPr>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line="220" w:lineRule="atLeast"/>
      <w:jc w:val="center"/>
    </w:pPr>
    <w:rPr>
      <w:rFonts w:ascii="ITC Bookman EE" w:hAnsi="ITC Bookman EE" w:cs="ITC Bookman EE"/>
      <w:noProof/>
      <w:sz w:val="19"/>
      <w:szCs w:val="19"/>
    </w:rPr>
  </w:style>
  <w:style w:type="character" w:customStyle="1" w:styleId="HlavikaChar">
    <w:name w:val="Hlavička Char"/>
    <w:basedOn w:val="Predvolenpsmoodseku"/>
    <w:link w:val="Hlavika"/>
    <w:uiPriority w:val="99"/>
    <w:locked/>
    <w:rsid w:val="0016743D"/>
  </w:style>
  <w:style w:type="character" w:customStyle="1" w:styleId="apple-converted-space">
    <w:name w:val="apple-converted-space"/>
    <w:basedOn w:val="Predvolenpsmoodseku"/>
    <w:rsid w:val="00F67947"/>
  </w:style>
  <w:style w:type="paragraph" w:customStyle="1" w:styleId="odsek1">
    <w:name w:val="odsek1"/>
    <w:basedOn w:val="Normlny"/>
    <w:qFormat/>
    <w:rsid w:val="00142973"/>
    <w:pPr>
      <w:keepNext/>
      <w:numPr>
        <w:numId w:val="1"/>
      </w:numPr>
      <w:spacing w:before="120" w:after="120"/>
      <w:ind w:left="0" w:firstLine="709"/>
      <w:jc w:val="both"/>
    </w:pPr>
    <w:rPr>
      <w:rFonts w:eastAsia="Calibri"/>
      <w:sz w:val="24"/>
      <w:szCs w:val="24"/>
      <w:lang w:eastAsia="en-US"/>
    </w:rPr>
  </w:style>
  <w:style w:type="paragraph" w:styleId="Normlnywebov">
    <w:name w:val="Normal (Web)"/>
    <w:basedOn w:val="Normlny"/>
    <w:uiPriority w:val="99"/>
    <w:unhideWhenUsed/>
    <w:rsid w:val="00B51251"/>
    <w:pPr>
      <w:spacing w:before="100" w:beforeAutospacing="1" w:after="100" w:afterAutospacing="1"/>
    </w:pPr>
    <w:rPr>
      <w:sz w:val="24"/>
      <w:szCs w:val="24"/>
    </w:rPr>
  </w:style>
  <w:style w:type="character" w:styleId="Odkaznakomentr">
    <w:name w:val="annotation reference"/>
    <w:rsid w:val="001C5237"/>
    <w:rPr>
      <w:sz w:val="16"/>
      <w:szCs w:val="16"/>
    </w:rPr>
  </w:style>
  <w:style w:type="paragraph" w:styleId="Textkomentra">
    <w:name w:val="annotation text"/>
    <w:basedOn w:val="Normlny"/>
    <w:link w:val="TextkomentraChar"/>
    <w:rsid w:val="001C5237"/>
  </w:style>
  <w:style w:type="character" w:customStyle="1" w:styleId="TextkomentraChar">
    <w:name w:val="Text komentára Char"/>
    <w:basedOn w:val="Predvolenpsmoodseku"/>
    <w:link w:val="Textkomentra"/>
    <w:rsid w:val="001C5237"/>
  </w:style>
  <w:style w:type="paragraph" w:styleId="Predmetkomentra">
    <w:name w:val="annotation subject"/>
    <w:basedOn w:val="Textkomentra"/>
    <w:next w:val="Textkomentra"/>
    <w:link w:val="PredmetkomentraChar"/>
    <w:rsid w:val="001C5237"/>
    <w:rPr>
      <w:b/>
      <w:bCs/>
      <w:lang w:val="x-none" w:eastAsia="x-none"/>
    </w:rPr>
  </w:style>
  <w:style w:type="character" w:customStyle="1" w:styleId="PredmetkomentraChar">
    <w:name w:val="Predmet komentára Char"/>
    <w:link w:val="Predmetkomentra"/>
    <w:rsid w:val="001C5237"/>
    <w:rPr>
      <w:b/>
      <w:bCs/>
    </w:rPr>
  </w:style>
  <w:style w:type="paragraph" w:styleId="Textbubliny">
    <w:name w:val="Balloon Text"/>
    <w:basedOn w:val="Normlny"/>
    <w:link w:val="TextbublinyChar"/>
    <w:rsid w:val="001C5237"/>
    <w:rPr>
      <w:rFonts w:ascii="Tahoma" w:hAnsi="Tahoma"/>
      <w:sz w:val="16"/>
      <w:szCs w:val="16"/>
      <w:lang w:val="x-none" w:eastAsia="x-none"/>
    </w:rPr>
  </w:style>
  <w:style w:type="character" w:customStyle="1" w:styleId="TextbublinyChar">
    <w:name w:val="Text bubliny Char"/>
    <w:link w:val="Textbubliny"/>
    <w:rsid w:val="001C5237"/>
    <w:rPr>
      <w:rFonts w:ascii="Tahoma" w:hAnsi="Tahoma" w:cs="Tahoma"/>
      <w:sz w:val="16"/>
      <w:szCs w:val="16"/>
    </w:rPr>
  </w:style>
  <w:style w:type="character" w:customStyle="1" w:styleId="Nadpis3Char">
    <w:name w:val="Nadpis 3 Char"/>
    <w:link w:val="Nadpis3"/>
    <w:rsid w:val="0059033E"/>
    <w:rPr>
      <w:rFonts w:ascii="Arial" w:hAnsi="Arial" w:cs="Arial"/>
      <w:b/>
      <w:bCs/>
      <w:sz w:val="26"/>
      <w:szCs w:val="26"/>
    </w:rPr>
  </w:style>
  <w:style w:type="paragraph" w:customStyle="1" w:styleId="odsek">
    <w:name w:val="odsek"/>
    <w:basedOn w:val="Normlny"/>
    <w:qFormat/>
    <w:rsid w:val="008E0878"/>
    <w:pPr>
      <w:keepNext/>
      <w:ind w:firstLine="709"/>
      <w:jc w:val="both"/>
    </w:pPr>
    <w:rPr>
      <w:sz w:val="24"/>
      <w:szCs w:val="24"/>
    </w:rPr>
  </w:style>
  <w:style w:type="paragraph" w:styleId="Obyajntext">
    <w:name w:val="Plain Text"/>
    <w:basedOn w:val="Normlny"/>
    <w:link w:val="ObyajntextChar"/>
    <w:uiPriority w:val="99"/>
    <w:unhideWhenUsed/>
    <w:rsid w:val="0033526B"/>
    <w:rPr>
      <w:rFonts w:ascii="Consolas" w:eastAsia="Calibri" w:hAnsi="Consolas"/>
      <w:sz w:val="21"/>
      <w:szCs w:val="21"/>
      <w:lang w:val="x-none" w:eastAsia="en-US"/>
    </w:rPr>
  </w:style>
  <w:style w:type="character" w:customStyle="1" w:styleId="ObyajntextChar">
    <w:name w:val="Obyčajný text Char"/>
    <w:link w:val="Obyajntext"/>
    <w:uiPriority w:val="99"/>
    <w:rsid w:val="0033526B"/>
    <w:rPr>
      <w:rFonts w:ascii="Consolas" w:eastAsia="Calibri" w:hAnsi="Consolas"/>
      <w:sz w:val="21"/>
      <w:szCs w:val="21"/>
      <w:lang w:eastAsia="en-US"/>
    </w:rPr>
  </w:style>
  <w:style w:type="paragraph" w:customStyle="1" w:styleId="bodytext">
    <w:name w:val="bodytext"/>
    <w:basedOn w:val="Normlny"/>
    <w:rsid w:val="0086414A"/>
    <w:pPr>
      <w:spacing w:before="100" w:beforeAutospacing="1" w:after="100" w:afterAutospacing="1"/>
    </w:pPr>
    <w:rPr>
      <w:sz w:val="24"/>
      <w:szCs w:val="24"/>
    </w:rPr>
  </w:style>
  <w:style w:type="character" w:styleId="Hypertextovprepojenie">
    <w:name w:val="Hyperlink"/>
    <w:uiPriority w:val="99"/>
    <w:unhideWhenUsed/>
    <w:rsid w:val="0086414A"/>
    <w:rPr>
      <w:color w:val="0000FF"/>
      <w:u w:val="single"/>
    </w:rPr>
  </w:style>
  <w:style w:type="character" w:customStyle="1" w:styleId="Nadpis1Char">
    <w:name w:val="Nadpis 1 Char"/>
    <w:link w:val="Nadpis1"/>
    <w:rsid w:val="00ED17F2"/>
    <w:rPr>
      <w:rFonts w:ascii="Cambria" w:eastAsia="Times New Roman" w:hAnsi="Cambria" w:cs="Times New Roman"/>
      <w:b/>
      <w:bCs/>
      <w:kern w:val="32"/>
      <w:sz w:val="32"/>
      <w:szCs w:val="32"/>
    </w:rPr>
  </w:style>
  <w:style w:type="paragraph" w:styleId="Odsekzoznamu">
    <w:name w:val="List Paragraph"/>
    <w:basedOn w:val="Normlny"/>
    <w:uiPriority w:val="34"/>
    <w:qFormat/>
    <w:rsid w:val="0048366E"/>
    <w:pPr>
      <w:spacing w:after="200"/>
      <w:ind w:left="720"/>
    </w:pPr>
    <w:rPr>
      <w:rFonts w:ascii="Calibri" w:hAnsi="Calibri" w:cs="Calibri"/>
      <w:sz w:val="22"/>
      <w:szCs w:val="22"/>
      <w:lang w:eastAsia="en-US"/>
    </w:rPr>
  </w:style>
  <w:style w:type="paragraph" w:styleId="Bezriadkovania">
    <w:name w:val="No Spacing"/>
    <w:uiPriority w:val="1"/>
    <w:qFormat/>
    <w:rsid w:val="006916AE"/>
    <w:pPr>
      <w:widowControl w:val="0"/>
      <w:adjustRightInd w:val="0"/>
    </w:pPr>
    <w:rPr>
      <w:sz w:val="24"/>
      <w:szCs w:val="24"/>
    </w:rPr>
  </w:style>
  <w:style w:type="paragraph" w:customStyle="1" w:styleId="CM1">
    <w:name w:val="CM1"/>
    <w:basedOn w:val="Normlny"/>
    <w:uiPriority w:val="99"/>
    <w:rsid w:val="004B63A5"/>
    <w:pPr>
      <w:keepNext/>
      <w:autoSpaceDE w:val="0"/>
      <w:autoSpaceDN w:val="0"/>
      <w:jc w:val="both"/>
    </w:pPr>
    <w:rPr>
      <w:rFonts w:ascii="EUAlbertina" w:eastAsia="Calibri" w:hAnsi="EUAlbertina"/>
      <w:sz w:val="24"/>
      <w:szCs w:val="24"/>
      <w:lang w:eastAsia="en-US"/>
    </w:rPr>
  </w:style>
  <w:style w:type="character" w:customStyle="1" w:styleId="hps">
    <w:name w:val="hps"/>
    <w:rsid w:val="0066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8590">
      <w:bodyDiv w:val="1"/>
      <w:marLeft w:val="0"/>
      <w:marRight w:val="0"/>
      <w:marTop w:val="0"/>
      <w:marBottom w:val="0"/>
      <w:divBdr>
        <w:top w:val="none" w:sz="0" w:space="0" w:color="auto"/>
        <w:left w:val="none" w:sz="0" w:space="0" w:color="auto"/>
        <w:bottom w:val="none" w:sz="0" w:space="0" w:color="auto"/>
        <w:right w:val="none" w:sz="0" w:space="0" w:color="auto"/>
      </w:divBdr>
    </w:div>
    <w:div w:id="59519690">
      <w:bodyDiv w:val="1"/>
      <w:marLeft w:val="0"/>
      <w:marRight w:val="0"/>
      <w:marTop w:val="0"/>
      <w:marBottom w:val="0"/>
      <w:divBdr>
        <w:top w:val="none" w:sz="0" w:space="0" w:color="auto"/>
        <w:left w:val="none" w:sz="0" w:space="0" w:color="auto"/>
        <w:bottom w:val="none" w:sz="0" w:space="0" w:color="auto"/>
        <w:right w:val="none" w:sz="0" w:space="0" w:color="auto"/>
      </w:divBdr>
    </w:div>
    <w:div w:id="811215111">
      <w:bodyDiv w:val="1"/>
      <w:marLeft w:val="0"/>
      <w:marRight w:val="0"/>
      <w:marTop w:val="0"/>
      <w:marBottom w:val="0"/>
      <w:divBdr>
        <w:top w:val="none" w:sz="0" w:space="0" w:color="auto"/>
        <w:left w:val="none" w:sz="0" w:space="0" w:color="auto"/>
        <w:bottom w:val="none" w:sz="0" w:space="0" w:color="auto"/>
        <w:right w:val="none" w:sz="0" w:space="0" w:color="auto"/>
      </w:divBdr>
      <w:divsChild>
        <w:div w:id="598637245">
          <w:marLeft w:val="0"/>
          <w:marRight w:val="0"/>
          <w:marTop w:val="0"/>
          <w:marBottom w:val="0"/>
          <w:divBdr>
            <w:top w:val="none" w:sz="0" w:space="0" w:color="auto"/>
            <w:left w:val="none" w:sz="0" w:space="0" w:color="auto"/>
            <w:bottom w:val="none" w:sz="0" w:space="0" w:color="auto"/>
            <w:right w:val="none" w:sz="0" w:space="0" w:color="auto"/>
          </w:divBdr>
        </w:div>
        <w:div w:id="1543202467">
          <w:marLeft w:val="0"/>
          <w:marRight w:val="0"/>
          <w:marTop w:val="0"/>
          <w:marBottom w:val="0"/>
          <w:divBdr>
            <w:top w:val="none" w:sz="0" w:space="0" w:color="auto"/>
            <w:left w:val="none" w:sz="0" w:space="0" w:color="auto"/>
            <w:bottom w:val="none" w:sz="0" w:space="0" w:color="auto"/>
            <w:right w:val="none" w:sz="0" w:space="0" w:color="auto"/>
          </w:divBdr>
        </w:div>
        <w:div w:id="886792771">
          <w:marLeft w:val="0"/>
          <w:marRight w:val="0"/>
          <w:marTop w:val="0"/>
          <w:marBottom w:val="0"/>
          <w:divBdr>
            <w:top w:val="none" w:sz="0" w:space="0" w:color="auto"/>
            <w:left w:val="none" w:sz="0" w:space="0" w:color="auto"/>
            <w:bottom w:val="none" w:sz="0" w:space="0" w:color="auto"/>
            <w:right w:val="none" w:sz="0" w:space="0" w:color="auto"/>
          </w:divBdr>
        </w:div>
        <w:div w:id="1497452851">
          <w:marLeft w:val="0"/>
          <w:marRight w:val="0"/>
          <w:marTop w:val="0"/>
          <w:marBottom w:val="0"/>
          <w:divBdr>
            <w:top w:val="none" w:sz="0" w:space="0" w:color="auto"/>
            <w:left w:val="none" w:sz="0" w:space="0" w:color="auto"/>
            <w:bottom w:val="none" w:sz="0" w:space="0" w:color="auto"/>
            <w:right w:val="none" w:sz="0" w:space="0" w:color="auto"/>
          </w:divBdr>
        </w:div>
        <w:div w:id="795566421">
          <w:marLeft w:val="0"/>
          <w:marRight w:val="0"/>
          <w:marTop w:val="0"/>
          <w:marBottom w:val="0"/>
          <w:divBdr>
            <w:top w:val="none" w:sz="0" w:space="0" w:color="auto"/>
            <w:left w:val="none" w:sz="0" w:space="0" w:color="auto"/>
            <w:bottom w:val="none" w:sz="0" w:space="0" w:color="auto"/>
            <w:right w:val="none" w:sz="0" w:space="0" w:color="auto"/>
          </w:divBdr>
        </w:div>
        <w:div w:id="692927609">
          <w:marLeft w:val="0"/>
          <w:marRight w:val="0"/>
          <w:marTop w:val="0"/>
          <w:marBottom w:val="0"/>
          <w:divBdr>
            <w:top w:val="none" w:sz="0" w:space="0" w:color="auto"/>
            <w:left w:val="none" w:sz="0" w:space="0" w:color="auto"/>
            <w:bottom w:val="none" w:sz="0" w:space="0" w:color="auto"/>
            <w:right w:val="none" w:sz="0" w:space="0" w:color="auto"/>
          </w:divBdr>
        </w:div>
        <w:div w:id="2074963914">
          <w:marLeft w:val="0"/>
          <w:marRight w:val="0"/>
          <w:marTop w:val="0"/>
          <w:marBottom w:val="0"/>
          <w:divBdr>
            <w:top w:val="none" w:sz="0" w:space="0" w:color="auto"/>
            <w:left w:val="none" w:sz="0" w:space="0" w:color="auto"/>
            <w:bottom w:val="none" w:sz="0" w:space="0" w:color="auto"/>
            <w:right w:val="none" w:sz="0" w:space="0" w:color="auto"/>
          </w:divBdr>
        </w:div>
        <w:div w:id="863127903">
          <w:marLeft w:val="0"/>
          <w:marRight w:val="0"/>
          <w:marTop w:val="0"/>
          <w:marBottom w:val="0"/>
          <w:divBdr>
            <w:top w:val="none" w:sz="0" w:space="0" w:color="auto"/>
            <w:left w:val="none" w:sz="0" w:space="0" w:color="auto"/>
            <w:bottom w:val="none" w:sz="0" w:space="0" w:color="auto"/>
            <w:right w:val="none" w:sz="0" w:space="0" w:color="auto"/>
          </w:divBdr>
        </w:div>
        <w:div w:id="1797138617">
          <w:marLeft w:val="0"/>
          <w:marRight w:val="0"/>
          <w:marTop w:val="0"/>
          <w:marBottom w:val="0"/>
          <w:divBdr>
            <w:top w:val="none" w:sz="0" w:space="0" w:color="auto"/>
            <w:left w:val="none" w:sz="0" w:space="0" w:color="auto"/>
            <w:bottom w:val="none" w:sz="0" w:space="0" w:color="auto"/>
            <w:right w:val="none" w:sz="0" w:space="0" w:color="auto"/>
          </w:divBdr>
        </w:div>
        <w:div w:id="1727948708">
          <w:marLeft w:val="0"/>
          <w:marRight w:val="0"/>
          <w:marTop w:val="0"/>
          <w:marBottom w:val="0"/>
          <w:divBdr>
            <w:top w:val="none" w:sz="0" w:space="0" w:color="auto"/>
            <w:left w:val="none" w:sz="0" w:space="0" w:color="auto"/>
            <w:bottom w:val="none" w:sz="0" w:space="0" w:color="auto"/>
            <w:right w:val="none" w:sz="0" w:space="0" w:color="auto"/>
          </w:divBdr>
        </w:div>
        <w:div w:id="426076825">
          <w:marLeft w:val="0"/>
          <w:marRight w:val="0"/>
          <w:marTop w:val="0"/>
          <w:marBottom w:val="0"/>
          <w:divBdr>
            <w:top w:val="none" w:sz="0" w:space="0" w:color="auto"/>
            <w:left w:val="none" w:sz="0" w:space="0" w:color="auto"/>
            <w:bottom w:val="none" w:sz="0" w:space="0" w:color="auto"/>
            <w:right w:val="none" w:sz="0" w:space="0" w:color="auto"/>
          </w:divBdr>
        </w:div>
        <w:div w:id="403181272">
          <w:marLeft w:val="0"/>
          <w:marRight w:val="0"/>
          <w:marTop w:val="0"/>
          <w:marBottom w:val="0"/>
          <w:divBdr>
            <w:top w:val="none" w:sz="0" w:space="0" w:color="auto"/>
            <w:left w:val="none" w:sz="0" w:space="0" w:color="auto"/>
            <w:bottom w:val="none" w:sz="0" w:space="0" w:color="auto"/>
            <w:right w:val="none" w:sz="0" w:space="0" w:color="auto"/>
          </w:divBdr>
        </w:div>
        <w:div w:id="291982125">
          <w:marLeft w:val="0"/>
          <w:marRight w:val="0"/>
          <w:marTop w:val="0"/>
          <w:marBottom w:val="0"/>
          <w:divBdr>
            <w:top w:val="none" w:sz="0" w:space="0" w:color="auto"/>
            <w:left w:val="none" w:sz="0" w:space="0" w:color="auto"/>
            <w:bottom w:val="none" w:sz="0" w:space="0" w:color="auto"/>
            <w:right w:val="none" w:sz="0" w:space="0" w:color="auto"/>
          </w:divBdr>
        </w:div>
        <w:div w:id="761023682">
          <w:marLeft w:val="0"/>
          <w:marRight w:val="0"/>
          <w:marTop w:val="0"/>
          <w:marBottom w:val="0"/>
          <w:divBdr>
            <w:top w:val="none" w:sz="0" w:space="0" w:color="auto"/>
            <w:left w:val="none" w:sz="0" w:space="0" w:color="auto"/>
            <w:bottom w:val="none" w:sz="0" w:space="0" w:color="auto"/>
            <w:right w:val="none" w:sz="0" w:space="0" w:color="auto"/>
          </w:divBdr>
        </w:div>
        <w:div w:id="1062563774">
          <w:marLeft w:val="0"/>
          <w:marRight w:val="0"/>
          <w:marTop w:val="0"/>
          <w:marBottom w:val="0"/>
          <w:divBdr>
            <w:top w:val="none" w:sz="0" w:space="0" w:color="auto"/>
            <w:left w:val="none" w:sz="0" w:space="0" w:color="auto"/>
            <w:bottom w:val="none" w:sz="0" w:space="0" w:color="auto"/>
            <w:right w:val="none" w:sz="0" w:space="0" w:color="auto"/>
          </w:divBdr>
        </w:div>
        <w:div w:id="1944532926">
          <w:marLeft w:val="0"/>
          <w:marRight w:val="0"/>
          <w:marTop w:val="0"/>
          <w:marBottom w:val="0"/>
          <w:divBdr>
            <w:top w:val="none" w:sz="0" w:space="0" w:color="auto"/>
            <w:left w:val="none" w:sz="0" w:space="0" w:color="auto"/>
            <w:bottom w:val="none" w:sz="0" w:space="0" w:color="auto"/>
            <w:right w:val="none" w:sz="0" w:space="0" w:color="auto"/>
          </w:divBdr>
        </w:div>
        <w:div w:id="211233203">
          <w:marLeft w:val="0"/>
          <w:marRight w:val="0"/>
          <w:marTop w:val="0"/>
          <w:marBottom w:val="0"/>
          <w:divBdr>
            <w:top w:val="none" w:sz="0" w:space="0" w:color="auto"/>
            <w:left w:val="none" w:sz="0" w:space="0" w:color="auto"/>
            <w:bottom w:val="none" w:sz="0" w:space="0" w:color="auto"/>
            <w:right w:val="none" w:sz="0" w:space="0" w:color="auto"/>
          </w:divBdr>
        </w:div>
        <w:div w:id="1101221886">
          <w:marLeft w:val="0"/>
          <w:marRight w:val="0"/>
          <w:marTop w:val="0"/>
          <w:marBottom w:val="0"/>
          <w:divBdr>
            <w:top w:val="none" w:sz="0" w:space="0" w:color="auto"/>
            <w:left w:val="none" w:sz="0" w:space="0" w:color="auto"/>
            <w:bottom w:val="none" w:sz="0" w:space="0" w:color="auto"/>
            <w:right w:val="none" w:sz="0" w:space="0" w:color="auto"/>
          </w:divBdr>
        </w:div>
        <w:div w:id="1588686601">
          <w:marLeft w:val="0"/>
          <w:marRight w:val="0"/>
          <w:marTop w:val="0"/>
          <w:marBottom w:val="0"/>
          <w:divBdr>
            <w:top w:val="none" w:sz="0" w:space="0" w:color="auto"/>
            <w:left w:val="none" w:sz="0" w:space="0" w:color="auto"/>
            <w:bottom w:val="none" w:sz="0" w:space="0" w:color="auto"/>
            <w:right w:val="none" w:sz="0" w:space="0" w:color="auto"/>
          </w:divBdr>
        </w:div>
        <w:div w:id="1250505500">
          <w:marLeft w:val="0"/>
          <w:marRight w:val="0"/>
          <w:marTop w:val="0"/>
          <w:marBottom w:val="0"/>
          <w:divBdr>
            <w:top w:val="none" w:sz="0" w:space="0" w:color="auto"/>
            <w:left w:val="none" w:sz="0" w:space="0" w:color="auto"/>
            <w:bottom w:val="none" w:sz="0" w:space="0" w:color="auto"/>
            <w:right w:val="none" w:sz="0" w:space="0" w:color="auto"/>
          </w:divBdr>
        </w:div>
        <w:div w:id="1597320939">
          <w:marLeft w:val="0"/>
          <w:marRight w:val="0"/>
          <w:marTop w:val="0"/>
          <w:marBottom w:val="0"/>
          <w:divBdr>
            <w:top w:val="none" w:sz="0" w:space="0" w:color="auto"/>
            <w:left w:val="none" w:sz="0" w:space="0" w:color="auto"/>
            <w:bottom w:val="none" w:sz="0" w:space="0" w:color="auto"/>
            <w:right w:val="none" w:sz="0" w:space="0" w:color="auto"/>
          </w:divBdr>
        </w:div>
        <w:div w:id="184249879">
          <w:marLeft w:val="0"/>
          <w:marRight w:val="0"/>
          <w:marTop w:val="0"/>
          <w:marBottom w:val="0"/>
          <w:divBdr>
            <w:top w:val="none" w:sz="0" w:space="0" w:color="auto"/>
            <w:left w:val="none" w:sz="0" w:space="0" w:color="auto"/>
            <w:bottom w:val="none" w:sz="0" w:space="0" w:color="auto"/>
            <w:right w:val="none" w:sz="0" w:space="0" w:color="auto"/>
          </w:divBdr>
        </w:div>
        <w:div w:id="261501439">
          <w:marLeft w:val="0"/>
          <w:marRight w:val="0"/>
          <w:marTop w:val="0"/>
          <w:marBottom w:val="0"/>
          <w:divBdr>
            <w:top w:val="none" w:sz="0" w:space="0" w:color="auto"/>
            <w:left w:val="none" w:sz="0" w:space="0" w:color="auto"/>
            <w:bottom w:val="none" w:sz="0" w:space="0" w:color="auto"/>
            <w:right w:val="none" w:sz="0" w:space="0" w:color="auto"/>
          </w:divBdr>
        </w:div>
        <w:div w:id="495221625">
          <w:marLeft w:val="0"/>
          <w:marRight w:val="0"/>
          <w:marTop w:val="0"/>
          <w:marBottom w:val="0"/>
          <w:divBdr>
            <w:top w:val="none" w:sz="0" w:space="0" w:color="auto"/>
            <w:left w:val="none" w:sz="0" w:space="0" w:color="auto"/>
            <w:bottom w:val="none" w:sz="0" w:space="0" w:color="auto"/>
            <w:right w:val="none" w:sz="0" w:space="0" w:color="auto"/>
          </w:divBdr>
        </w:div>
        <w:div w:id="2031107127">
          <w:marLeft w:val="0"/>
          <w:marRight w:val="0"/>
          <w:marTop w:val="0"/>
          <w:marBottom w:val="0"/>
          <w:divBdr>
            <w:top w:val="none" w:sz="0" w:space="0" w:color="auto"/>
            <w:left w:val="none" w:sz="0" w:space="0" w:color="auto"/>
            <w:bottom w:val="none" w:sz="0" w:space="0" w:color="auto"/>
            <w:right w:val="none" w:sz="0" w:space="0" w:color="auto"/>
          </w:divBdr>
        </w:div>
        <w:div w:id="329334317">
          <w:marLeft w:val="0"/>
          <w:marRight w:val="0"/>
          <w:marTop w:val="0"/>
          <w:marBottom w:val="0"/>
          <w:divBdr>
            <w:top w:val="none" w:sz="0" w:space="0" w:color="auto"/>
            <w:left w:val="none" w:sz="0" w:space="0" w:color="auto"/>
            <w:bottom w:val="none" w:sz="0" w:space="0" w:color="auto"/>
            <w:right w:val="none" w:sz="0" w:space="0" w:color="auto"/>
          </w:divBdr>
        </w:div>
        <w:div w:id="1393623808">
          <w:marLeft w:val="0"/>
          <w:marRight w:val="0"/>
          <w:marTop w:val="0"/>
          <w:marBottom w:val="0"/>
          <w:divBdr>
            <w:top w:val="none" w:sz="0" w:space="0" w:color="auto"/>
            <w:left w:val="none" w:sz="0" w:space="0" w:color="auto"/>
            <w:bottom w:val="none" w:sz="0" w:space="0" w:color="auto"/>
            <w:right w:val="none" w:sz="0" w:space="0" w:color="auto"/>
          </w:divBdr>
        </w:div>
      </w:divsChild>
    </w:div>
    <w:div w:id="1480266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77">
          <w:marLeft w:val="0"/>
          <w:marRight w:val="0"/>
          <w:marTop w:val="0"/>
          <w:marBottom w:val="0"/>
          <w:divBdr>
            <w:top w:val="none" w:sz="0" w:space="0" w:color="auto"/>
            <w:left w:val="none" w:sz="0" w:space="0" w:color="auto"/>
            <w:bottom w:val="none" w:sz="0" w:space="0" w:color="auto"/>
            <w:right w:val="none" w:sz="0" w:space="0" w:color="auto"/>
          </w:divBdr>
        </w:div>
        <w:div w:id="1084180120">
          <w:marLeft w:val="0"/>
          <w:marRight w:val="0"/>
          <w:marTop w:val="0"/>
          <w:marBottom w:val="0"/>
          <w:divBdr>
            <w:top w:val="none" w:sz="0" w:space="0" w:color="auto"/>
            <w:left w:val="none" w:sz="0" w:space="0" w:color="auto"/>
            <w:bottom w:val="none" w:sz="0" w:space="0" w:color="auto"/>
            <w:right w:val="none" w:sz="0" w:space="0" w:color="auto"/>
          </w:divBdr>
        </w:div>
        <w:div w:id="1653096190">
          <w:marLeft w:val="0"/>
          <w:marRight w:val="0"/>
          <w:marTop w:val="0"/>
          <w:marBottom w:val="0"/>
          <w:divBdr>
            <w:top w:val="none" w:sz="0" w:space="0" w:color="auto"/>
            <w:left w:val="none" w:sz="0" w:space="0" w:color="auto"/>
            <w:bottom w:val="none" w:sz="0" w:space="0" w:color="auto"/>
            <w:right w:val="none" w:sz="0" w:space="0" w:color="auto"/>
          </w:divBdr>
        </w:div>
        <w:div w:id="834610872">
          <w:marLeft w:val="0"/>
          <w:marRight w:val="0"/>
          <w:marTop w:val="0"/>
          <w:marBottom w:val="0"/>
          <w:divBdr>
            <w:top w:val="none" w:sz="0" w:space="0" w:color="auto"/>
            <w:left w:val="none" w:sz="0" w:space="0" w:color="auto"/>
            <w:bottom w:val="none" w:sz="0" w:space="0" w:color="auto"/>
            <w:right w:val="none" w:sz="0" w:space="0" w:color="auto"/>
          </w:divBdr>
        </w:div>
        <w:div w:id="1948543435">
          <w:marLeft w:val="0"/>
          <w:marRight w:val="0"/>
          <w:marTop w:val="0"/>
          <w:marBottom w:val="0"/>
          <w:divBdr>
            <w:top w:val="none" w:sz="0" w:space="0" w:color="auto"/>
            <w:left w:val="none" w:sz="0" w:space="0" w:color="auto"/>
            <w:bottom w:val="none" w:sz="0" w:space="0" w:color="auto"/>
            <w:right w:val="none" w:sz="0" w:space="0" w:color="auto"/>
          </w:divBdr>
        </w:div>
        <w:div w:id="946696126">
          <w:marLeft w:val="0"/>
          <w:marRight w:val="0"/>
          <w:marTop w:val="0"/>
          <w:marBottom w:val="0"/>
          <w:divBdr>
            <w:top w:val="none" w:sz="0" w:space="0" w:color="auto"/>
            <w:left w:val="none" w:sz="0" w:space="0" w:color="auto"/>
            <w:bottom w:val="none" w:sz="0" w:space="0" w:color="auto"/>
            <w:right w:val="none" w:sz="0" w:space="0" w:color="auto"/>
          </w:divBdr>
        </w:div>
        <w:div w:id="1865096583">
          <w:marLeft w:val="0"/>
          <w:marRight w:val="0"/>
          <w:marTop w:val="0"/>
          <w:marBottom w:val="0"/>
          <w:divBdr>
            <w:top w:val="none" w:sz="0" w:space="0" w:color="auto"/>
            <w:left w:val="none" w:sz="0" w:space="0" w:color="auto"/>
            <w:bottom w:val="none" w:sz="0" w:space="0" w:color="auto"/>
            <w:right w:val="none" w:sz="0" w:space="0" w:color="auto"/>
          </w:divBdr>
        </w:div>
        <w:div w:id="1478187519">
          <w:marLeft w:val="0"/>
          <w:marRight w:val="0"/>
          <w:marTop w:val="0"/>
          <w:marBottom w:val="0"/>
          <w:divBdr>
            <w:top w:val="none" w:sz="0" w:space="0" w:color="auto"/>
            <w:left w:val="none" w:sz="0" w:space="0" w:color="auto"/>
            <w:bottom w:val="none" w:sz="0" w:space="0" w:color="auto"/>
            <w:right w:val="none" w:sz="0" w:space="0" w:color="auto"/>
          </w:divBdr>
        </w:div>
        <w:div w:id="654142252">
          <w:marLeft w:val="0"/>
          <w:marRight w:val="0"/>
          <w:marTop w:val="0"/>
          <w:marBottom w:val="0"/>
          <w:divBdr>
            <w:top w:val="none" w:sz="0" w:space="0" w:color="auto"/>
            <w:left w:val="none" w:sz="0" w:space="0" w:color="auto"/>
            <w:bottom w:val="none" w:sz="0" w:space="0" w:color="auto"/>
            <w:right w:val="none" w:sz="0" w:space="0" w:color="auto"/>
          </w:divBdr>
        </w:div>
        <w:div w:id="702823417">
          <w:marLeft w:val="0"/>
          <w:marRight w:val="0"/>
          <w:marTop w:val="0"/>
          <w:marBottom w:val="0"/>
          <w:divBdr>
            <w:top w:val="none" w:sz="0" w:space="0" w:color="auto"/>
            <w:left w:val="none" w:sz="0" w:space="0" w:color="auto"/>
            <w:bottom w:val="none" w:sz="0" w:space="0" w:color="auto"/>
            <w:right w:val="none" w:sz="0" w:space="0" w:color="auto"/>
          </w:divBdr>
        </w:div>
      </w:divsChild>
    </w:div>
    <w:div w:id="1498492962">
      <w:bodyDiv w:val="1"/>
      <w:marLeft w:val="0"/>
      <w:marRight w:val="0"/>
      <w:marTop w:val="0"/>
      <w:marBottom w:val="0"/>
      <w:divBdr>
        <w:top w:val="none" w:sz="0" w:space="0" w:color="auto"/>
        <w:left w:val="none" w:sz="0" w:space="0" w:color="auto"/>
        <w:bottom w:val="none" w:sz="0" w:space="0" w:color="auto"/>
        <w:right w:val="none" w:sz="0" w:space="0" w:color="auto"/>
      </w:divBdr>
      <w:divsChild>
        <w:div w:id="569659784">
          <w:marLeft w:val="0"/>
          <w:marRight w:val="0"/>
          <w:marTop w:val="0"/>
          <w:marBottom w:val="0"/>
          <w:divBdr>
            <w:top w:val="none" w:sz="0" w:space="0" w:color="auto"/>
            <w:left w:val="none" w:sz="0" w:space="0" w:color="auto"/>
            <w:bottom w:val="none" w:sz="0" w:space="0" w:color="auto"/>
            <w:right w:val="none" w:sz="0" w:space="0" w:color="auto"/>
          </w:divBdr>
        </w:div>
        <w:div w:id="1923679549">
          <w:marLeft w:val="0"/>
          <w:marRight w:val="0"/>
          <w:marTop w:val="0"/>
          <w:marBottom w:val="0"/>
          <w:divBdr>
            <w:top w:val="none" w:sz="0" w:space="0" w:color="auto"/>
            <w:left w:val="none" w:sz="0" w:space="0" w:color="auto"/>
            <w:bottom w:val="none" w:sz="0" w:space="0" w:color="auto"/>
            <w:right w:val="none" w:sz="0" w:space="0" w:color="auto"/>
          </w:divBdr>
        </w:div>
        <w:div w:id="289748290">
          <w:marLeft w:val="0"/>
          <w:marRight w:val="0"/>
          <w:marTop w:val="0"/>
          <w:marBottom w:val="0"/>
          <w:divBdr>
            <w:top w:val="none" w:sz="0" w:space="0" w:color="auto"/>
            <w:left w:val="none" w:sz="0" w:space="0" w:color="auto"/>
            <w:bottom w:val="none" w:sz="0" w:space="0" w:color="auto"/>
            <w:right w:val="none" w:sz="0" w:space="0" w:color="auto"/>
          </w:divBdr>
        </w:div>
        <w:div w:id="1313561237">
          <w:marLeft w:val="0"/>
          <w:marRight w:val="0"/>
          <w:marTop w:val="0"/>
          <w:marBottom w:val="0"/>
          <w:divBdr>
            <w:top w:val="none" w:sz="0" w:space="0" w:color="auto"/>
            <w:left w:val="none" w:sz="0" w:space="0" w:color="auto"/>
            <w:bottom w:val="none" w:sz="0" w:space="0" w:color="auto"/>
            <w:right w:val="none" w:sz="0" w:space="0" w:color="auto"/>
          </w:divBdr>
        </w:div>
        <w:div w:id="901256070">
          <w:marLeft w:val="0"/>
          <w:marRight w:val="0"/>
          <w:marTop w:val="0"/>
          <w:marBottom w:val="0"/>
          <w:divBdr>
            <w:top w:val="none" w:sz="0" w:space="0" w:color="auto"/>
            <w:left w:val="none" w:sz="0" w:space="0" w:color="auto"/>
            <w:bottom w:val="none" w:sz="0" w:space="0" w:color="auto"/>
            <w:right w:val="none" w:sz="0" w:space="0" w:color="auto"/>
          </w:divBdr>
        </w:div>
        <w:div w:id="176425464">
          <w:marLeft w:val="0"/>
          <w:marRight w:val="0"/>
          <w:marTop w:val="0"/>
          <w:marBottom w:val="0"/>
          <w:divBdr>
            <w:top w:val="none" w:sz="0" w:space="0" w:color="auto"/>
            <w:left w:val="none" w:sz="0" w:space="0" w:color="auto"/>
            <w:bottom w:val="none" w:sz="0" w:space="0" w:color="auto"/>
            <w:right w:val="none" w:sz="0" w:space="0" w:color="auto"/>
          </w:divBdr>
        </w:div>
        <w:div w:id="1884441321">
          <w:marLeft w:val="0"/>
          <w:marRight w:val="0"/>
          <w:marTop w:val="0"/>
          <w:marBottom w:val="0"/>
          <w:divBdr>
            <w:top w:val="none" w:sz="0" w:space="0" w:color="auto"/>
            <w:left w:val="none" w:sz="0" w:space="0" w:color="auto"/>
            <w:bottom w:val="none" w:sz="0" w:space="0" w:color="auto"/>
            <w:right w:val="none" w:sz="0" w:space="0" w:color="auto"/>
          </w:divBdr>
        </w:div>
        <w:div w:id="1891066351">
          <w:marLeft w:val="0"/>
          <w:marRight w:val="0"/>
          <w:marTop w:val="0"/>
          <w:marBottom w:val="0"/>
          <w:divBdr>
            <w:top w:val="none" w:sz="0" w:space="0" w:color="auto"/>
            <w:left w:val="none" w:sz="0" w:space="0" w:color="auto"/>
            <w:bottom w:val="none" w:sz="0" w:space="0" w:color="auto"/>
            <w:right w:val="none" w:sz="0" w:space="0" w:color="auto"/>
          </w:divBdr>
        </w:div>
        <w:div w:id="931548483">
          <w:marLeft w:val="0"/>
          <w:marRight w:val="0"/>
          <w:marTop w:val="0"/>
          <w:marBottom w:val="0"/>
          <w:divBdr>
            <w:top w:val="none" w:sz="0" w:space="0" w:color="auto"/>
            <w:left w:val="none" w:sz="0" w:space="0" w:color="auto"/>
            <w:bottom w:val="none" w:sz="0" w:space="0" w:color="auto"/>
            <w:right w:val="none" w:sz="0" w:space="0" w:color="auto"/>
          </w:divBdr>
        </w:div>
        <w:div w:id="559290941">
          <w:marLeft w:val="0"/>
          <w:marRight w:val="0"/>
          <w:marTop w:val="0"/>
          <w:marBottom w:val="0"/>
          <w:divBdr>
            <w:top w:val="none" w:sz="0" w:space="0" w:color="auto"/>
            <w:left w:val="none" w:sz="0" w:space="0" w:color="auto"/>
            <w:bottom w:val="none" w:sz="0" w:space="0" w:color="auto"/>
            <w:right w:val="none" w:sz="0" w:space="0" w:color="auto"/>
          </w:divBdr>
        </w:div>
        <w:div w:id="870727985">
          <w:marLeft w:val="0"/>
          <w:marRight w:val="0"/>
          <w:marTop w:val="0"/>
          <w:marBottom w:val="0"/>
          <w:divBdr>
            <w:top w:val="none" w:sz="0" w:space="0" w:color="auto"/>
            <w:left w:val="none" w:sz="0" w:space="0" w:color="auto"/>
            <w:bottom w:val="none" w:sz="0" w:space="0" w:color="auto"/>
            <w:right w:val="none" w:sz="0" w:space="0" w:color="auto"/>
          </w:divBdr>
        </w:div>
        <w:div w:id="489324222">
          <w:marLeft w:val="0"/>
          <w:marRight w:val="0"/>
          <w:marTop w:val="0"/>
          <w:marBottom w:val="0"/>
          <w:divBdr>
            <w:top w:val="none" w:sz="0" w:space="0" w:color="auto"/>
            <w:left w:val="none" w:sz="0" w:space="0" w:color="auto"/>
            <w:bottom w:val="none" w:sz="0" w:space="0" w:color="auto"/>
            <w:right w:val="none" w:sz="0" w:space="0" w:color="auto"/>
          </w:divBdr>
        </w:div>
        <w:div w:id="1817725560">
          <w:marLeft w:val="0"/>
          <w:marRight w:val="0"/>
          <w:marTop w:val="0"/>
          <w:marBottom w:val="0"/>
          <w:divBdr>
            <w:top w:val="none" w:sz="0" w:space="0" w:color="auto"/>
            <w:left w:val="none" w:sz="0" w:space="0" w:color="auto"/>
            <w:bottom w:val="none" w:sz="0" w:space="0" w:color="auto"/>
            <w:right w:val="none" w:sz="0" w:space="0" w:color="auto"/>
          </w:divBdr>
        </w:div>
        <w:div w:id="1765613435">
          <w:marLeft w:val="0"/>
          <w:marRight w:val="0"/>
          <w:marTop w:val="0"/>
          <w:marBottom w:val="0"/>
          <w:divBdr>
            <w:top w:val="none" w:sz="0" w:space="0" w:color="auto"/>
            <w:left w:val="none" w:sz="0" w:space="0" w:color="auto"/>
            <w:bottom w:val="none" w:sz="0" w:space="0" w:color="auto"/>
            <w:right w:val="none" w:sz="0" w:space="0" w:color="auto"/>
          </w:divBdr>
        </w:div>
        <w:div w:id="1140532847">
          <w:marLeft w:val="0"/>
          <w:marRight w:val="0"/>
          <w:marTop w:val="0"/>
          <w:marBottom w:val="0"/>
          <w:divBdr>
            <w:top w:val="none" w:sz="0" w:space="0" w:color="auto"/>
            <w:left w:val="none" w:sz="0" w:space="0" w:color="auto"/>
            <w:bottom w:val="none" w:sz="0" w:space="0" w:color="auto"/>
            <w:right w:val="none" w:sz="0" w:space="0" w:color="auto"/>
          </w:divBdr>
        </w:div>
        <w:div w:id="45834828">
          <w:marLeft w:val="0"/>
          <w:marRight w:val="0"/>
          <w:marTop w:val="0"/>
          <w:marBottom w:val="0"/>
          <w:divBdr>
            <w:top w:val="none" w:sz="0" w:space="0" w:color="auto"/>
            <w:left w:val="none" w:sz="0" w:space="0" w:color="auto"/>
            <w:bottom w:val="none" w:sz="0" w:space="0" w:color="auto"/>
            <w:right w:val="none" w:sz="0" w:space="0" w:color="auto"/>
          </w:divBdr>
        </w:div>
        <w:div w:id="356809039">
          <w:marLeft w:val="0"/>
          <w:marRight w:val="0"/>
          <w:marTop w:val="0"/>
          <w:marBottom w:val="0"/>
          <w:divBdr>
            <w:top w:val="none" w:sz="0" w:space="0" w:color="auto"/>
            <w:left w:val="none" w:sz="0" w:space="0" w:color="auto"/>
            <w:bottom w:val="none" w:sz="0" w:space="0" w:color="auto"/>
            <w:right w:val="none" w:sz="0" w:space="0" w:color="auto"/>
          </w:divBdr>
        </w:div>
        <w:div w:id="76875402">
          <w:marLeft w:val="0"/>
          <w:marRight w:val="0"/>
          <w:marTop w:val="0"/>
          <w:marBottom w:val="0"/>
          <w:divBdr>
            <w:top w:val="none" w:sz="0" w:space="0" w:color="auto"/>
            <w:left w:val="none" w:sz="0" w:space="0" w:color="auto"/>
            <w:bottom w:val="none" w:sz="0" w:space="0" w:color="auto"/>
            <w:right w:val="none" w:sz="0" w:space="0" w:color="auto"/>
          </w:divBdr>
        </w:div>
      </w:divsChild>
    </w:div>
    <w:div w:id="17590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798F-1905-4799-A475-350635DE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1518</Words>
  <Characters>8653</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lpstr>
    </vt:vector>
  </TitlesOfParts>
  <Company>KOZ</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KOZ SR</dc:creator>
  <cp:keywords/>
  <cp:lastModifiedBy>Iveta Sigetova</cp:lastModifiedBy>
  <cp:revision>118</cp:revision>
  <cp:lastPrinted>2016-10-03T16:17:00Z</cp:lastPrinted>
  <dcterms:created xsi:type="dcterms:W3CDTF">2015-03-02T11:29:00Z</dcterms:created>
  <dcterms:modified xsi:type="dcterms:W3CDTF">2016-10-04T06:08:00Z</dcterms:modified>
</cp:coreProperties>
</file>