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Príloha č. 5</w:t>
      </w:r>
    </w:p>
    <w:p w:rsidR="00F73BE1" w:rsidRDefault="00F73BE1" w:rsidP="00F73BE1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F73BE1" w:rsidRDefault="00F73BE1" w:rsidP="00F73BE1">
      <w:pPr>
        <w:pStyle w:val="Normlnywebov"/>
        <w:spacing w:before="0" w:beforeAutospacing="0" w:after="0" w:afterAutospacing="0"/>
        <w:jc w:val="center"/>
      </w:pPr>
      <w:r>
        <w:rPr>
          <w:b/>
          <w:bCs/>
          <w:sz w:val="44"/>
          <w:szCs w:val="44"/>
        </w:rPr>
        <w:t>Implicitné záväzky</w:t>
      </w: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73BE1" w:rsidRDefault="00F73BE1" w:rsidP="00F73BE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025E" w:rsidRPr="00F73BE1" w:rsidRDefault="00627A2A" w:rsidP="00F73BE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3BE1">
        <w:rPr>
          <w:rFonts w:ascii="Times New Roman" w:hAnsi="Times New Roman" w:cs="Times New Roman"/>
          <w:b/>
          <w:sz w:val="24"/>
          <w:szCs w:val="24"/>
        </w:rPr>
        <w:lastRenderedPageBreak/>
        <w:t>Implicitné záväzky</w:t>
      </w:r>
    </w:p>
    <w:p w:rsidR="00190540" w:rsidRPr="00BA4FFA" w:rsidRDefault="00190540" w:rsidP="00190540">
      <w:pPr>
        <w:spacing w:after="0" w:line="240" w:lineRule="auto"/>
        <w:rPr>
          <w:rFonts w:ascii="Times New Roman" w:hAnsi="Times New Roman" w:cs="Times New Roman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41D4">
        <w:rPr>
          <w:rFonts w:ascii="Times New Roman" w:hAnsi="Times New Roman" w:cs="Times New Roman"/>
          <w:sz w:val="24"/>
        </w:rPr>
        <w:t>Implicitné záväzky sú podľa ústavného zákona č. 493/2011 Z.</w:t>
      </w:r>
      <w:r w:rsidR="007E3B33">
        <w:rPr>
          <w:rFonts w:ascii="Times New Roman" w:hAnsi="Times New Roman" w:cs="Times New Roman"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>z. o rozpočtovej zodpovednosti definované ako „rozdiel medzi očakávanými budúcimi výdavkami subjektov verejnej správy a očakávanými budúcimi príjmami subjektov verejnej správy, ktoré vyplývajú z finančných dôsledkov spôsobených budúcim uplatňovaním práv a povinností ustanovených právnym poriadkom Slovenskej republiky, ak tieto nie sú súčasťou dlhu verejnej správy“. Ide o čisté záväzky v sektore sociálnych vecí, zdravotníctva a školstva spojené so starnutím populácie a ďalšie typy záväzkov, ako napríklad záväzky z PPP projektov a náklady na odstavenie jadrových elektrární.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 xml:space="preserve">Z uvedeného vyplýva, že nejde o záväzky vykázané v súvahe účtovných závierok subjektov verejnej správy v aktuálnom roku, keďže ich ocenenie môže byť problematické. Napriek tomu však možno pri zohľadnení aktuálneho legislatívneho stavu odhadnúť ich výšku. 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190540" w:rsidRPr="000141D4" w:rsidRDefault="00190540" w:rsidP="0019054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0141D4">
        <w:rPr>
          <w:rFonts w:ascii="Times New Roman" w:hAnsi="Times New Roman" w:cs="Times New Roman"/>
          <w:b/>
          <w:sz w:val="24"/>
          <w:szCs w:val="20"/>
        </w:rPr>
        <w:t>Celkové implicitné záväzky</w:t>
      </w:r>
    </w:p>
    <w:p w:rsidR="00190540" w:rsidRPr="00BA4FFA" w:rsidRDefault="00190540" w:rsidP="00190540">
      <w:pPr>
        <w:pStyle w:val="Odsekzoznamu"/>
        <w:jc w:val="both"/>
        <w:rPr>
          <w:rFonts w:ascii="Times New Roman" w:hAnsi="Times New Roman" w:cs="Times New Roman"/>
          <w:b/>
          <w:szCs w:val="20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  <w:szCs w:val="20"/>
        </w:rPr>
        <w:t>Implicitné záväzky sú odhadnuté ako súčasná hodnota budúcich záväzkov vyplývajúcich zo starnutia populácie, záväzkov z PPP projektov a Národného jadrového fondu v nekonečnom horizonte vyjadrené ako percento aktuálneho HDP roku 2016.</w:t>
      </w:r>
      <w:r w:rsidRPr="000141D4">
        <w:rPr>
          <w:rFonts w:ascii="Times New Roman" w:hAnsi="Times New Roman" w:cs="Times New Roman"/>
          <w:sz w:val="24"/>
        </w:rPr>
        <w:t xml:space="preserve"> Jednotlivým oblastiam sa venujú nasledujúce časti tejto prílohy. Manuál k implicitným záväzkom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1"/>
      </w:r>
      <w:r w:rsidRPr="000141D4">
        <w:rPr>
          <w:rFonts w:ascii="Times New Roman" w:hAnsi="Times New Roman" w:cs="Times New Roman"/>
          <w:sz w:val="24"/>
        </w:rPr>
        <w:t xml:space="preserve"> popisuje podrobnejšie postup výpočtu.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141D4" w:rsidRPr="000141D4" w:rsidTr="000141D4">
        <w:trPr>
          <w:trHeight w:val="283"/>
          <w:jc w:val="center"/>
        </w:trPr>
        <w:tc>
          <w:tcPr>
            <w:tcW w:w="907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Implicitné záväzky – scenár nezmenených politík (hodnota k roku 2016, v % HDP)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shd w:val="clear" w:color="auto" w:fill="BFBFBF" w:themeFill="background1" w:themeFillShade="BF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spolu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 xml:space="preserve">1. Vplyv starnutia populácie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127,5 %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2. Vplyv PPP projektu - rýchlostná cesta R1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2,5 %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3. Vplyv PPP projektu – obchvat BA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1,2 </w:t>
            </w: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%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4. Vplyv Národného jadrového fondu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-3,0 %</w:t>
            </w:r>
          </w:p>
        </w:tc>
      </w:tr>
      <w:tr w:rsidR="00190540" w:rsidRPr="000141D4" w:rsidTr="00D80E5F">
        <w:trPr>
          <w:trHeight w:val="283"/>
          <w:jc w:val="center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5. Celková výška implicitných záväzkov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k-SK"/>
              </w:rPr>
              <w:t>128,2 %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k-SK"/>
              </w:rPr>
              <w:t>* (-) pokles a (+) nárast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sk-SK"/>
              </w:rPr>
              <w:t>Zdroj: MF SR</w:t>
            </w:r>
          </w:p>
        </w:tc>
      </w:tr>
    </w:tbl>
    <w:p w:rsidR="00190540" w:rsidRPr="00BA4FFA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 xml:space="preserve">V roku 2016 dosahujú celkové implicitné záväzky 128,2 % HDP. V porovnaní s údajmi prezentovanými v rozpočte verejnej správy na roky 2016 až 2018 (implicitné záväzky vo výške 148,3 % HDP) došlo k zníženiu odhadovaných implicitných záväzkov o 20,1 % HDP.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Medziročná zmena vyplýva predovšetkým z aktualizácie makroekonomických predpokladov a zmeny východiskového roku pri výpočte implicitných záväzkov (viac v Boxe 1). Dlhodobá projekcia výdavkov spojených so starnutím populácie sa oproti rozpočtu verejnej správy na roky 2016 až 2018 nemenila.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19054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 xml:space="preserve">Záväzky spojené so starnutím populácie </w:t>
      </w:r>
    </w:p>
    <w:p w:rsidR="00190540" w:rsidRPr="000141D4" w:rsidRDefault="00190540" w:rsidP="00190540">
      <w:pPr>
        <w:pStyle w:val="Odsekzoznamu"/>
        <w:jc w:val="both"/>
        <w:rPr>
          <w:rFonts w:ascii="Times New Roman" w:hAnsi="Times New Roman" w:cs="Times New Roman"/>
          <w:b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Základom kvantifikácie sú predpoklady a projekcie pracovnej skupiny AWG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2"/>
      </w:r>
      <w:r w:rsidRPr="000141D4">
        <w:rPr>
          <w:rFonts w:ascii="Times New Roman" w:hAnsi="Times New Roman" w:cs="Times New Roman"/>
          <w:sz w:val="24"/>
        </w:rPr>
        <w:t xml:space="preserve"> zaoberajúcej sa vplyvmi starnutia populácie na verejné financie členských krajín EÚ. Táto pracovná skupina publikuje každé tri roky  </w:t>
      </w:r>
      <w:r w:rsidRPr="000141D4">
        <w:rPr>
          <w:rFonts w:ascii="Times New Roman" w:hAnsi="Times New Roman" w:cs="Times New Roman"/>
          <w:color w:val="000000"/>
          <w:sz w:val="24"/>
        </w:rPr>
        <w:t xml:space="preserve">dlhodobé projekcie príjmov a výdavkov citlivých na starnutie populácie do roku 2060 na základe projekcií demografického vývoja </w:t>
      </w:r>
      <w:proofErr w:type="spellStart"/>
      <w:r w:rsidRPr="000141D4">
        <w:rPr>
          <w:rFonts w:ascii="Times New Roman" w:hAnsi="Times New Roman" w:cs="Times New Roman"/>
          <w:color w:val="000000"/>
          <w:sz w:val="24"/>
        </w:rPr>
        <w:t>Eurostatu</w:t>
      </w:r>
      <w:proofErr w:type="spellEnd"/>
      <w:r w:rsidRPr="000141D4">
        <w:rPr>
          <w:rFonts w:ascii="Times New Roman" w:hAnsi="Times New Roman" w:cs="Times New Roman"/>
          <w:color w:val="000000"/>
          <w:sz w:val="24"/>
        </w:rPr>
        <w:t xml:space="preserve"> </w:t>
      </w:r>
      <w:r w:rsidRPr="000141D4">
        <w:rPr>
          <w:rFonts w:ascii="Times New Roman" w:hAnsi="Times New Roman" w:cs="Times New Roman"/>
          <w:color w:val="000000"/>
          <w:sz w:val="24"/>
        </w:rPr>
        <w:lastRenderedPageBreak/>
        <w:t xml:space="preserve">a dlhodobých makroekonomických projekcií Európskej komisie (EK). </w:t>
      </w:r>
      <w:r w:rsidRPr="000141D4">
        <w:rPr>
          <w:rFonts w:ascii="Times New Roman" w:hAnsi="Times New Roman" w:cs="Times New Roman"/>
          <w:sz w:val="24"/>
        </w:rPr>
        <w:t xml:space="preserve">Odhad implicitných záväzkov spojených so starnutím populácie v scenári nezmenených politík je založený na aktuálnych projekciách pracovnej skupiny AWG z roku 2015. </w:t>
      </w:r>
    </w:p>
    <w:p w:rsidR="00190540" w:rsidRPr="000141D4" w:rsidRDefault="00190540" w:rsidP="00190540">
      <w:pPr>
        <w:spacing w:after="0"/>
        <w:rPr>
          <w:rFonts w:ascii="Times New Roman" w:hAnsi="Times New Roman" w:cs="Times New Roman"/>
          <w:b/>
          <w:sz w:val="24"/>
        </w:rPr>
      </w:pP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>Postup výpočtu záväzkov spojených so starnutím možno rozdeliť do dvoch krokov: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190540" w:rsidRPr="000141D4" w:rsidRDefault="00190540" w:rsidP="0019054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 xml:space="preserve">Prvým krokom </w:t>
      </w:r>
      <w:r w:rsidRPr="000141D4">
        <w:rPr>
          <w:rFonts w:ascii="Times New Roman" w:hAnsi="Times New Roman" w:cs="Times New Roman"/>
          <w:sz w:val="24"/>
        </w:rPr>
        <w:t>výpočtu</w:t>
      </w:r>
      <w:r w:rsidRPr="000141D4">
        <w:rPr>
          <w:rFonts w:ascii="Times New Roman" w:hAnsi="Times New Roman" w:cs="Times New Roman"/>
          <w:b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 xml:space="preserve">je zostavenie bilancie príjmov a výdavkov spojených so starnutím populácie, pričom východiskovým rokom je </w:t>
      </w:r>
      <w:r w:rsidR="004C0CE8">
        <w:rPr>
          <w:rFonts w:ascii="Times New Roman" w:hAnsi="Times New Roman" w:cs="Times New Roman"/>
          <w:sz w:val="24"/>
        </w:rPr>
        <w:t xml:space="preserve">rok </w:t>
      </w:r>
      <w:r w:rsidRPr="000141D4">
        <w:rPr>
          <w:rFonts w:ascii="Times New Roman" w:hAnsi="Times New Roman" w:cs="Times New Roman"/>
          <w:sz w:val="24"/>
        </w:rPr>
        <w:t>2016, t.</w:t>
      </w:r>
      <w:r w:rsidR="007E3B33">
        <w:rPr>
          <w:rFonts w:ascii="Times New Roman" w:hAnsi="Times New Roman" w:cs="Times New Roman"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>j. rok, z ktorého sa vychádza pri zostavovaní rozpočtu verejnej správy na roky 2017 až 2019. Zostavuje sa do roku 2060 (posledný rok projekcií AWG). Po tomto roku sa vo výpočtoch uvažuje s konštantnými podielmi jednotlivých príjmov a výdavkov na HDP.</w:t>
      </w:r>
    </w:p>
    <w:p w:rsidR="00190540" w:rsidRPr="000141D4" w:rsidRDefault="00190540" w:rsidP="00190540">
      <w:pPr>
        <w:pStyle w:val="Odsekzoznamu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>V druhom kroku</w:t>
      </w:r>
      <w:r w:rsidRPr="000141D4">
        <w:rPr>
          <w:rFonts w:ascii="Times New Roman" w:hAnsi="Times New Roman" w:cs="Times New Roman"/>
          <w:sz w:val="24"/>
        </w:rPr>
        <w:t xml:space="preserve"> sa vyčísli suma súčasnej (diskontovanej) hodnoty tejto bilancie v nekonečnom horizonte. Táto suma predstavuje samotnú výšku implicitných záväzkov.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>Na strane príjmov</w:t>
      </w:r>
      <w:r w:rsidRPr="000141D4">
        <w:rPr>
          <w:rFonts w:ascii="Times New Roman" w:hAnsi="Times New Roman" w:cs="Times New Roman"/>
          <w:sz w:val="24"/>
        </w:rPr>
        <w:t xml:space="preserve"> ide konkrétne o príjmy Sociálnej poisťovne plynúce z dôchodkového poistenia a poistenia v nezamestnanosti a zdravotných poisťovní zo zdravotného poistenia. Ide o príjmy od ekonomicky aktívneho obyvateľstva a dlžné poistné. Časť výdavkov citlivých na starnutie populácie je financovaná aj z daní a iných príjmov. Vo výpočtoch sa uvažuje s nimi tak, aby vo východiskovom roku vykryli rozdiel príjmov a výdavkov spojených so starnutím populácie (prostredníctvom bilancujúcej položky - ostatné príjmy)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3"/>
      </w:r>
      <w:r w:rsidRPr="000141D4">
        <w:rPr>
          <w:rFonts w:ascii="Times New Roman" w:hAnsi="Times New Roman" w:cs="Times New Roman"/>
          <w:sz w:val="24"/>
        </w:rPr>
        <w:t xml:space="preserve">.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Vo všeobecnosti sa v prognózovanom období uvažuje s približne nezmeneným podielom uvedených príjmov na HDP, čo zodpovedá teoretickému predpokladu o tom, že daňové príjmy a odvody by mali v dlhodobom horizonte rásť v súlade s rastom nominálneho HDP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4"/>
      </w:r>
      <w:r w:rsidRPr="000141D4">
        <w:rPr>
          <w:rFonts w:ascii="Times New Roman" w:hAnsi="Times New Roman" w:cs="Times New Roman"/>
          <w:sz w:val="24"/>
        </w:rPr>
        <w:t xml:space="preserve">. Prípadná zmena podielu príjmov z dôchodkového poistenia na HDP v čase by súvisela s tým, že časť odvodov je presmerovaná do </w:t>
      </w:r>
      <w:r w:rsidR="00D708FE">
        <w:rPr>
          <w:rFonts w:ascii="Times New Roman" w:hAnsi="Times New Roman" w:cs="Times New Roman"/>
          <w:sz w:val="24"/>
        </w:rPr>
        <w:t>2</w:t>
      </w:r>
      <w:r w:rsidRPr="000141D4">
        <w:rPr>
          <w:rFonts w:ascii="Times New Roman" w:hAnsi="Times New Roman" w:cs="Times New Roman"/>
          <w:sz w:val="24"/>
        </w:rPr>
        <w:t>. piliera dôchodkového systému (t.</w:t>
      </w:r>
      <w:r w:rsidR="007E3B33">
        <w:rPr>
          <w:rFonts w:ascii="Times New Roman" w:hAnsi="Times New Roman" w:cs="Times New Roman"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>j. mimo sektor verejnej správy), pričom táto časť sa v čase môže meniť v dôsledku zmeny podielu sporiteľov na celkovom počte poistencov.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t>Na strane výdavkov</w:t>
      </w:r>
      <w:r w:rsidRPr="000141D4">
        <w:rPr>
          <w:rFonts w:ascii="Times New Roman" w:hAnsi="Times New Roman" w:cs="Times New Roman"/>
          <w:sz w:val="24"/>
        </w:rPr>
        <w:t xml:space="preserve"> ide o výdavky na dôchodkové dávky, zdravotnú a dlhodobú starostlivosť, školstvo a dávky v nezamestnanosti. Neuvažuje sa tu so zmenou úrokových nákladov vyvolaných zmenou primárneho salda verejnej správy v dôsledku starnutia populácie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5"/>
      </w:r>
      <w:r w:rsidRPr="000141D4">
        <w:rPr>
          <w:rFonts w:ascii="Times New Roman" w:hAnsi="Times New Roman" w:cs="Times New Roman"/>
          <w:sz w:val="24"/>
        </w:rPr>
        <w:t xml:space="preserve">. V prípade výdavkov na dôchodkové dávky ide o projekcie </w:t>
      </w:r>
      <w:r w:rsidR="007E3B33">
        <w:rPr>
          <w:rFonts w:ascii="Times New Roman" w:hAnsi="Times New Roman" w:cs="Times New Roman"/>
          <w:sz w:val="24"/>
        </w:rPr>
        <w:t>Ministerstva financií</w:t>
      </w:r>
      <w:r w:rsidRPr="000141D4">
        <w:rPr>
          <w:rFonts w:ascii="Times New Roman" w:hAnsi="Times New Roman" w:cs="Times New Roman"/>
          <w:sz w:val="24"/>
        </w:rPr>
        <w:t xml:space="preserve"> SR konzultované a schvaľované v rámci pracovnej skupiny AWG. Projekcie ostatných výdavkov sú prevzaté priamo z AWG.</w:t>
      </w:r>
    </w:p>
    <w:p w:rsid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1D4" w:rsidRP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680"/>
        <w:gridCol w:w="1134"/>
        <w:gridCol w:w="1020"/>
        <w:gridCol w:w="323"/>
        <w:gridCol w:w="641"/>
        <w:gridCol w:w="964"/>
        <w:gridCol w:w="769"/>
      </w:tblGrid>
      <w:tr w:rsidR="000141D4" w:rsidRPr="000141D4" w:rsidTr="000141D4">
        <w:trPr>
          <w:trHeight w:val="322"/>
          <w:jc w:val="center"/>
        </w:trPr>
        <w:tc>
          <w:tcPr>
            <w:tcW w:w="9067" w:type="dxa"/>
            <w:gridSpan w:val="8"/>
            <w:shd w:val="clear" w:color="auto" w:fill="A6A6A6" w:themeFill="background1" w:themeFillShade="A6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Vplyv demografických zmien na príjmy a výdavky verejnej správy (% HDP, scenár nezmenených politík)  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64" w:type="dxa"/>
            <w:gridSpan w:val="2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769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2060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poistenie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poistenie v nezamestnanosti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zdravotné poistenie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22,1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dávky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000000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-2,0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-3,6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Primárne saldo diskontované k roku 2016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-1,5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-2,0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141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p.m</w:t>
            </w:r>
            <w:proofErr w:type="spellEnd"/>
            <w:r w:rsidRPr="000141D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nominálny rast HDP (v %)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2,8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p.m</w:t>
            </w:r>
            <w:proofErr w:type="spellEnd"/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 nominálna úroková miera (v %)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0141D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5,1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6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0540" w:rsidRPr="000141D4" w:rsidRDefault="000141D4" w:rsidP="00876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 xml:space="preserve">         </w:t>
            </w:r>
            <w:r w:rsidR="00190540" w:rsidRPr="000141D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 xml:space="preserve">Výsledky v tabuľke možno interpretovať tak, že v roku 2060 dôjde v porovnaní s rokom 2016 k zhoršeniu diskontovaného primárneho salda v dôsledku starnutia populácie o 2,0 p. b. </w:t>
      </w:r>
    </w:p>
    <w:p w:rsidR="00190540" w:rsidRPr="00BA4FFA" w:rsidRDefault="00190540" w:rsidP="001905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062"/>
      </w:tblGrid>
      <w:tr w:rsidR="00190540" w:rsidRPr="00BA4FFA" w:rsidTr="00876B2F">
        <w:tc>
          <w:tcPr>
            <w:tcW w:w="9062" w:type="dxa"/>
            <w:shd w:val="clear" w:color="auto" w:fill="A6A6A6" w:themeFill="background1" w:themeFillShade="A6"/>
          </w:tcPr>
          <w:p w:rsidR="00190540" w:rsidRPr="00BA4FFA" w:rsidRDefault="00190540" w:rsidP="00876B2F">
            <w:pPr>
              <w:pStyle w:val="Default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BA4FFA">
              <w:rPr>
                <w:b/>
                <w:bCs/>
                <w:sz w:val="22"/>
                <w:szCs w:val="22"/>
                <w:lang w:val="sk-SK"/>
              </w:rPr>
              <w:t xml:space="preserve">BOX 1 </w:t>
            </w:r>
            <w:r w:rsidRPr="00BA4FFA">
              <w:rPr>
                <w:sz w:val="22"/>
                <w:szCs w:val="22"/>
                <w:lang w:val="sk-SK"/>
              </w:rPr>
              <w:t xml:space="preserve">– </w:t>
            </w:r>
            <w:r w:rsidRPr="00BA4FFA">
              <w:rPr>
                <w:b/>
                <w:bCs/>
                <w:sz w:val="22"/>
                <w:szCs w:val="22"/>
                <w:lang w:val="sk-SK"/>
              </w:rPr>
              <w:t>Aktualizácia implicitných výdavkov spojených so starnutím populácie</w:t>
            </w:r>
          </w:p>
          <w:p w:rsidR="00190540" w:rsidRPr="00BA4FFA" w:rsidRDefault="00190540" w:rsidP="00876B2F">
            <w:pPr>
              <w:pStyle w:val="Default"/>
              <w:jc w:val="both"/>
              <w:rPr>
                <w:b/>
                <w:bCs/>
                <w:sz w:val="20"/>
                <w:szCs w:val="20"/>
                <w:lang w:val="sk-SK"/>
              </w:rPr>
            </w:pPr>
          </w:p>
          <w:p w:rsidR="00190540" w:rsidRPr="000141D4" w:rsidRDefault="00190540" w:rsidP="00876B2F">
            <w:pPr>
              <w:jc w:val="both"/>
              <w:rPr>
                <w:rFonts w:ascii="Times New Roman" w:hAnsi="Times New Roman" w:cs="Times New Roman"/>
              </w:rPr>
            </w:pPr>
            <w:r w:rsidRPr="00BA4FFA">
              <w:rPr>
                <w:rFonts w:ascii="Times New Roman" w:hAnsi="Times New Roman" w:cs="Times New Roman"/>
              </w:rPr>
              <w:t>V rozpočte verejnej správy na roky 2016 až 2018 bol uvedený odhad implicitných záväzkov spojených so starnutím populácie n</w:t>
            </w:r>
            <w:bookmarkStart w:id="0" w:name="_GoBack"/>
            <w:bookmarkEnd w:id="0"/>
            <w:r w:rsidRPr="00BA4FFA">
              <w:rPr>
                <w:rFonts w:ascii="Times New Roman" w:hAnsi="Times New Roman" w:cs="Times New Roman"/>
              </w:rPr>
              <w:t>a úrovni 148,</w:t>
            </w:r>
            <w:r>
              <w:rPr>
                <w:rFonts w:ascii="Times New Roman" w:hAnsi="Times New Roman" w:cs="Times New Roman"/>
              </w:rPr>
              <w:t>8</w:t>
            </w:r>
            <w:r w:rsidRPr="00BA4FFA">
              <w:rPr>
                <w:rFonts w:ascii="Times New Roman" w:hAnsi="Times New Roman" w:cs="Times New Roman"/>
              </w:rPr>
              <w:t xml:space="preserve"> % HDP v roku 2015. Aktuálne sa k roku 2016 výška implicitných záväzkov </w:t>
            </w:r>
            <w:r w:rsidRPr="000141D4">
              <w:rPr>
                <w:rFonts w:ascii="Times New Roman" w:hAnsi="Times New Roman" w:cs="Times New Roman"/>
              </w:rPr>
              <w:t xml:space="preserve">odhaduje na úrovni 127,5 % HDP, čo predstavuje ich pokles o 21,3 % HDP. </w:t>
            </w:r>
          </w:p>
          <w:p w:rsidR="00190540" w:rsidRPr="00BA4FFA" w:rsidRDefault="00190540" w:rsidP="00876B2F">
            <w:pPr>
              <w:jc w:val="both"/>
              <w:rPr>
                <w:rFonts w:ascii="Times New Roman" w:hAnsi="Times New Roman" w:cs="Times New Roman"/>
              </w:rPr>
            </w:pPr>
          </w:p>
          <w:p w:rsidR="00190540" w:rsidRPr="00BA4FFA" w:rsidRDefault="00190540" w:rsidP="00876B2F">
            <w:pPr>
              <w:jc w:val="both"/>
              <w:rPr>
                <w:rFonts w:ascii="Times New Roman" w:hAnsi="Times New Roman" w:cs="Times New Roman"/>
              </w:rPr>
            </w:pPr>
            <w:r w:rsidRPr="00BA4FFA">
              <w:rPr>
                <w:rFonts w:ascii="Times New Roman" w:hAnsi="Times New Roman" w:cs="Times New Roman"/>
              </w:rPr>
              <w:t xml:space="preserve">Pokles implicitných záväzkov v roku 2016 výrazne ovplyvňuje najmä vývoj príjmov </w:t>
            </w:r>
            <w:r w:rsidR="007E3B33">
              <w:rPr>
                <w:rFonts w:ascii="Times New Roman" w:hAnsi="Times New Roman" w:cs="Times New Roman"/>
              </w:rPr>
              <w:t>verejnej správy</w:t>
            </w:r>
            <w:r w:rsidRPr="00BA4FFA">
              <w:rPr>
                <w:rFonts w:ascii="Times New Roman" w:hAnsi="Times New Roman" w:cs="Times New Roman"/>
              </w:rPr>
              <w:t xml:space="preserve"> citlivých na starnutie, ktoré zaznamenali </w:t>
            </w:r>
            <w:r>
              <w:rPr>
                <w:rFonts w:ascii="Times New Roman" w:hAnsi="Times New Roman" w:cs="Times New Roman"/>
              </w:rPr>
              <w:t>nárast vo výške 14</w:t>
            </w:r>
            <w:r w:rsidRPr="00BA4FFA">
              <w:rPr>
                <w:rFonts w:ascii="Times New Roman" w:hAnsi="Times New Roman" w:cs="Times New Roman"/>
              </w:rPr>
              <w:t xml:space="preserve"> </w:t>
            </w:r>
            <w:r w:rsidRPr="00BA4FFA">
              <w:rPr>
                <w:rFonts w:ascii="Times New Roman" w:hAnsi="Times New Roman" w:cs="Times New Roman"/>
                <w:lang w:val="en-US"/>
              </w:rPr>
              <w:t xml:space="preserve">% HDP. Na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strane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výdavkov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sa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v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rovnakom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období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očakáva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pokles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o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A4FFA">
              <w:rPr>
                <w:rFonts w:ascii="Times New Roman" w:hAnsi="Times New Roman" w:cs="Times New Roman"/>
                <w:lang w:val="en-US"/>
              </w:rPr>
              <w:t xml:space="preserve"> % HDP,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ktorý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4FFA">
              <w:rPr>
                <w:rFonts w:ascii="Times New Roman" w:hAnsi="Times New Roman" w:cs="Times New Roman"/>
                <w:lang w:val="en-US"/>
              </w:rPr>
              <w:t>povedie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ešte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výraznejšiemu</w:t>
            </w:r>
            <w:proofErr w:type="spellEnd"/>
            <w:r w:rsidRPr="00BA4F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4FFA">
              <w:rPr>
                <w:rFonts w:ascii="Times New Roman" w:hAnsi="Times New Roman" w:cs="Times New Roman"/>
              </w:rPr>
              <w:t>poklesu implicitných záväzkov. Hlavným dôvodom revízie implicitných záväzkov smerom nadol sú najmä vyššie príjmy zo zdravotného poistenia a príjmy nesúvisiace s dôchodkovým systémom.</w:t>
            </w:r>
          </w:p>
          <w:p w:rsidR="00190540" w:rsidRPr="00BA4FFA" w:rsidRDefault="00190540" w:rsidP="00876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6"/>
              <w:gridCol w:w="992"/>
              <w:gridCol w:w="992"/>
              <w:gridCol w:w="993"/>
              <w:gridCol w:w="850"/>
              <w:gridCol w:w="1843"/>
            </w:tblGrid>
            <w:tr w:rsidR="00190540" w:rsidRPr="000141D4" w:rsidTr="00876B2F">
              <w:trPr>
                <w:trHeight w:val="291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:rsidR="00190540" w:rsidRPr="000141D4" w:rsidRDefault="00190540" w:rsidP="004C0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  <w:lang w:eastAsia="sk-SK"/>
                    </w:rPr>
                    <w:t xml:space="preserve">Porovnanie zmien v implicitných záväzkoch súvisiacich so starnutím </w:t>
                  </w:r>
                  <w:r w:rsidR="004C0CE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  <w:lang w:eastAsia="sk-SK"/>
                    </w:rPr>
                    <w:t>populácie</w:t>
                  </w: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  <w:lang w:eastAsia="sk-SK"/>
                    </w:rPr>
                    <w:t xml:space="preserve"> (v % HDP)</w:t>
                  </w:r>
                </w:p>
              </w:tc>
            </w:tr>
            <w:tr w:rsidR="00190540" w:rsidRPr="000141D4" w:rsidTr="00876B2F">
              <w:trPr>
                <w:trHeight w:val="227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(1) RVS </w:t>
                  </w:r>
                  <w:r w:rsid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br/>
                  </w: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2017-19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(2) RVS </w:t>
                  </w:r>
                  <w:r w:rsid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br/>
                  </w: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2016-18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(3) Rozdiely (1-2)****</w:t>
                  </w:r>
                </w:p>
              </w:tc>
            </w:tr>
            <w:tr w:rsidR="00190540" w:rsidRPr="000141D4" w:rsidTr="00876B2F">
              <w:trPr>
                <w:trHeight w:val="637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Spolu (A)= (B+C)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Z toho: (B) Makro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Z toho: (C) Zmena východiskového roku + aktualizácia príjmov VS 2016</w:t>
                  </w:r>
                  <w:r w:rsidRPr="000141D4">
                    <w:rPr>
                      <w:rStyle w:val="Odkaznapoznmkupodiarou"/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footnoteReference w:id="6"/>
                  </w: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 xml:space="preserve"> 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  <w:t>A. Príjmy VS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1 201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1 187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-11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Dôchodkové poistenie (EAO + dlžné)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407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-7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Zdravotné poistenie (EAO + dlžné)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245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236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-4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Ostatné príjmy *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542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  <w:t>B. Výdavky citlivé na starnutie populácie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1 329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1 336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-7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-21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Zdravotná starostlivosť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470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472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-2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-7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Dôchodkové dávky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Del="008E3678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621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624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Del="00302516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Del="00302516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-10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ind w:firstLineChars="100" w:firstLine="140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Ostatné **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  <w:t>238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-4</w:t>
                  </w:r>
                </w:p>
              </w:tc>
            </w:tr>
            <w:tr w:rsidR="00190540" w:rsidRPr="000141D4" w:rsidTr="00876B2F">
              <w:trPr>
                <w:trHeight w:val="283"/>
              </w:trPr>
              <w:tc>
                <w:tcPr>
                  <w:tcW w:w="300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sk-SK"/>
                    </w:rPr>
                    <w:t>C. Implicitné záväzky - vplyv na primárne saldo (A-B)***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-128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  <w:t>-149</w:t>
                  </w:r>
                </w:p>
              </w:tc>
              <w:tc>
                <w:tcPr>
                  <w:tcW w:w="993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dashed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double" w:sz="6" w:space="0" w:color="auto"/>
                    <w:left w:val="dashed" w:sz="4" w:space="0" w:color="auto"/>
                    <w:bottom w:val="double" w:sz="6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190540" w:rsidRPr="000141D4" w:rsidTr="00876B2F">
              <w:trPr>
                <w:trHeight w:val="170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4C0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 xml:space="preserve">* Najmä príjmy nesúvisiace </w:t>
                  </w:r>
                  <w:r w:rsidR="004C0CE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s</w:t>
                  </w: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 xml:space="preserve"> dôchodkovým systémom, s výnimkou príjmov z poistenia v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 </w:t>
                  </w: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nezamestnanosti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.</w:t>
                  </w:r>
                </w:p>
              </w:tc>
            </w:tr>
            <w:tr w:rsidR="00190540" w:rsidRPr="000141D4" w:rsidTr="00876B2F">
              <w:trPr>
                <w:trHeight w:val="170"/>
              </w:trPr>
              <w:tc>
                <w:tcPr>
                  <w:tcW w:w="86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** Výdavky na školstvo, dlhodobú starostlivosť, dávky v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 </w:t>
                  </w: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nezamestnanosti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.</w:t>
                  </w:r>
                </w:p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*** Implicitné záväzky sú vyčíslené na základe projekcií AWG do roku 2060, ku ktorému sa pripočítava vplyv v nekonečnom horizonte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.</w:t>
                  </w:r>
                </w:p>
                <w:p w:rsidR="00190540" w:rsidRPr="000141D4" w:rsidRDefault="00190540" w:rsidP="0087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</w:pPr>
                  <w:r w:rsidRPr="000141D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**** Nepatrné rozdiely vyplývajú zo zaokrúhľovania</w:t>
                  </w:r>
                  <w:r w:rsidR="007E3B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sk-SK"/>
                    </w:rPr>
                    <w:t>.</w:t>
                  </w:r>
                </w:p>
              </w:tc>
            </w:tr>
          </w:tbl>
          <w:p w:rsidR="00190540" w:rsidRPr="00BA4FFA" w:rsidRDefault="00190540" w:rsidP="00876B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41D4">
        <w:rPr>
          <w:rFonts w:ascii="Times New Roman" w:hAnsi="Times New Roman" w:cs="Times New Roman"/>
          <w:b/>
          <w:sz w:val="24"/>
        </w:rPr>
        <w:lastRenderedPageBreak/>
        <w:t>3.  Iné záväzky – PPP projekty a Národný jadrový fond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Do celkovej kvantifikácie implicitných záväzkov bol zahrnutý aj vplyv splácania PPP projektov – rýchlostnej cesty R1 a obchvatu Bratislavy D4/R7. Východiskom boli predpokladané platby štátu za dostupnosť počas celej doby trvania koncesie, t.</w:t>
      </w:r>
      <w:r w:rsidR="007E3B33">
        <w:rPr>
          <w:rFonts w:ascii="Times New Roman" w:hAnsi="Times New Roman" w:cs="Times New Roman"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>j. do roku 2041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7"/>
      </w:r>
      <w:r w:rsidRPr="000141D4">
        <w:rPr>
          <w:rFonts w:ascii="Times New Roman" w:hAnsi="Times New Roman" w:cs="Times New Roman"/>
          <w:sz w:val="24"/>
        </w:rPr>
        <w:t xml:space="preserve"> v prípade PPP – R1</w:t>
      </w:r>
      <w:r w:rsidR="007E3B33">
        <w:rPr>
          <w:rFonts w:ascii="Times New Roman" w:hAnsi="Times New Roman" w:cs="Times New Roman"/>
          <w:sz w:val="24"/>
        </w:rPr>
        <w:t>,</w:t>
      </w:r>
      <w:r w:rsidRPr="000141D4">
        <w:rPr>
          <w:rFonts w:ascii="Times New Roman" w:hAnsi="Times New Roman" w:cs="Times New Roman"/>
          <w:sz w:val="24"/>
        </w:rPr>
        <w:t xml:space="preserve"> resp. 2050 v prípade PPP </w:t>
      </w:r>
      <w:r w:rsidR="00D708FE">
        <w:rPr>
          <w:rFonts w:ascii="Times New Roman" w:hAnsi="Times New Roman" w:cs="Times New Roman"/>
          <w:sz w:val="24"/>
        </w:rPr>
        <w:t>–</w:t>
      </w:r>
      <w:r w:rsidRPr="000141D4">
        <w:rPr>
          <w:rFonts w:ascii="Times New Roman" w:hAnsi="Times New Roman" w:cs="Times New Roman"/>
          <w:sz w:val="24"/>
        </w:rPr>
        <w:t xml:space="preserve"> obchvat</w:t>
      </w:r>
      <w:r w:rsidR="00D708FE">
        <w:rPr>
          <w:rFonts w:ascii="Times New Roman" w:hAnsi="Times New Roman" w:cs="Times New Roman"/>
          <w:sz w:val="24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>BA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8"/>
      </w:r>
      <w:r w:rsidRPr="000141D4">
        <w:rPr>
          <w:rFonts w:ascii="Times New Roman" w:hAnsi="Times New Roman" w:cs="Times New Roman"/>
          <w:sz w:val="24"/>
        </w:rPr>
        <w:t xml:space="preserve">.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Platby za dostupnosť pri PPP – R1 boli znížené o platbu DPH za služby, keďže táto je z pohľadu vplyvu na saldo a dlh neutrálna. Súčasne sa tu neuvažuje ani s alikvotnou časťou zo zaplatenej DPH pri odovzdaní úsekov v roku 2011, keďže nemá vplyv na dlh (iba na saldo v jednotlivých rokoch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9"/>
      </w:r>
      <w:r w:rsidRPr="000141D4">
        <w:rPr>
          <w:rFonts w:ascii="Times New Roman" w:hAnsi="Times New Roman" w:cs="Times New Roman"/>
          <w:sz w:val="24"/>
        </w:rPr>
        <w:t xml:space="preserve">). </w:t>
      </w:r>
    </w:p>
    <w:p w:rsidR="000141D4" w:rsidRPr="000141D4" w:rsidRDefault="000141D4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 xml:space="preserve">Od roku 2016 zahŕňajú implicitné záväzky aj výdavky súvisiace s výstavbou a prevádzkou obchvatu Bratislavy D4 a rýchlostnej cesty R7. Zmluva s koncesionárom bola podpísaná v roku 2016 s dohodnutou dĺžkou trvania koncesie do roku 2050. Záväzky z projektu výstavby obchvatu BA očakávajú v prvých rokoch výdavky súvisiace najmä s výkupom pozemkov a projektovou činnosťou. Ročné platby za dostupnosť sa následne začnú realizovať po odovzdaní stavby do </w:t>
      </w:r>
      <w:r w:rsidR="0067762B">
        <w:rPr>
          <w:rFonts w:ascii="Times New Roman" w:hAnsi="Times New Roman" w:cs="Times New Roman"/>
          <w:sz w:val="24"/>
        </w:rPr>
        <w:t>u</w:t>
      </w:r>
      <w:r w:rsidRPr="000141D4">
        <w:rPr>
          <w:rFonts w:ascii="Times New Roman" w:hAnsi="Times New Roman" w:cs="Times New Roman"/>
          <w:sz w:val="24"/>
        </w:rPr>
        <w:t>žívania v priebehu roku 2020.</w:t>
      </w:r>
    </w:p>
    <w:p w:rsidR="00190540" w:rsidRPr="00BA4FFA" w:rsidRDefault="00190540" w:rsidP="0019054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62"/>
        <w:gridCol w:w="951"/>
        <w:gridCol w:w="88"/>
        <w:gridCol w:w="737"/>
        <w:gridCol w:w="964"/>
        <w:gridCol w:w="812"/>
        <w:gridCol w:w="889"/>
      </w:tblGrid>
      <w:tr w:rsidR="000141D4" w:rsidRPr="000141D4" w:rsidTr="000141D4">
        <w:trPr>
          <w:trHeight w:val="330"/>
        </w:trPr>
        <w:tc>
          <w:tcPr>
            <w:tcW w:w="9072" w:type="dxa"/>
            <w:gridSpan w:val="8"/>
            <w:shd w:val="clear" w:color="auto" w:fill="A6A6A6" w:themeFill="background1" w:themeFillShade="A6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Vplyv PPP projektu (v % HDP) </w:t>
            </w:r>
          </w:p>
        </w:tc>
      </w:tr>
      <w:tr w:rsidR="00190540" w:rsidRPr="000141D4" w:rsidTr="000141D4">
        <w:trPr>
          <w:trHeight w:val="283"/>
        </w:trPr>
        <w:tc>
          <w:tcPr>
            <w:tcW w:w="3969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62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103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964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812" w:type="dxa"/>
            <w:shd w:val="clear" w:color="auto" w:fill="BFBFBF" w:themeFill="background1" w:themeFillShade="BF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190540" w:rsidRPr="000141D4" w:rsidTr="000141D4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R1*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190540" w:rsidRPr="000141D4" w:rsidTr="000141D4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190540" w:rsidRPr="000141D4" w:rsidTr="000141D4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D4/R7 (obchvat BA)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039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190540" w:rsidRPr="000141D4" w:rsidTr="000141D4">
        <w:trPr>
          <w:trHeight w:val="28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</w:tr>
      <w:tr w:rsidR="00190540" w:rsidRPr="000141D4" w:rsidTr="000141D4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* bez započítania DPH za služby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540" w:rsidRPr="000141D4" w:rsidRDefault="00190540" w:rsidP="00D7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  <w:t>Zdroj: MF SR, MDVRR SR</w:t>
            </w:r>
          </w:p>
        </w:tc>
      </w:tr>
      <w:tr w:rsidR="00190540" w:rsidRPr="000141D4" w:rsidTr="000141D4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14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kladné hodnoty znamenajú negatívny vplyv na saldo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540" w:rsidRPr="000141D4" w:rsidRDefault="00190540" w:rsidP="00876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</w:p>
        </w:tc>
      </w:tr>
    </w:tbl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>Ďalším faktorom ovplyvňujúcim implicitné záväzky je systém financovania nákladov spojených s vyraďovaním jadrových zariadení. Štát pokrýva náklady na likvidáciu odstavených jadrových elektrární a vyhoreného paliva, ktoré v budúcnosti významne narastú. Podľa aktuálneho plánu financovania schváleného vládou</w:t>
      </w:r>
      <w:r w:rsidRPr="000141D4">
        <w:rPr>
          <w:rFonts w:ascii="Times New Roman" w:hAnsi="Times New Roman" w:cs="Times New Roman"/>
          <w:sz w:val="24"/>
          <w:vertAlign w:val="superscript"/>
        </w:rPr>
        <w:footnoteReference w:id="10"/>
      </w:r>
      <w:r w:rsidRPr="000141D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0141D4">
        <w:rPr>
          <w:rFonts w:ascii="Times New Roman" w:hAnsi="Times New Roman" w:cs="Times New Roman"/>
          <w:sz w:val="24"/>
        </w:rPr>
        <w:t xml:space="preserve">by mal systém hospodáriť s vyrovnanou bilanciu v dlhodobom horizonte. Počas prevádzky jadrového zariadenia by sa malo naakumulovať v Národnom jadrovom fonde (NJF) také množstvo finančných prostriedkov, ktoré bude postačujúce pre jeho budúce vyradenie, vrátane nakladania s rádioaktívnymi odpadmi a vyhoreným palivom. Rizikom pre finančnú schému predstavuje značná závislosť nákladov na harmonograme vyraďovania jednotlivých blokov a zvoleného spôsobu likvidácie. </w:t>
      </w:r>
    </w:p>
    <w:p w:rsidR="00190540" w:rsidRPr="000141D4" w:rsidRDefault="00190540" w:rsidP="00190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0540" w:rsidRPr="000141D4" w:rsidRDefault="00190540" w:rsidP="0001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141D4">
        <w:rPr>
          <w:rFonts w:ascii="Times New Roman" w:hAnsi="Times New Roman" w:cs="Times New Roman"/>
          <w:sz w:val="24"/>
        </w:rPr>
        <w:t xml:space="preserve">Model odhadu nákladov na likvidáciu jadrových zariadení preberá </w:t>
      </w:r>
      <w:r w:rsidR="007E3B33">
        <w:rPr>
          <w:rFonts w:ascii="Times New Roman" w:hAnsi="Times New Roman" w:cs="Times New Roman"/>
          <w:sz w:val="24"/>
        </w:rPr>
        <w:t>Ministerstvo financií SR</w:t>
      </w:r>
      <w:r w:rsidRPr="000141D4">
        <w:rPr>
          <w:rFonts w:ascii="Times New Roman" w:hAnsi="Times New Roman" w:cs="Times New Roman"/>
          <w:sz w:val="24"/>
        </w:rPr>
        <w:t xml:space="preserve"> od Ministerstva hospodárstva SR.</w:t>
      </w:r>
      <w:r w:rsidRPr="000141D4">
        <w:rPr>
          <w:rStyle w:val="Odkaznapoznmkupodiarou"/>
          <w:rFonts w:ascii="Times New Roman" w:hAnsi="Times New Roman" w:cs="Times New Roman"/>
          <w:sz w:val="24"/>
        </w:rPr>
        <w:footnoteReference w:id="11"/>
      </w:r>
      <w:r w:rsidRPr="000141D4">
        <w:rPr>
          <w:rFonts w:ascii="Times New Roman" w:hAnsi="Times New Roman" w:cs="Times New Roman"/>
          <w:sz w:val="24"/>
        </w:rPr>
        <w:t xml:space="preserve"> Saldá sú následne diskontované rovnakým faktorom </w:t>
      </w:r>
      <w:r w:rsidRPr="000141D4">
        <w:rPr>
          <w:rFonts w:ascii="Times New Roman" w:hAnsi="Times New Roman" w:cs="Times New Roman"/>
          <w:sz w:val="24"/>
        </w:rPr>
        <w:lastRenderedPageBreak/>
        <w:t>ako pri záväzkoch zo starnutia populácie. Podľa aktuálnych odhadov by mal byť systém v prebytku počas prvých desaťročí. Vzhľadom na výraznejší vplyv diskontovania budúcich deficitov, ako je vplyv diskontovania prebytkov v najbližšom období, má NJF celkovo pozitívny vplyv na implicitné záväzky.</w:t>
      </w:r>
    </w:p>
    <w:p w:rsidR="00190540" w:rsidRPr="00BA4FFA" w:rsidRDefault="00190540" w:rsidP="001905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938"/>
        <w:gridCol w:w="938"/>
        <w:gridCol w:w="939"/>
        <w:gridCol w:w="939"/>
        <w:gridCol w:w="603"/>
        <w:gridCol w:w="336"/>
        <w:gridCol w:w="939"/>
      </w:tblGrid>
      <w:tr w:rsidR="000141D4" w:rsidRPr="000141D4" w:rsidTr="000141D4">
        <w:trPr>
          <w:trHeight w:val="283"/>
          <w:jc w:val="center"/>
        </w:trPr>
        <w:tc>
          <w:tcPr>
            <w:tcW w:w="9072" w:type="dxa"/>
            <w:gridSpan w:val="8"/>
            <w:shd w:val="clear" w:color="auto" w:fill="A6A6A6" w:themeFill="background1" w:themeFillShade="A6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Vplyv Národného jadrového fondu (v % HDP) 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3440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38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3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939" w:type="dxa"/>
            <w:shd w:val="clear" w:color="auto" w:fill="BFBFBF" w:themeFill="background1" w:themeFillShade="BF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Vplyv NJF na saldo*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90540" w:rsidRPr="000141D4" w:rsidTr="000141D4">
        <w:trPr>
          <w:trHeight w:val="283"/>
          <w:jc w:val="center"/>
        </w:trPr>
        <w:tc>
          <w:tcPr>
            <w:tcW w:w="3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diskontovaná hodnota k roku 2016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0" w:rsidRPr="000141D4" w:rsidRDefault="00190540" w:rsidP="00876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141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-3,0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 Projekcie pre účely </w:t>
            </w:r>
            <w:r w:rsidRPr="000141D4">
              <w:rPr>
                <w:rFonts w:ascii="Times New Roman" w:hAnsi="Times New Roman" w:cs="Times New Roman"/>
                <w:sz w:val="16"/>
                <w:szCs w:val="16"/>
              </w:rPr>
              <w:t>Stratégie záverečnej časti mierového využívania jadrovej energie v SR siahajú po rok 2140.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540" w:rsidRPr="000141D4" w:rsidRDefault="000141D4" w:rsidP="00876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90540" w:rsidRPr="00014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Zdroj: MF SR</w:t>
            </w:r>
          </w:p>
        </w:tc>
      </w:tr>
      <w:tr w:rsidR="00190540" w:rsidRPr="000141D4" w:rsidTr="000141D4">
        <w:trPr>
          <w:trHeight w:val="227"/>
          <w:jc w:val="center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0540" w:rsidRPr="000141D4" w:rsidRDefault="00190540" w:rsidP="0087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4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Pozn.: záporné hodnoty znamenajú pozitívny vplyv na saldo</w:t>
            </w:r>
          </w:p>
        </w:tc>
      </w:tr>
    </w:tbl>
    <w:p w:rsidR="00190540" w:rsidRPr="00BA4FFA" w:rsidRDefault="00190540" w:rsidP="00190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540" w:rsidRPr="00BA4FFA" w:rsidRDefault="00190540" w:rsidP="00190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540" w:rsidRPr="00BA4FFA" w:rsidRDefault="00190540" w:rsidP="00190540">
      <w:pPr>
        <w:pStyle w:val="Odsekzoznamu"/>
        <w:jc w:val="both"/>
        <w:rPr>
          <w:rFonts w:ascii="Times New Roman" w:hAnsi="Times New Roman" w:cs="Times New Roman"/>
        </w:rPr>
      </w:pPr>
    </w:p>
    <w:p w:rsidR="00627A2A" w:rsidRPr="00F73BE1" w:rsidRDefault="00627A2A" w:rsidP="00F7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A2A" w:rsidRPr="00F73BE1" w:rsidSect="00A83FA0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86" w:rsidRDefault="00D15D86" w:rsidP="00FA25AD">
      <w:pPr>
        <w:spacing w:after="0" w:line="240" w:lineRule="auto"/>
      </w:pPr>
      <w:r>
        <w:separator/>
      </w:r>
    </w:p>
  </w:endnote>
  <w:endnote w:type="continuationSeparator" w:id="0">
    <w:p w:rsidR="00D15D86" w:rsidRDefault="00D15D86" w:rsidP="00F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441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83FA0" w:rsidRPr="004A0617" w:rsidRDefault="00A83FA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A0617">
          <w:rPr>
            <w:rFonts w:ascii="Times New Roman" w:hAnsi="Times New Roman" w:cs="Times New Roman"/>
            <w:sz w:val="24"/>
          </w:rPr>
          <w:fldChar w:fldCharType="begin"/>
        </w:r>
        <w:r w:rsidRPr="004A0617">
          <w:rPr>
            <w:rFonts w:ascii="Times New Roman" w:hAnsi="Times New Roman" w:cs="Times New Roman"/>
            <w:sz w:val="24"/>
          </w:rPr>
          <w:instrText>PAGE   \* MERGEFORMAT</w:instrText>
        </w:r>
        <w:r w:rsidRPr="004A0617">
          <w:rPr>
            <w:rFonts w:ascii="Times New Roman" w:hAnsi="Times New Roman" w:cs="Times New Roman"/>
            <w:sz w:val="24"/>
          </w:rPr>
          <w:fldChar w:fldCharType="separate"/>
        </w:r>
        <w:r w:rsidR="00015EA0">
          <w:rPr>
            <w:rFonts w:ascii="Times New Roman" w:hAnsi="Times New Roman" w:cs="Times New Roman"/>
            <w:noProof/>
            <w:sz w:val="24"/>
          </w:rPr>
          <w:t>5</w:t>
        </w:r>
        <w:r w:rsidRPr="004A06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27631" w:rsidRDefault="002276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86" w:rsidRDefault="00D15D86" w:rsidP="00FA25AD">
      <w:pPr>
        <w:spacing w:after="0" w:line="240" w:lineRule="auto"/>
      </w:pPr>
      <w:r>
        <w:separator/>
      </w:r>
    </w:p>
  </w:footnote>
  <w:footnote w:type="continuationSeparator" w:id="0">
    <w:p w:rsidR="00D15D86" w:rsidRDefault="00D15D86" w:rsidP="00FA25AD">
      <w:pPr>
        <w:spacing w:after="0" w:line="240" w:lineRule="auto"/>
      </w:pPr>
      <w:r>
        <w:continuationSeparator/>
      </w:r>
    </w:p>
  </w:footnote>
  <w:footnote w:id="1">
    <w:p w:rsidR="00190540" w:rsidRPr="000141D4" w:rsidRDefault="00190540" w:rsidP="00190540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141D4">
          <w:rPr>
            <w:rStyle w:val="Hypertextovprepojenie"/>
            <w:rFonts w:ascii="Times New Roman" w:hAnsi="Times New Roman" w:cs="Times New Roman"/>
            <w:sz w:val="18"/>
            <w:szCs w:val="18"/>
          </w:rPr>
          <w:t>Metodika výpočtu implicitných záväzkov</w:t>
        </w:r>
      </w:hyperlink>
      <w:r w:rsidRPr="000141D4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90540" w:rsidRPr="000141D4" w:rsidRDefault="00190540" w:rsidP="00190540">
      <w:pPr>
        <w:pStyle w:val="Textpoznmkypodiarou"/>
        <w:ind w:left="159" w:hanging="159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41D4">
        <w:rPr>
          <w:rFonts w:ascii="Times New Roman" w:hAnsi="Times New Roman" w:cs="Times New Roman"/>
          <w:sz w:val="18"/>
          <w:szCs w:val="18"/>
        </w:rPr>
        <w:t>Ageing</w:t>
      </w:r>
      <w:proofErr w:type="spellEnd"/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41D4">
        <w:rPr>
          <w:rFonts w:ascii="Times New Roman" w:hAnsi="Times New Roman" w:cs="Times New Roman"/>
          <w:sz w:val="18"/>
          <w:szCs w:val="18"/>
        </w:rPr>
        <w:t>working</w:t>
      </w:r>
      <w:proofErr w:type="spellEnd"/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41D4">
        <w:rPr>
          <w:rFonts w:ascii="Times New Roman" w:hAnsi="Times New Roman" w:cs="Times New Roman"/>
          <w:sz w:val="18"/>
          <w:szCs w:val="18"/>
        </w:rPr>
        <w:t>group</w:t>
      </w:r>
      <w:proofErr w:type="spellEnd"/>
      <w:r w:rsidRPr="000141D4">
        <w:rPr>
          <w:rFonts w:ascii="Times New Roman" w:hAnsi="Times New Roman" w:cs="Times New Roman"/>
          <w:sz w:val="18"/>
          <w:szCs w:val="18"/>
        </w:rPr>
        <w:t xml:space="preserve"> – pracovná skupina Európskej komisie zaoberajúca sa vplyvom starnutia obyvateľstva na verejné financie v dlhodobom horizonte.</w:t>
      </w:r>
    </w:p>
  </w:footnote>
  <w:footnote w:id="3">
    <w:p w:rsidR="00190540" w:rsidRPr="000141D4" w:rsidRDefault="00190540" w:rsidP="00190540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Keďže cieľom tejto časti je odhadnúť veľkosť implicitných záväzkov spojených so starnutím populácie, vychádza sa z predpokladu vyrovnanej bilancie príjmov a výdavkov vo východiskovom roku. Znamená to, že implicitné záväzky vznikajú len z odchýlok príjmov a výdavkov spojených so starnutím populácie od hodnôt vo východiskovom roku. </w:t>
      </w:r>
    </w:p>
  </w:footnote>
  <w:footnote w:id="4">
    <w:p w:rsidR="00190540" w:rsidRPr="000141D4" w:rsidRDefault="00190540" w:rsidP="00190540">
      <w:pPr>
        <w:pStyle w:val="Textpoznmkypodiarou"/>
        <w:ind w:left="142" w:hanging="142"/>
        <w:jc w:val="both"/>
        <w:rPr>
          <w:rFonts w:ascii="Times New Roman" w:hAnsi="Times New Roman" w:cs="Times New Roman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 Takýto prístup k projekcii príjmov sa používa aj v rámci pracovnej skupiny AWG.</w:t>
      </w:r>
    </w:p>
  </w:footnote>
  <w:footnote w:id="5">
    <w:p w:rsidR="00190540" w:rsidRPr="000141D4" w:rsidRDefault="00190540" w:rsidP="00190540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Pri zmenách primárneho salda dochádza aj k zmenám v úrokových nákladoch</w:t>
      </w:r>
      <w:r w:rsidR="004C0CE8">
        <w:rPr>
          <w:rFonts w:ascii="Times New Roman" w:hAnsi="Times New Roman" w:cs="Times New Roman"/>
          <w:sz w:val="18"/>
          <w:szCs w:val="18"/>
        </w:rPr>
        <w:t>,</w:t>
      </w:r>
      <w:r w:rsidRPr="000141D4">
        <w:rPr>
          <w:rFonts w:ascii="Times New Roman" w:hAnsi="Times New Roman" w:cs="Times New Roman"/>
          <w:sz w:val="18"/>
          <w:szCs w:val="18"/>
        </w:rPr>
        <w:t xml:space="preserve"> resp. úrokových príjmoch (pokiaľ sa nekumuluje dlh, ale aktíva) verejnej správy. Ak vláda uskutoční opatrenia zlepšujúce primárne saldo, automaticky to povedie aj k poklesu úrokových nákladov</w:t>
      </w:r>
      <w:r w:rsidR="004C0CE8">
        <w:rPr>
          <w:rFonts w:ascii="Times New Roman" w:hAnsi="Times New Roman" w:cs="Times New Roman"/>
          <w:sz w:val="18"/>
          <w:szCs w:val="18"/>
        </w:rPr>
        <w:t>,</w:t>
      </w:r>
      <w:r w:rsidRPr="000141D4">
        <w:rPr>
          <w:rFonts w:ascii="Times New Roman" w:hAnsi="Times New Roman" w:cs="Times New Roman"/>
          <w:sz w:val="18"/>
          <w:szCs w:val="18"/>
        </w:rPr>
        <w:t xml:space="preserve"> resp. nárastu úrokových príjmov. </w:t>
      </w:r>
    </w:p>
  </w:footnote>
  <w:footnote w:id="6">
    <w:p w:rsidR="00190540" w:rsidRPr="000141D4" w:rsidRDefault="00190540" w:rsidP="00190540">
      <w:pPr>
        <w:pStyle w:val="Textpoznmkypodiarou"/>
        <w:ind w:left="113" w:hanging="113"/>
        <w:rPr>
          <w:rStyle w:val="Hypertextovprepojenie"/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t xml:space="preserve"> </w:t>
      </w:r>
      <w:r w:rsidRPr="000141D4">
        <w:rPr>
          <w:rFonts w:ascii="Times New Roman" w:hAnsi="Times New Roman" w:cs="Times New Roman"/>
          <w:sz w:val="18"/>
          <w:szCs w:val="18"/>
        </w:rPr>
        <w:t>Výbor pre daňové prognózy – September 2016</w:t>
      </w:r>
      <w:r w:rsidR="007E3B33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190540" w:rsidRPr="000141D4" w:rsidRDefault="00190540" w:rsidP="00190540">
      <w:pPr>
        <w:pStyle w:val="Textpoznmkypodiarou"/>
        <w:ind w:left="113" w:hanging="113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Výpočet zahŕňa odhad celkovej výšky záväzkov z daného projektu. Nezohľadňuje sa v ňom skutočnosť, že týmto projektom sa zároveň zvýšili aktíva štátu (rýchlostná cesta), t.</w:t>
      </w:r>
      <w:r w:rsidR="007E3B33">
        <w:rPr>
          <w:rFonts w:ascii="Times New Roman" w:hAnsi="Times New Roman" w:cs="Times New Roman"/>
          <w:sz w:val="18"/>
          <w:szCs w:val="18"/>
        </w:rPr>
        <w:t xml:space="preserve"> </w:t>
      </w:r>
      <w:r w:rsidRPr="000141D4">
        <w:rPr>
          <w:rFonts w:ascii="Times New Roman" w:hAnsi="Times New Roman" w:cs="Times New Roman"/>
          <w:sz w:val="18"/>
          <w:szCs w:val="18"/>
        </w:rPr>
        <w:t xml:space="preserve">j. vplyv na čisté bohatstvo štátu by bol v porovnaní so samotným nárastom záväzkov miernejší. </w:t>
      </w:r>
    </w:p>
  </w:footnote>
  <w:footnote w:id="8">
    <w:p w:rsidR="00190540" w:rsidRPr="000141D4" w:rsidRDefault="00190540" w:rsidP="000141D4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Kvantifikácia vplyvu PPP – </w:t>
      </w:r>
      <w:r w:rsidR="007E3B33">
        <w:rPr>
          <w:rFonts w:ascii="Times New Roman" w:hAnsi="Times New Roman" w:cs="Times New Roman"/>
          <w:sz w:val="18"/>
          <w:szCs w:val="18"/>
        </w:rPr>
        <w:t>o</w:t>
      </w:r>
      <w:r w:rsidRPr="000141D4">
        <w:rPr>
          <w:rFonts w:ascii="Times New Roman" w:hAnsi="Times New Roman" w:cs="Times New Roman"/>
          <w:sz w:val="18"/>
          <w:szCs w:val="18"/>
        </w:rPr>
        <w:t>bchvat Bratislavy vychádza z údajov použitých v </w:t>
      </w:r>
      <w:hyperlink r:id="rId2" w:history="1">
        <w:r w:rsidRPr="000141D4">
          <w:rPr>
            <w:rStyle w:val="Hypertextovprepojenie"/>
            <w:rFonts w:ascii="Times New Roman" w:hAnsi="Times New Roman" w:cs="Times New Roman"/>
            <w:sz w:val="18"/>
            <w:szCs w:val="18"/>
          </w:rPr>
          <w:t>Stanovisku MF SR k projektu výstavby D4/R7</w:t>
        </w:r>
      </w:hyperlink>
      <w:r w:rsidRPr="000141D4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190540" w:rsidRPr="000141D4" w:rsidRDefault="00190540" w:rsidP="00190540">
      <w:pPr>
        <w:pStyle w:val="Textpoznmkypodiarou"/>
        <w:ind w:left="113" w:hanging="113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V čase odovzdania jednotlivých úsekov rýchlostnej cesty v roku 2011 došlo k odvedeniu DPH zo strany investora v sume 174 mil. eur (po zaplatení zo strany štátu), čo sa prejavilo v daňových príjmoch a pozitívne ovplyvnilo saldo verejnej správy v uvedenej sume. Vzhľadom na to, že uvedený projekt je zaznamenaný mimo bilancie verejnej správy, zaplatená DPH zo strany štátu sa rovnomerne zaznamenáva počas celého obdobia trvania koncesie spolu s platbami štátu za dostupnosť, čo každý rok zhorší saldo o takmer 6 mil. eur. Z pohľadu vplyvu na dlh však ide o neutrálnu operáciu.</w:t>
      </w:r>
    </w:p>
  </w:footnote>
  <w:footnote w:id="10">
    <w:p w:rsidR="00190540" w:rsidRPr="000141D4" w:rsidRDefault="00190540" w:rsidP="000141D4">
      <w:pPr>
        <w:pStyle w:val="Textpoznmkypodi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Pr="000141D4">
          <w:rPr>
            <w:rStyle w:val="Hypertextovprepojenie"/>
            <w:rFonts w:ascii="Times New Roman" w:hAnsi="Times New Roman" w:cs="Times New Roman"/>
            <w:sz w:val="18"/>
            <w:szCs w:val="18"/>
          </w:rPr>
          <w:t>Aktualizácia stratégie záverečnej časti mierového využívania jadrovej energie v SR</w:t>
        </w:r>
      </w:hyperlink>
      <w:r w:rsidRPr="000141D4">
        <w:rPr>
          <w:rFonts w:ascii="Times New Roman" w:hAnsi="Times New Roman" w:cs="Times New Roman"/>
          <w:sz w:val="18"/>
          <w:szCs w:val="18"/>
        </w:rPr>
        <w:t xml:space="preserve"> schválená </w:t>
      </w:r>
      <w:hyperlink r:id="rId4" w:history="1">
        <w:r w:rsidRPr="000141D4">
          <w:rPr>
            <w:rStyle w:val="Hypertextovprepojenie"/>
            <w:rFonts w:ascii="Times New Roman" w:hAnsi="Times New Roman" w:cs="Times New Roman"/>
            <w:sz w:val="18"/>
            <w:szCs w:val="18"/>
          </w:rPr>
          <w:t>uznesením vlády č. 87/2015 z 8. júla 2015</w:t>
        </w:r>
      </w:hyperlink>
      <w:r w:rsidRPr="000141D4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190540" w:rsidRPr="000141D4" w:rsidRDefault="00190540" w:rsidP="00190540">
      <w:pPr>
        <w:pStyle w:val="Textpoznmkypodiarou"/>
        <w:ind w:left="170" w:hanging="170"/>
        <w:rPr>
          <w:rFonts w:ascii="Times New Roman" w:hAnsi="Times New Roman" w:cs="Times New Roman"/>
          <w:sz w:val="18"/>
          <w:szCs w:val="18"/>
        </w:rPr>
      </w:pPr>
      <w:r w:rsidRPr="000141D4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141D4">
        <w:rPr>
          <w:rFonts w:ascii="Times New Roman" w:hAnsi="Times New Roman" w:cs="Times New Roman"/>
          <w:sz w:val="18"/>
          <w:szCs w:val="18"/>
        </w:rPr>
        <w:t xml:space="preserve"> </w:t>
      </w:r>
      <w:r w:rsidR="00FD5E39">
        <w:rPr>
          <w:rFonts w:ascii="Times New Roman" w:hAnsi="Times New Roman" w:cs="Times New Roman"/>
          <w:sz w:val="18"/>
          <w:szCs w:val="18"/>
        </w:rPr>
        <w:t>MF SR</w:t>
      </w:r>
      <w:r w:rsidRPr="000141D4">
        <w:rPr>
          <w:rFonts w:ascii="Times New Roman" w:hAnsi="Times New Roman" w:cs="Times New Roman"/>
          <w:sz w:val="18"/>
          <w:szCs w:val="18"/>
        </w:rPr>
        <w:t xml:space="preserve"> modifikuje model o aktuálnu prognózu makroekonomického vývoja.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AE2"/>
    <w:multiLevelType w:val="hybridMultilevel"/>
    <w:tmpl w:val="FC7E1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E0C"/>
    <w:multiLevelType w:val="hybridMultilevel"/>
    <w:tmpl w:val="AE822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3C5"/>
    <w:multiLevelType w:val="hybridMultilevel"/>
    <w:tmpl w:val="D37CF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E23"/>
    <w:multiLevelType w:val="hybridMultilevel"/>
    <w:tmpl w:val="0ADAA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5B7D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C2"/>
    <w:multiLevelType w:val="hybridMultilevel"/>
    <w:tmpl w:val="6882DE1A"/>
    <w:lvl w:ilvl="0" w:tplc="04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586C74A6"/>
    <w:multiLevelType w:val="hybridMultilevel"/>
    <w:tmpl w:val="708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B2223"/>
    <w:multiLevelType w:val="hybridMultilevel"/>
    <w:tmpl w:val="ED486BFE"/>
    <w:lvl w:ilvl="0" w:tplc="7D6055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219E0"/>
    <w:multiLevelType w:val="hybridMultilevel"/>
    <w:tmpl w:val="6D7CC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4236F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20E14"/>
    <w:multiLevelType w:val="hybridMultilevel"/>
    <w:tmpl w:val="FB4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14D11"/>
    <w:multiLevelType w:val="hybridMultilevel"/>
    <w:tmpl w:val="9822E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A"/>
    <w:rsid w:val="00002AC2"/>
    <w:rsid w:val="000049C3"/>
    <w:rsid w:val="00005AE7"/>
    <w:rsid w:val="00007A86"/>
    <w:rsid w:val="00007FB3"/>
    <w:rsid w:val="00012A9F"/>
    <w:rsid w:val="000141D4"/>
    <w:rsid w:val="00015EA0"/>
    <w:rsid w:val="000241D8"/>
    <w:rsid w:val="00024F64"/>
    <w:rsid w:val="00026841"/>
    <w:rsid w:val="00027137"/>
    <w:rsid w:val="00035500"/>
    <w:rsid w:val="00042615"/>
    <w:rsid w:val="00042B41"/>
    <w:rsid w:val="00050159"/>
    <w:rsid w:val="0005513F"/>
    <w:rsid w:val="00055AE7"/>
    <w:rsid w:val="000613B8"/>
    <w:rsid w:val="00064C0D"/>
    <w:rsid w:val="00073117"/>
    <w:rsid w:val="000779D6"/>
    <w:rsid w:val="0008369B"/>
    <w:rsid w:val="00085646"/>
    <w:rsid w:val="00090047"/>
    <w:rsid w:val="000945C7"/>
    <w:rsid w:val="000A1148"/>
    <w:rsid w:val="000A5BD0"/>
    <w:rsid w:val="000D08F6"/>
    <w:rsid w:val="000D0FCD"/>
    <w:rsid w:val="000D6D87"/>
    <w:rsid w:val="000E21DF"/>
    <w:rsid w:val="000E3E92"/>
    <w:rsid w:val="000E511F"/>
    <w:rsid w:val="000E7EEF"/>
    <w:rsid w:val="000F00ED"/>
    <w:rsid w:val="000F2F51"/>
    <w:rsid w:val="000F4D73"/>
    <w:rsid w:val="000F6D6A"/>
    <w:rsid w:val="001051E1"/>
    <w:rsid w:val="001127C2"/>
    <w:rsid w:val="00127CA4"/>
    <w:rsid w:val="001316AC"/>
    <w:rsid w:val="00134024"/>
    <w:rsid w:val="001366B1"/>
    <w:rsid w:val="0013749E"/>
    <w:rsid w:val="00137DEF"/>
    <w:rsid w:val="0015041D"/>
    <w:rsid w:val="0015119F"/>
    <w:rsid w:val="00167410"/>
    <w:rsid w:val="001675D0"/>
    <w:rsid w:val="0017284D"/>
    <w:rsid w:val="001753EE"/>
    <w:rsid w:val="00177AA2"/>
    <w:rsid w:val="00182E17"/>
    <w:rsid w:val="001856ED"/>
    <w:rsid w:val="00190540"/>
    <w:rsid w:val="00190C6F"/>
    <w:rsid w:val="001941E5"/>
    <w:rsid w:val="0019700D"/>
    <w:rsid w:val="001A6B9A"/>
    <w:rsid w:val="001B57C8"/>
    <w:rsid w:val="001B68A6"/>
    <w:rsid w:val="001C210F"/>
    <w:rsid w:val="001C40A3"/>
    <w:rsid w:val="001D3BAF"/>
    <w:rsid w:val="001D661E"/>
    <w:rsid w:val="001E31ED"/>
    <w:rsid w:val="001E3819"/>
    <w:rsid w:val="001E6853"/>
    <w:rsid w:val="001F7F6E"/>
    <w:rsid w:val="002045D4"/>
    <w:rsid w:val="00204B3E"/>
    <w:rsid w:val="002056A0"/>
    <w:rsid w:val="00210ABF"/>
    <w:rsid w:val="00226CB4"/>
    <w:rsid w:val="00227631"/>
    <w:rsid w:val="00232024"/>
    <w:rsid w:val="00237F5B"/>
    <w:rsid w:val="0024014F"/>
    <w:rsid w:val="00247489"/>
    <w:rsid w:val="00251360"/>
    <w:rsid w:val="00253119"/>
    <w:rsid w:val="002558D3"/>
    <w:rsid w:val="00256A85"/>
    <w:rsid w:val="002630F2"/>
    <w:rsid w:val="002A48DC"/>
    <w:rsid w:val="002A5F25"/>
    <w:rsid w:val="002B3EA6"/>
    <w:rsid w:val="002C008A"/>
    <w:rsid w:val="002C28D8"/>
    <w:rsid w:val="002C37A1"/>
    <w:rsid w:val="002D364B"/>
    <w:rsid w:val="002E3222"/>
    <w:rsid w:val="002F7139"/>
    <w:rsid w:val="00302516"/>
    <w:rsid w:val="00306ACD"/>
    <w:rsid w:val="00310BC7"/>
    <w:rsid w:val="00311DE5"/>
    <w:rsid w:val="00320297"/>
    <w:rsid w:val="00320F75"/>
    <w:rsid w:val="00324CD5"/>
    <w:rsid w:val="003305EA"/>
    <w:rsid w:val="00340D77"/>
    <w:rsid w:val="0034423E"/>
    <w:rsid w:val="00345338"/>
    <w:rsid w:val="00352EF8"/>
    <w:rsid w:val="00353746"/>
    <w:rsid w:val="0036227D"/>
    <w:rsid w:val="00371ABB"/>
    <w:rsid w:val="00373B7C"/>
    <w:rsid w:val="00374999"/>
    <w:rsid w:val="00374AD3"/>
    <w:rsid w:val="00375A0E"/>
    <w:rsid w:val="00384414"/>
    <w:rsid w:val="00390CCE"/>
    <w:rsid w:val="00391B6F"/>
    <w:rsid w:val="003931F1"/>
    <w:rsid w:val="0039762B"/>
    <w:rsid w:val="00397DB2"/>
    <w:rsid w:val="00397E9A"/>
    <w:rsid w:val="003B0544"/>
    <w:rsid w:val="003B5D88"/>
    <w:rsid w:val="003C5779"/>
    <w:rsid w:val="003C67DE"/>
    <w:rsid w:val="003D13AE"/>
    <w:rsid w:val="003D49CE"/>
    <w:rsid w:val="003E2169"/>
    <w:rsid w:val="003E4611"/>
    <w:rsid w:val="003E6DE1"/>
    <w:rsid w:val="0040053A"/>
    <w:rsid w:val="00401A00"/>
    <w:rsid w:val="004137E6"/>
    <w:rsid w:val="00431A4A"/>
    <w:rsid w:val="0043364B"/>
    <w:rsid w:val="004347DE"/>
    <w:rsid w:val="0043648A"/>
    <w:rsid w:val="004378DA"/>
    <w:rsid w:val="0044008E"/>
    <w:rsid w:val="004407C0"/>
    <w:rsid w:val="004535C5"/>
    <w:rsid w:val="00454D37"/>
    <w:rsid w:val="00466506"/>
    <w:rsid w:val="00473012"/>
    <w:rsid w:val="004740EA"/>
    <w:rsid w:val="004775B2"/>
    <w:rsid w:val="00483119"/>
    <w:rsid w:val="00484CB3"/>
    <w:rsid w:val="004978C1"/>
    <w:rsid w:val="004A0617"/>
    <w:rsid w:val="004A1BB4"/>
    <w:rsid w:val="004A3E24"/>
    <w:rsid w:val="004B3310"/>
    <w:rsid w:val="004C0CE8"/>
    <w:rsid w:val="004C1B5F"/>
    <w:rsid w:val="004C4D57"/>
    <w:rsid w:val="004D3347"/>
    <w:rsid w:val="004D4C5F"/>
    <w:rsid w:val="004D5500"/>
    <w:rsid w:val="004D68B4"/>
    <w:rsid w:val="004E503C"/>
    <w:rsid w:val="004F07EA"/>
    <w:rsid w:val="00507C1E"/>
    <w:rsid w:val="005124E5"/>
    <w:rsid w:val="005133B2"/>
    <w:rsid w:val="005211E9"/>
    <w:rsid w:val="00524A9C"/>
    <w:rsid w:val="0053738B"/>
    <w:rsid w:val="0054624F"/>
    <w:rsid w:val="00553882"/>
    <w:rsid w:val="00553DD2"/>
    <w:rsid w:val="00554B6B"/>
    <w:rsid w:val="0055664A"/>
    <w:rsid w:val="00563367"/>
    <w:rsid w:val="00565053"/>
    <w:rsid w:val="00566233"/>
    <w:rsid w:val="00583D06"/>
    <w:rsid w:val="00585524"/>
    <w:rsid w:val="00587395"/>
    <w:rsid w:val="0059018F"/>
    <w:rsid w:val="00595577"/>
    <w:rsid w:val="0059693F"/>
    <w:rsid w:val="005A1619"/>
    <w:rsid w:val="005B6BE1"/>
    <w:rsid w:val="005C70C9"/>
    <w:rsid w:val="005D02DB"/>
    <w:rsid w:val="005D6E9E"/>
    <w:rsid w:val="005E3607"/>
    <w:rsid w:val="005E6060"/>
    <w:rsid w:val="005F26F8"/>
    <w:rsid w:val="005F3E30"/>
    <w:rsid w:val="005F4E39"/>
    <w:rsid w:val="00601CA4"/>
    <w:rsid w:val="006055A8"/>
    <w:rsid w:val="00614818"/>
    <w:rsid w:val="00614F59"/>
    <w:rsid w:val="00617AF0"/>
    <w:rsid w:val="006219F1"/>
    <w:rsid w:val="00622B79"/>
    <w:rsid w:val="006241FE"/>
    <w:rsid w:val="00627A2A"/>
    <w:rsid w:val="006303A3"/>
    <w:rsid w:val="006314B7"/>
    <w:rsid w:val="006325AE"/>
    <w:rsid w:val="006336CF"/>
    <w:rsid w:val="00650B74"/>
    <w:rsid w:val="0065412E"/>
    <w:rsid w:val="00666951"/>
    <w:rsid w:val="0067762B"/>
    <w:rsid w:val="00693D75"/>
    <w:rsid w:val="00696199"/>
    <w:rsid w:val="00696808"/>
    <w:rsid w:val="00696D79"/>
    <w:rsid w:val="006A1E54"/>
    <w:rsid w:val="006A4E24"/>
    <w:rsid w:val="006B63E7"/>
    <w:rsid w:val="006C226B"/>
    <w:rsid w:val="006C663A"/>
    <w:rsid w:val="006D7642"/>
    <w:rsid w:val="006D7CB3"/>
    <w:rsid w:val="006E6950"/>
    <w:rsid w:val="006F0A12"/>
    <w:rsid w:val="006F385E"/>
    <w:rsid w:val="006F7E4E"/>
    <w:rsid w:val="007110B3"/>
    <w:rsid w:val="00716865"/>
    <w:rsid w:val="00717E81"/>
    <w:rsid w:val="00722962"/>
    <w:rsid w:val="007243F8"/>
    <w:rsid w:val="00726358"/>
    <w:rsid w:val="007279E6"/>
    <w:rsid w:val="0073745A"/>
    <w:rsid w:val="00746170"/>
    <w:rsid w:val="007715F1"/>
    <w:rsid w:val="00772EE8"/>
    <w:rsid w:val="00777453"/>
    <w:rsid w:val="00792B8A"/>
    <w:rsid w:val="007935DE"/>
    <w:rsid w:val="007A2BD6"/>
    <w:rsid w:val="007A3598"/>
    <w:rsid w:val="007A43D0"/>
    <w:rsid w:val="007B46E1"/>
    <w:rsid w:val="007B4901"/>
    <w:rsid w:val="007B70A2"/>
    <w:rsid w:val="007C1220"/>
    <w:rsid w:val="007E3B33"/>
    <w:rsid w:val="007F211C"/>
    <w:rsid w:val="007F4A3D"/>
    <w:rsid w:val="007F6022"/>
    <w:rsid w:val="007F7635"/>
    <w:rsid w:val="0080034D"/>
    <w:rsid w:val="008029B6"/>
    <w:rsid w:val="008141F5"/>
    <w:rsid w:val="00824A54"/>
    <w:rsid w:val="0082642E"/>
    <w:rsid w:val="008279EC"/>
    <w:rsid w:val="0083649B"/>
    <w:rsid w:val="00842968"/>
    <w:rsid w:val="00852376"/>
    <w:rsid w:val="00856BD7"/>
    <w:rsid w:val="00867C88"/>
    <w:rsid w:val="00871F29"/>
    <w:rsid w:val="008757C1"/>
    <w:rsid w:val="00875835"/>
    <w:rsid w:val="0088390C"/>
    <w:rsid w:val="008850D1"/>
    <w:rsid w:val="0089092A"/>
    <w:rsid w:val="00894E41"/>
    <w:rsid w:val="008963F0"/>
    <w:rsid w:val="008A3805"/>
    <w:rsid w:val="008A5094"/>
    <w:rsid w:val="008C10D5"/>
    <w:rsid w:val="008C658A"/>
    <w:rsid w:val="008C738B"/>
    <w:rsid w:val="008D2D7D"/>
    <w:rsid w:val="008D4A49"/>
    <w:rsid w:val="008E09B7"/>
    <w:rsid w:val="008E0B32"/>
    <w:rsid w:val="008E19DA"/>
    <w:rsid w:val="008E27BC"/>
    <w:rsid w:val="008E3678"/>
    <w:rsid w:val="008E4952"/>
    <w:rsid w:val="008F0982"/>
    <w:rsid w:val="008F7C3A"/>
    <w:rsid w:val="0090062F"/>
    <w:rsid w:val="00902B2B"/>
    <w:rsid w:val="009106B1"/>
    <w:rsid w:val="009117E0"/>
    <w:rsid w:val="00924645"/>
    <w:rsid w:val="0092626C"/>
    <w:rsid w:val="00926ED7"/>
    <w:rsid w:val="00934778"/>
    <w:rsid w:val="00934E5F"/>
    <w:rsid w:val="00945941"/>
    <w:rsid w:val="0094656C"/>
    <w:rsid w:val="009530C6"/>
    <w:rsid w:val="009605C5"/>
    <w:rsid w:val="00963595"/>
    <w:rsid w:val="00965759"/>
    <w:rsid w:val="00970BD1"/>
    <w:rsid w:val="00983223"/>
    <w:rsid w:val="0098784B"/>
    <w:rsid w:val="009B1E2F"/>
    <w:rsid w:val="009C0A3A"/>
    <w:rsid w:val="009C1243"/>
    <w:rsid w:val="009E5F9D"/>
    <w:rsid w:val="009E6EB2"/>
    <w:rsid w:val="009F6DBF"/>
    <w:rsid w:val="009F6EE1"/>
    <w:rsid w:val="00A01FC8"/>
    <w:rsid w:val="00A02F78"/>
    <w:rsid w:val="00A228FA"/>
    <w:rsid w:val="00A24D1C"/>
    <w:rsid w:val="00A32DA1"/>
    <w:rsid w:val="00A3507B"/>
    <w:rsid w:val="00A50ECB"/>
    <w:rsid w:val="00A52219"/>
    <w:rsid w:val="00A53342"/>
    <w:rsid w:val="00A54BAE"/>
    <w:rsid w:val="00A6498C"/>
    <w:rsid w:val="00A8025E"/>
    <w:rsid w:val="00A80D1A"/>
    <w:rsid w:val="00A83BDC"/>
    <w:rsid w:val="00A83FA0"/>
    <w:rsid w:val="00A84A65"/>
    <w:rsid w:val="00A86AC0"/>
    <w:rsid w:val="00A92872"/>
    <w:rsid w:val="00A9489D"/>
    <w:rsid w:val="00A96113"/>
    <w:rsid w:val="00AA01F1"/>
    <w:rsid w:val="00AA03DB"/>
    <w:rsid w:val="00AA06CE"/>
    <w:rsid w:val="00AA6F75"/>
    <w:rsid w:val="00AA758F"/>
    <w:rsid w:val="00AB157F"/>
    <w:rsid w:val="00AC19E7"/>
    <w:rsid w:val="00AC3F9A"/>
    <w:rsid w:val="00AD2A50"/>
    <w:rsid w:val="00AD5687"/>
    <w:rsid w:val="00AD5D10"/>
    <w:rsid w:val="00AD6879"/>
    <w:rsid w:val="00AE45FC"/>
    <w:rsid w:val="00AE5547"/>
    <w:rsid w:val="00AE6760"/>
    <w:rsid w:val="00AF3A4A"/>
    <w:rsid w:val="00AF7D84"/>
    <w:rsid w:val="00B07057"/>
    <w:rsid w:val="00B30F3C"/>
    <w:rsid w:val="00B31F15"/>
    <w:rsid w:val="00B332E8"/>
    <w:rsid w:val="00B37C85"/>
    <w:rsid w:val="00B6300A"/>
    <w:rsid w:val="00B634FE"/>
    <w:rsid w:val="00B669F1"/>
    <w:rsid w:val="00B76325"/>
    <w:rsid w:val="00B839B2"/>
    <w:rsid w:val="00B927A3"/>
    <w:rsid w:val="00BA123E"/>
    <w:rsid w:val="00BA39E3"/>
    <w:rsid w:val="00BA7ED3"/>
    <w:rsid w:val="00BB23E9"/>
    <w:rsid w:val="00BB4385"/>
    <w:rsid w:val="00BB6823"/>
    <w:rsid w:val="00BC2413"/>
    <w:rsid w:val="00BC3950"/>
    <w:rsid w:val="00BC4ACC"/>
    <w:rsid w:val="00BC7E80"/>
    <w:rsid w:val="00BD13E5"/>
    <w:rsid w:val="00BD64C5"/>
    <w:rsid w:val="00BD67B0"/>
    <w:rsid w:val="00BE4E2F"/>
    <w:rsid w:val="00BF1AD2"/>
    <w:rsid w:val="00BF7256"/>
    <w:rsid w:val="00C006E9"/>
    <w:rsid w:val="00C11EB3"/>
    <w:rsid w:val="00C1232F"/>
    <w:rsid w:val="00C21229"/>
    <w:rsid w:val="00C22539"/>
    <w:rsid w:val="00C27AC8"/>
    <w:rsid w:val="00C305E8"/>
    <w:rsid w:val="00C3437D"/>
    <w:rsid w:val="00C40D05"/>
    <w:rsid w:val="00C5011D"/>
    <w:rsid w:val="00C53E0E"/>
    <w:rsid w:val="00C56F46"/>
    <w:rsid w:val="00C5744E"/>
    <w:rsid w:val="00C74F67"/>
    <w:rsid w:val="00C956FA"/>
    <w:rsid w:val="00CA5766"/>
    <w:rsid w:val="00CB12EE"/>
    <w:rsid w:val="00CC0F85"/>
    <w:rsid w:val="00CC1448"/>
    <w:rsid w:val="00CC2A7F"/>
    <w:rsid w:val="00CC404D"/>
    <w:rsid w:val="00CD07AE"/>
    <w:rsid w:val="00CE6764"/>
    <w:rsid w:val="00CE6886"/>
    <w:rsid w:val="00D031ED"/>
    <w:rsid w:val="00D033FF"/>
    <w:rsid w:val="00D064A5"/>
    <w:rsid w:val="00D11B80"/>
    <w:rsid w:val="00D15D86"/>
    <w:rsid w:val="00D1718A"/>
    <w:rsid w:val="00D22ABF"/>
    <w:rsid w:val="00D32B11"/>
    <w:rsid w:val="00D3362A"/>
    <w:rsid w:val="00D5493B"/>
    <w:rsid w:val="00D665B4"/>
    <w:rsid w:val="00D708FE"/>
    <w:rsid w:val="00D73235"/>
    <w:rsid w:val="00D80E5F"/>
    <w:rsid w:val="00D90E07"/>
    <w:rsid w:val="00D96842"/>
    <w:rsid w:val="00DA3424"/>
    <w:rsid w:val="00DB4505"/>
    <w:rsid w:val="00DB6BE4"/>
    <w:rsid w:val="00DC0573"/>
    <w:rsid w:val="00DC7715"/>
    <w:rsid w:val="00DE07B0"/>
    <w:rsid w:val="00DE0D2A"/>
    <w:rsid w:val="00DE4FCB"/>
    <w:rsid w:val="00E040D9"/>
    <w:rsid w:val="00E04798"/>
    <w:rsid w:val="00E137E9"/>
    <w:rsid w:val="00E156E0"/>
    <w:rsid w:val="00E26D2B"/>
    <w:rsid w:val="00E30C89"/>
    <w:rsid w:val="00E357E4"/>
    <w:rsid w:val="00E412F5"/>
    <w:rsid w:val="00E47C88"/>
    <w:rsid w:val="00E51A0A"/>
    <w:rsid w:val="00E652FE"/>
    <w:rsid w:val="00E83E86"/>
    <w:rsid w:val="00E91C7F"/>
    <w:rsid w:val="00E92121"/>
    <w:rsid w:val="00E93358"/>
    <w:rsid w:val="00EA1856"/>
    <w:rsid w:val="00EA3DF2"/>
    <w:rsid w:val="00EB5146"/>
    <w:rsid w:val="00EC5BB3"/>
    <w:rsid w:val="00EC624E"/>
    <w:rsid w:val="00ED284C"/>
    <w:rsid w:val="00ED7F59"/>
    <w:rsid w:val="00EE51DE"/>
    <w:rsid w:val="00EE5249"/>
    <w:rsid w:val="00EE7BB0"/>
    <w:rsid w:val="00EF2124"/>
    <w:rsid w:val="00F2259A"/>
    <w:rsid w:val="00F22AD3"/>
    <w:rsid w:val="00F22D04"/>
    <w:rsid w:val="00F23CD4"/>
    <w:rsid w:val="00F2433E"/>
    <w:rsid w:val="00F25CA4"/>
    <w:rsid w:val="00F26535"/>
    <w:rsid w:val="00F300A0"/>
    <w:rsid w:val="00F308DA"/>
    <w:rsid w:val="00F33803"/>
    <w:rsid w:val="00F34603"/>
    <w:rsid w:val="00F4255F"/>
    <w:rsid w:val="00F50A82"/>
    <w:rsid w:val="00F523A0"/>
    <w:rsid w:val="00F53084"/>
    <w:rsid w:val="00F6396A"/>
    <w:rsid w:val="00F66C9E"/>
    <w:rsid w:val="00F73BE1"/>
    <w:rsid w:val="00F85467"/>
    <w:rsid w:val="00F86104"/>
    <w:rsid w:val="00F90C0A"/>
    <w:rsid w:val="00F930D6"/>
    <w:rsid w:val="00F979FA"/>
    <w:rsid w:val="00FA25AD"/>
    <w:rsid w:val="00FA4B21"/>
    <w:rsid w:val="00FB06CB"/>
    <w:rsid w:val="00FB08C9"/>
    <w:rsid w:val="00FB10C5"/>
    <w:rsid w:val="00FB1DC7"/>
    <w:rsid w:val="00FB2A5D"/>
    <w:rsid w:val="00FB4E47"/>
    <w:rsid w:val="00FB544B"/>
    <w:rsid w:val="00FB6FEE"/>
    <w:rsid w:val="00FC2153"/>
    <w:rsid w:val="00FD16C3"/>
    <w:rsid w:val="00FD5E39"/>
    <w:rsid w:val="00FE4684"/>
    <w:rsid w:val="00FF02CB"/>
    <w:rsid w:val="00FF1AB3"/>
    <w:rsid w:val="00FF3A31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D8DDD-9A06-4B4E-815D-068A399E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950"/>
  </w:style>
  <w:style w:type="paragraph" w:styleId="Nadpis1">
    <w:name w:val="heading 1"/>
    <w:basedOn w:val="Normlny"/>
    <w:next w:val="Normlny"/>
    <w:link w:val="Nadpis1Char"/>
    <w:uiPriority w:val="9"/>
    <w:qFormat/>
    <w:rsid w:val="004C4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24 Char Char,Char24 Char Char Char"/>
    <w:basedOn w:val="Nadpis1"/>
    <w:next w:val="Normlny"/>
    <w:link w:val="Nadpis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Nadpis3">
    <w:name w:val="heading 3"/>
    <w:aliases w:val="Tab"/>
    <w:basedOn w:val="Normlny"/>
    <w:next w:val="Normlny"/>
    <w:link w:val="Nadpis3Char"/>
    <w:uiPriority w:val="99"/>
    <w:qFormat/>
    <w:rsid w:val="004C4D57"/>
    <w:pPr>
      <w:keepNext/>
      <w:spacing w:after="0" w:line="240" w:lineRule="auto"/>
      <w:outlineLvl w:val="2"/>
    </w:pPr>
    <w:rPr>
      <w:rFonts w:eastAsia="Times New Roman" w:cs="Arial"/>
      <w:b/>
      <w:bCs/>
      <w:sz w:val="20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Char24 Char Char Char1,Char24 Char Char Char Char"/>
    <w:basedOn w:val="Predvolenpsmoodseku"/>
    <w:link w:val="Nadpis2"/>
    <w:uiPriority w:val="99"/>
    <w:rsid w:val="004C4D57"/>
    <w:rPr>
      <w:rFonts w:eastAsia="Times New Roman" w:cs="Book Antiqua"/>
      <w:sz w:val="24"/>
      <w:szCs w:val="22"/>
      <w:lang w:eastAsia="sk-SK"/>
    </w:rPr>
  </w:style>
  <w:style w:type="character" w:customStyle="1" w:styleId="Nadpis3Char">
    <w:name w:val="Nadpis 3 Char"/>
    <w:aliases w:val="Tab Char"/>
    <w:basedOn w:val="Predvolenpsmoodseku"/>
    <w:link w:val="Nadpis3"/>
    <w:uiPriority w:val="99"/>
    <w:rsid w:val="004C4D57"/>
    <w:rPr>
      <w:rFonts w:eastAsia="Times New Roman" w:cs="Arial"/>
      <w:b/>
      <w:bCs/>
      <w:sz w:val="20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C4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3A31"/>
    <w:pPr>
      <w:spacing w:after="0" w:line="240" w:lineRule="auto"/>
      <w:ind w:left="720"/>
      <w:contextualSpacing/>
    </w:pPr>
    <w:rPr>
      <w:rFonts w:eastAsia="Times New Roman" w:cs="Book Antiqua"/>
      <w:szCs w:val="2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25AD"/>
  </w:style>
  <w:style w:type="paragraph" w:styleId="Pta">
    <w:name w:val="footer"/>
    <w:basedOn w:val="Normlny"/>
    <w:link w:val="Pt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25A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461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461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4617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AC3F9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0A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BF"/>
    <w:rPr>
      <w:b/>
      <w:bCs/>
      <w:sz w:val="20"/>
      <w:szCs w:val="20"/>
    </w:rPr>
  </w:style>
  <w:style w:type="paragraph" w:customStyle="1" w:styleId="Default">
    <w:name w:val="Default"/>
    <w:rsid w:val="00E04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A3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14F5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7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kovania.sk/Rokovanie.aspx/BodRokovaniaDetail?idMaterial=24798" TargetMode="External"/><Relationship Id="rId2" Type="http://schemas.openxmlformats.org/officeDocument/2006/relationships/hyperlink" Target="http://www.finance.gov.sk/Default.aspx?CatID=10621" TargetMode="External"/><Relationship Id="rId1" Type="http://schemas.openxmlformats.org/officeDocument/2006/relationships/hyperlink" Target="http://mfsr.sk/Components/CategoryDocuments/s_LoadDocument.aspx?categoryId=9696&amp;documentId=11954" TargetMode="External"/><Relationship Id="rId4" Type="http://schemas.openxmlformats.org/officeDocument/2006/relationships/hyperlink" Target="http://www.rokovania.sk/File.aspx/ViewDocumentHtml/Uznesenie-14985?prefixFile=u_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0586-F5E4-428B-8557-DE3A2FC1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financií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Michlo Martin</dc:creator>
  <cp:lastModifiedBy>Michlo Martin</cp:lastModifiedBy>
  <cp:revision>9</cp:revision>
  <cp:lastPrinted>2014-08-07T13:54:00Z</cp:lastPrinted>
  <dcterms:created xsi:type="dcterms:W3CDTF">2016-09-27T15:57:00Z</dcterms:created>
  <dcterms:modified xsi:type="dcterms:W3CDTF">2016-10-03T07:28:00Z</dcterms:modified>
</cp:coreProperties>
</file>