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81D" w:rsidRPr="009B77EC" w:rsidRDefault="00C8581D" w:rsidP="00C8581D">
      <w:pPr>
        <w:spacing w:line="300" w:lineRule="auto"/>
        <w:jc w:val="center"/>
        <w:rPr>
          <w:b/>
          <w:bCs/>
          <w:sz w:val="56"/>
          <w:szCs w:val="56"/>
        </w:rPr>
      </w:pPr>
    </w:p>
    <w:p w:rsidR="00C8581D" w:rsidRPr="009B77EC" w:rsidRDefault="00C8581D" w:rsidP="00C8581D">
      <w:pPr>
        <w:spacing w:line="300" w:lineRule="auto"/>
        <w:jc w:val="center"/>
        <w:rPr>
          <w:b/>
          <w:bCs/>
          <w:sz w:val="56"/>
          <w:szCs w:val="56"/>
        </w:rPr>
      </w:pPr>
    </w:p>
    <w:p w:rsidR="00C8581D" w:rsidRPr="009B77EC" w:rsidRDefault="00C8581D" w:rsidP="00C8581D">
      <w:pPr>
        <w:spacing w:line="300" w:lineRule="auto"/>
        <w:jc w:val="center"/>
        <w:rPr>
          <w:b/>
          <w:bCs/>
          <w:sz w:val="56"/>
          <w:szCs w:val="56"/>
        </w:rPr>
      </w:pPr>
    </w:p>
    <w:p w:rsidR="00C8581D" w:rsidRPr="009B77EC" w:rsidRDefault="00C8581D" w:rsidP="00C8581D">
      <w:pPr>
        <w:spacing w:line="300" w:lineRule="auto"/>
        <w:jc w:val="center"/>
        <w:rPr>
          <w:b/>
          <w:bCs/>
          <w:sz w:val="56"/>
          <w:szCs w:val="56"/>
        </w:rPr>
      </w:pPr>
    </w:p>
    <w:p w:rsidR="00AA74A3" w:rsidRDefault="00AA74A3" w:rsidP="00AA74A3">
      <w:pPr>
        <w:pStyle w:val="Normlnywebov"/>
        <w:spacing w:before="0" w:beforeAutospacing="0" w:after="0" w:afterAutospacing="0"/>
        <w:jc w:val="center"/>
        <w:rPr>
          <w:b/>
          <w:bCs/>
          <w:sz w:val="44"/>
          <w:szCs w:val="44"/>
        </w:rPr>
      </w:pPr>
      <w:r>
        <w:rPr>
          <w:b/>
          <w:bCs/>
          <w:sz w:val="44"/>
          <w:szCs w:val="44"/>
        </w:rPr>
        <w:t>Príloha č. 6</w:t>
      </w:r>
    </w:p>
    <w:p w:rsidR="00C8581D" w:rsidRPr="009B77EC" w:rsidRDefault="00C8581D" w:rsidP="00C8581D">
      <w:pPr>
        <w:spacing w:line="300" w:lineRule="auto"/>
        <w:jc w:val="center"/>
        <w:rPr>
          <w:b/>
          <w:bCs/>
          <w:sz w:val="56"/>
          <w:szCs w:val="56"/>
        </w:rPr>
      </w:pPr>
    </w:p>
    <w:p w:rsidR="00C8581D" w:rsidRPr="00AA74A3" w:rsidRDefault="003B16A3" w:rsidP="00C8581D">
      <w:pPr>
        <w:spacing w:line="300" w:lineRule="auto"/>
        <w:jc w:val="center"/>
        <w:rPr>
          <w:b/>
          <w:bCs/>
          <w:sz w:val="44"/>
          <w:szCs w:val="56"/>
        </w:rPr>
      </w:pPr>
      <w:r w:rsidRPr="00AA74A3">
        <w:rPr>
          <w:b/>
          <w:bCs/>
          <w:sz w:val="44"/>
          <w:szCs w:val="56"/>
        </w:rPr>
        <w:t>Aktualizácia stratégie</w:t>
      </w:r>
      <w:r w:rsidR="00BD065B" w:rsidRPr="00AA74A3">
        <w:rPr>
          <w:b/>
          <w:bCs/>
          <w:sz w:val="44"/>
          <w:szCs w:val="56"/>
        </w:rPr>
        <w:t xml:space="preserve"> riadenia štátneho dlhu </w:t>
      </w:r>
      <w:r w:rsidR="00E87617" w:rsidRPr="00AA74A3">
        <w:rPr>
          <w:b/>
          <w:bCs/>
          <w:sz w:val="44"/>
          <w:szCs w:val="56"/>
        </w:rPr>
        <w:br/>
      </w:r>
      <w:r w:rsidR="00BD065B" w:rsidRPr="00AA74A3">
        <w:rPr>
          <w:b/>
          <w:bCs/>
          <w:sz w:val="44"/>
          <w:szCs w:val="56"/>
        </w:rPr>
        <w:t>na roky 20</w:t>
      </w:r>
      <w:r w:rsidR="004E7BBE" w:rsidRPr="00AA74A3">
        <w:rPr>
          <w:b/>
          <w:bCs/>
          <w:sz w:val="44"/>
          <w:szCs w:val="56"/>
        </w:rPr>
        <w:t>1</w:t>
      </w:r>
      <w:r w:rsidR="006059E0" w:rsidRPr="00AA74A3">
        <w:rPr>
          <w:b/>
          <w:bCs/>
          <w:sz w:val="44"/>
          <w:szCs w:val="56"/>
        </w:rPr>
        <w:t>5</w:t>
      </w:r>
      <w:r w:rsidR="00BD065B" w:rsidRPr="00AA74A3">
        <w:rPr>
          <w:b/>
          <w:bCs/>
          <w:sz w:val="44"/>
          <w:szCs w:val="56"/>
        </w:rPr>
        <w:t xml:space="preserve"> až 201</w:t>
      </w:r>
      <w:r w:rsidR="006059E0" w:rsidRPr="00AA74A3">
        <w:rPr>
          <w:b/>
          <w:bCs/>
          <w:sz w:val="44"/>
          <w:szCs w:val="56"/>
        </w:rPr>
        <w:t>8</w:t>
      </w:r>
    </w:p>
    <w:p w:rsidR="00C8581D" w:rsidRPr="009B77EC" w:rsidRDefault="00C8581D" w:rsidP="00C8581D">
      <w:pPr>
        <w:spacing w:line="300" w:lineRule="auto"/>
        <w:jc w:val="center"/>
        <w:rPr>
          <w:b/>
          <w:bCs/>
          <w:sz w:val="56"/>
          <w:szCs w:val="56"/>
        </w:rPr>
      </w:pPr>
    </w:p>
    <w:p w:rsidR="00C8581D" w:rsidRPr="009B77EC" w:rsidRDefault="00C8581D" w:rsidP="00C8581D">
      <w:pPr>
        <w:spacing w:line="300" w:lineRule="auto"/>
        <w:jc w:val="center"/>
        <w:rPr>
          <w:b/>
          <w:bCs/>
          <w:sz w:val="56"/>
          <w:szCs w:val="56"/>
        </w:rPr>
      </w:pPr>
    </w:p>
    <w:p w:rsidR="00C8581D" w:rsidRPr="009B77EC" w:rsidRDefault="00C8581D" w:rsidP="00C8581D">
      <w:pPr>
        <w:spacing w:line="300" w:lineRule="auto"/>
        <w:jc w:val="center"/>
        <w:rPr>
          <w:b/>
          <w:bCs/>
          <w:sz w:val="56"/>
          <w:szCs w:val="56"/>
        </w:rPr>
      </w:pPr>
    </w:p>
    <w:p w:rsidR="00C8581D" w:rsidRPr="009B77EC" w:rsidRDefault="00C8581D" w:rsidP="00C8581D">
      <w:pPr>
        <w:spacing w:line="300" w:lineRule="auto"/>
        <w:jc w:val="center"/>
        <w:rPr>
          <w:b/>
          <w:bCs/>
          <w:sz w:val="56"/>
          <w:szCs w:val="56"/>
        </w:rPr>
      </w:pPr>
    </w:p>
    <w:p w:rsidR="00C8581D" w:rsidRPr="009B77EC" w:rsidRDefault="00C8581D" w:rsidP="00C8581D">
      <w:pPr>
        <w:spacing w:line="300" w:lineRule="auto"/>
        <w:jc w:val="center"/>
        <w:rPr>
          <w:b/>
          <w:bCs/>
          <w:sz w:val="56"/>
          <w:szCs w:val="56"/>
        </w:rPr>
      </w:pPr>
    </w:p>
    <w:p w:rsidR="00C8581D" w:rsidRPr="009B77EC" w:rsidRDefault="00C8581D" w:rsidP="00C8581D">
      <w:pPr>
        <w:spacing w:line="300" w:lineRule="auto"/>
        <w:jc w:val="center"/>
        <w:rPr>
          <w:b/>
          <w:bCs/>
          <w:sz w:val="56"/>
          <w:szCs w:val="56"/>
        </w:rPr>
      </w:pPr>
    </w:p>
    <w:p w:rsidR="00C8581D" w:rsidRPr="009B77EC" w:rsidRDefault="00C8581D" w:rsidP="00C8581D">
      <w:pPr>
        <w:spacing w:line="300" w:lineRule="auto"/>
        <w:jc w:val="center"/>
        <w:rPr>
          <w:b/>
          <w:bCs/>
          <w:sz w:val="56"/>
          <w:szCs w:val="56"/>
        </w:rPr>
      </w:pPr>
    </w:p>
    <w:p w:rsidR="005508AE" w:rsidRPr="009B77EC" w:rsidRDefault="005508AE" w:rsidP="00C8581D">
      <w:pPr>
        <w:spacing w:line="300" w:lineRule="auto"/>
        <w:jc w:val="center"/>
        <w:rPr>
          <w:b/>
          <w:bCs/>
          <w:sz w:val="56"/>
          <w:szCs w:val="56"/>
        </w:rPr>
      </w:pPr>
    </w:p>
    <w:p w:rsidR="005508AE" w:rsidRPr="009B77EC" w:rsidRDefault="005508AE" w:rsidP="00C8581D">
      <w:pPr>
        <w:spacing w:line="300" w:lineRule="auto"/>
        <w:jc w:val="center"/>
        <w:rPr>
          <w:b/>
          <w:bCs/>
          <w:sz w:val="56"/>
          <w:szCs w:val="56"/>
        </w:rPr>
      </w:pPr>
    </w:p>
    <w:p w:rsidR="00C8581D" w:rsidRPr="009B77EC" w:rsidRDefault="00C97DA5" w:rsidP="00C8581D">
      <w:pPr>
        <w:jc w:val="center"/>
        <w:rPr>
          <w:sz w:val="32"/>
          <w:szCs w:val="22"/>
        </w:rPr>
      </w:pPr>
      <w:r w:rsidRPr="009B77EC">
        <w:rPr>
          <w:sz w:val="32"/>
          <w:szCs w:val="22"/>
        </w:rPr>
        <w:t>Október</w:t>
      </w:r>
      <w:r w:rsidR="0004692B" w:rsidRPr="009B77EC">
        <w:rPr>
          <w:sz w:val="32"/>
          <w:szCs w:val="22"/>
        </w:rPr>
        <w:t xml:space="preserve"> 2016</w:t>
      </w:r>
    </w:p>
    <w:p w:rsidR="008A6A01" w:rsidRPr="009B77EC" w:rsidRDefault="008A6A01" w:rsidP="008A6A01">
      <w:pPr>
        <w:pStyle w:val="Textpoznmkypodiarou"/>
      </w:pPr>
      <w:bookmarkStart w:id="0" w:name="_Toc252456193"/>
      <w:bookmarkStart w:id="1" w:name="_Toc252805695"/>
      <w:bookmarkStart w:id="2" w:name="_Toc275948223"/>
      <w:bookmarkStart w:id="3" w:name="_Toc384124252"/>
      <w:bookmarkStart w:id="4" w:name="_Toc394471503"/>
    </w:p>
    <w:p w:rsidR="008A6A01" w:rsidRPr="009B77EC" w:rsidRDefault="008A6A01" w:rsidP="008A6A01">
      <w:pPr>
        <w:pStyle w:val="Textpoznmkypodiarou"/>
      </w:pPr>
    </w:p>
    <w:p w:rsidR="008A0FB7" w:rsidRPr="009B77EC" w:rsidRDefault="00CC3215" w:rsidP="00CC3215">
      <w:pPr>
        <w:pStyle w:val="Textpoznmkypodiarou"/>
      </w:pPr>
      <w:r w:rsidRPr="009B77EC">
        <w:br w:type="page"/>
      </w:r>
      <w:bookmarkEnd w:id="0"/>
      <w:bookmarkEnd w:id="1"/>
      <w:bookmarkEnd w:id="2"/>
      <w:bookmarkEnd w:id="3"/>
      <w:bookmarkEnd w:id="4"/>
    </w:p>
    <w:p w:rsidR="008A0FB7" w:rsidRPr="009B77EC" w:rsidRDefault="008A0FB7" w:rsidP="008A0FB7">
      <w:pPr>
        <w:pStyle w:val="Nadpis2"/>
        <w:spacing w:before="480" w:after="840"/>
        <w:rPr>
          <w:rFonts w:ascii="Times New Roman" w:hAnsi="Times New Roman" w:cs="Times New Roman"/>
          <w:i w:val="0"/>
        </w:rPr>
      </w:pPr>
      <w:bookmarkStart w:id="5" w:name="_Toc463036703"/>
      <w:r w:rsidRPr="009B77EC">
        <w:rPr>
          <w:rFonts w:ascii="Times New Roman" w:hAnsi="Times New Roman" w:cs="Times New Roman"/>
          <w:i w:val="0"/>
        </w:rPr>
        <w:lastRenderedPageBreak/>
        <w:t>Obsah</w:t>
      </w:r>
      <w:bookmarkEnd w:id="5"/>
    </w:p>
    <w:p w:rsidR="00DC1B8A" w:rsidRPr="009B77EC" w:rsidRDefault="008A0FB7">
      <w:pPr>
        <w:pStyle w:val="Obsah2"/>
        <w:rPr>
          <w:rFonts w:eastAsiaTheme="minorEastAsia"/>
          <w:noProof/>
          <w:sz w:val="22"/>
          <w:szCs w:val="22"/>
        </w:rPr>
      </w:pPr>
      <w:r w:rsidRPr="009B77EC">
        <w:rPr>
          <w:b/>
          <w:sz w:val="22"/>
          <w:szCs w:val="22"/>
        </w:rPr>
        <w:fldChar w:fldCharType="begin"/>
      </w:r>
      <w:r w:rsidRPr="009B77EC">
        <w:rPr>
          <w:b/>
          <w:sz w:val="22"/>
          <w:szCs w:val="22"/>
        </w:rPr>
        <w:instrText xml:space="preserve"> TOC \o "1-3" \h \z \u </w:instrText>
      </w:r>
      <w:r w:rsidRPr="009B77EC">
        <w:rPr>
          <w:b/>
          <w:sz w:val="22"/>
          <w:szCs w:val="22"/>
        </w:rPr>
        <w:fldChar w:fldCharType="separate"/>
      </w:r>
      <w:hyperlink w:anchor="_Toc463036703" w:history="1">
        <w:r w:rsidR="00DC1B8A" w:rsidRPr="009B77EC">
          <w:rPr>
            <w:rStyle w:val="Hypertextovprepojenie"/>
            <w:noProof/>
          </w:rPr>
          <w:t>Obsah</w:t>
        </w:r>
        <w:r w:rsidR="00DC1B8A" w:rsidRPr="009B77EC">
          <w:rPr>
            <w:noProof/>
            <w:webHidden/>
          </w:rPr>
          <w:tab/>
        </w:r>
        <w:r w:rsidR="00DC1B8A" w:rsidRPr="009B77EC">
          <w:rPr>
            <w:noProof/>
            <w:webHidden/>
          </w:rPr>
          <w:fldChar w:fldCharType="begin"/>
        </w:r>
        <w:r w:rsidR="00DC1B8A" w:rsidRPr="009B77EC">
          <w:rPr>
            <w:noProof/>
            <w:webHidden/>
          </w:rPr>
          <w:instrText xml:space="preserve"> PAGEREF _Toc463036703 \h </w:instrText>
        </w:r>
        <w:r w:rsidR="00DC1B8A" w:rsidRPr="009B77EC">
          <w:rPr>
            <w:noProof/>
            <w:webHidden/>
          </w:rPr>
        </w:r>
        <w:r w:rsidR="00DC1B8A" w:rsidRPr="009B77EC">
          <w:rPr>
            <w:noProof/>
            <w:webHidden/>
          </w:rPr>
          <w:fldChar w:fldCharType="separate"/>
        </w:r>
        <w:r w:rsidR="00DC1B8A" w:rsidRPr="009B77EC">
          <w:rPr>
            <w:noProof/>
            <w:webHidden/>
          </w:rPr>
          <w:t>1</w:t>
        </w:r>
        <w:r w:rsidR="00DC1B8A" w:rsidRPr="009B77EC">
          <w:rPr>
            <w:noProof/>
            <w:webHidden/>
          </w:rPr>
          <w:fldChar w:fldCharType="end"/>
        </w:r>
      </w:hyperlink>
    </w:p>
    <w:p w:rsidR="00DC1B8A" w:rsidRPr="009B77EC" w:rsidRDefault="00843245">
      <w:pPr>
        <w:pStyle w:val="Obsah1"/>
        <w:rPr>
          <w:rFonts w:eastAsiaTheme="minorEastAsia"/>
          <w:noProof/>
          <w:sz w:val="22"/>
          <w:szCs w:val="22"/>
        </w:rPr>
      </w:pPr>
      <w:hyperlink w:anchor="_Toc463036704" w:history="1">
        <w:r w:rsidR="00DC1B8A" w:rsidRPr="009B77EC">
          <w:rPr>
            <w:rStyle w:val="Hypertextovprepojenie"/>
            <w:noProof/>
          </w:rPr>
          <w:t>1.</w:t>
        </w:r>
        <w:r w:rsidR="00DC1B8A" w:rsidRPr="009B77EC">
          <w:rPr>
            <w:rFonts w:eastAsiaTheme="minorEastAsia"/>
            <w:noProof/>
            <w:sz w:val="22"/>
            <w:szCs w:val="22"/>
          </w:rPr>
          <w:tab/>
        </w:r>
        <w:r w:rsidR="00DC1B8A" w:rsidRPr="009B77EC">
          <w:rPr>
            <w:rStyle w:val="Hypertextovprepojenie"/>
            <w:noProof/>
          </w:rPr>
          <w:t>Makroekonomické východiská a fiškálny výhľad</w:t>
        </w:r>
        <w:r w:rsidR="00DC1B8A" w:rsidRPr="009B77EC">
          <w:rPr>
            <w:noProof/>
            <w:webHidden/>
          </w:rPr>
          <w:tab/>
        </w:r>
        <w:r w:rsidR="00DC1B8A" w:rsidRPr="009B77EC">
          <w:rPr>
            <w:noProof/>
            <w:webHidden/>
          </w:rPr>
          <w:fldChar w:fldCharType="begin"/>
        </w:r>
        <w:r w:rsidR="00DC1B8A" w:rsidRPr="009B77EC">
          <w:rPr>
            <w:noProof/>
            <w:webHidden/>
          </w:rPr>
          <w:instrText xml:space="preserve"> PAGEREF _Toc463036704 \h </w:instrText>
        </w:r>
        <w:r w:rsidR="00DC1B8A" w:rsidRPr="009B77EC">
          <w:rPr>
            <w:noProof/>
            <w:webHidden/>
          </w:rPr>
        </w:r>
        <w:r w:rsidR="00DC1B8A" w:rsidRPr="009B77EC">
          <w:rPr>
            <w:noProof/>
            <w:webHidden/>
          </w:rPr>
          <w:fldChar w:fldCharType="separate"/>
        </w:r>
        <w:r w:rsidR="00DC1B8A" w:rsidRPr="009B77EC">
          <w:rPr>
            <w:noProof/>
            <w:webHidden/>
          </w:rPr>
          <w:t>2</w:t>
        </w:r>
        <w:r w:rsidR="00DC1B8A" w:rsidRPr="009B77EC">
          <w:rPr>
            <w:noProof/>
            <w:webHidden/>
          </w:rPr>
          <w:fldChar w:fldCharType="end"/>
        </w:r>
      </w:hyperlink>
    </w:p>
    <w:p w:rsidR="00DC1B8A" w:rsidRPr="009B77EC" w:rsidRDefault="00843245">
      <w:pPr>
        <w:pStyle w:val="Obsah2"/>
        <w:tabs>
          <w:tab w:val="left" w:pos="660"/>
        </w:tabs>
        <w:rPr>
          <w:rFonts w:eastAsiaTheme="minorEastAsia"/>
          <w:noProof/>
          <w:sz w:val="22"/>
          <w:szCs w:val="22"/>
        </w:rPr>
      </w:pPr>
      <w:hyperlink w:anchor="_Toc463036705" w:history="1">
        <w:r w:rsidR="00DC1B8A" w:rsidRPr="009B77EC">
          <w:rPr>
            <w:rStyle w:val="Hypertextovprepojenie"/>
            <w:noProof/>
          </w:rPr>
          <w:t>1.1.</w:t>
        </w:r>
        <w:r w:rsidR="00DC1B8A" w:rsidRPr="009B77EC">
          <w:rPr>
            <w:rFonts w:eastAsiaTheme="minorEastAsia"/>
            <w:noProof/>
            <w:sz w:val="22"/>
            <w:szCs w:val="22"/>
          </w:rPr>
          <w:tab/>
        </w:r>
        <w:r w:rsidR="00DC1B8A" w:rsidRPr="009B77EC">
          <w:rPr>
            <w:rStyle w:val="Hypertextovprepojenie"/>
            <w:noProof/>
          </w:rPr>
          <w:t>Vývoj na finančných trhoch a makroekonomické východiská</w:t>
        </w:r>
        <w:r w:rsidR="00DC1B8A" w:rsidRPr="009B77EC">
          <w:rPr>
            <w:noProof/>
            <w:webHidden/>
          </w:rPr>
          <w:tab/>
        </w:r>
        <w:r w:rsidR="00DC1B8A" w:rsidRPr="009B77EC">
          <w:rPr>
            <w:noProof/>
            <w:webHidden/>
          </w:rPr>
          <w:fldChar w:fldCharType="begin"/>
        </w:r>
        <w:r w:rsidR="00DC1B8A" w:rsidRPr="009B77EC">
          <w:rPr>
            <w:noProof/>
            <w:webHidden/>
          </w:rPr>
          <w:instrText xml:space="preserve"> PAGEREF _Toc463036705 \h </w:instrText>
        </w:r>
        <w:r w:rsidR="00DC1B8A" w:rsidRPr="009B77EC">
          <w:rPr>
            <w:noProof/>
            <w:webHidden/>
          </w:rPr>
        </w:r>
        <w:r w:rsidR="00DC1B8A" w:rsidRPr="009B77EC">
          <w:rPr>
            <w:noProof/>
            <w:webHidden/>
          </w:rPr>
          <w:fldChar w:fldCharType="separate"/>
        </w:r>
        <w:r w:rsidR="00DC1B8A" w:rsidRPr="009B77EC">
          <w:rPr>
            <w:noProof/>
            <w:webHidden/>
          </w:rPr>
          <w:t>2</w:t>
        </w:r>
        <w:r w:rsidR="00DC1B8A" w:rsidRPr="009B77EC">
          <w:rPr>
            <w:noProof/>
            <w:webHidden/>
          </w:rPr>
          <w:fldChar w:fldCharType="end"/>
        </w:r>
      </w:hyperlink>
    </w:p>
    <w:p w:rsidR="00DC1B8A" w:rsidRPr="009B77EC" w:rsidRDefault="00843245">
      <w:pPr>
        <w:pStyle w:val="Obsah2"/>
        <w:tabs>
          <w:tab w:val="left" w:pos="660"/>
        </w:tabs>
        <w:rPr>
          <w:rFonts w:eastAsiaTheme="minorEastAsia"/>
          <w:noProof/>
          <w:sz w:val="22"/>
          <w:szCs w:val="22"/>
        </w:rPr>
      </w:pPr>
      <w:hyperlink w:anchor="_Toc463036706" w:history="1">
        <w:r w:rsidR="00DC1B8A" w:rsidRPr="009B77EC">
          <w:rPr>
            <w:rStyle w:val="Hypertextovprepojenie"/>
            <w:noProof/>
          </w:rPr>
          <w:t>1.2.</w:t>
        </w:r>
        <w:r w:rsidR="00DC1B8A" w:rsidRPr="009B77EC">
          <w:rPr>
            <w:rFonts w:eastAsiaTheme="minorEastAsia"/>
            <w:noProof/>
            <w:sz w:val="22"/>
            <w:szCs w:val="22"/>
          </w:rPr>
          <w:tab/>
        </w:r>
        <w:r w:rsidR="00DC1B8A" w:rsidRPr="009B77EC">
          <w:rPr>
            <w:rStyle w:val="Hypertextovprepojenie"/>
            <w:noProof/>
          </w:rPr>
          <w:t>Fiškálny výhľad</w:t>
        </w:r>
        <w:r w:rsidR="00DC1B8A" w:rsidRPr="009B77EC">
          <w:rPr>
            <w:noProof/>
            <w:webHidden/>
          </w:rPr>
          <w:tab/>
        </w:r>
        <w:r w:rsidR="00DC1B8A" w:rsidRPr="009B77EC">
          <w:rPr>
            <w:noProof/>
            <w:webHidden/>
          </w:rPr>
          <w:fldChar w:fldCharType="begin"/>
        </w:r>
        <w:r w:rsidR="00DC1B8A" w:rsidRPr="009B77EC">
          <w:rPr>
            <w:noProof/>
            <w:webHidden/>
          </w:rPr>
          <w:instrText xml:space="preserve"> PAGEREF _Toc463036706 \h </w:instrText>
        </w:r>
        <w:r w:rsidR="00DC1B8A" w:rsidRPr="009B77EC">
          <w:rPr>
            <w:noProof/>
            <w:webHidden/>
          </w:rPr>
        </w:r>
        <w:r w:rsidR="00DC1B8A" w:rsidRPr="009B77EC">
          <w:rPr>
            <w:noProof/>
            <w:webHidden/>
          </w:rPr>
          <w:fldChar w:fldCharType="separate"/>
        </w:r>
        <w:r w:rsidR="00DC1B8A" w:rsidRPr="009B77EC">
          <w:rPr>
            <w:noProof/>
            <w:webHidden/>
          </w:rPr>
          <w:t>4</w:t>
        </w:r>
        <w:r w:rsidR="00DC1B8A" w:rsidRPr="009B77EC">
          <w:rPr>
            <w:noProof/>
            <w:webHidden/>
          </w:rPr>
          <w:fldChar w:fldCharType="end"/>
        </w:r>
      </w:hyperlink>
    </w:p>
    <w:p w:rsidR="00DC1B8A" w:rsidRPr="009B77EC" w:rsidRDefault="00843245">
      <w:pPr>
        <w:pStyle w:val="Obsah1"/>
        <w:rPr>
          <w:rFonts w:eastAsiaTheme="minorEastAsia"/>
          <w:noProof/>
          <w:sz w:val="22"/>
          <w:szCs w:val="22"/>
        </w:rPr>
      </w:pPr>
      <w:hyperlink w:anchor="_Toc463036707" w:history="1">
        <w:r w:rsidR="00DC1B8A" w:rsidRPr="009B77EC">
          <w:rPr>
            <w:rStyle w:val="Hypertextovprepojenie"/>
            <w:noProof/>
          </w:rPr>
          <w:t>2.</w:t>
        </w:r>
        <w:r w:rsidR="00DC1B8A" w:rsidRPr="009B77EC">
          <w:rPr>
            <w:rFonts w:eastAsiaTheme="minorEastAsia"/>
            <w:noProof/>
            <w:sz w:val="22"/>
            <w:szCs w:val="22"/>
          </w:rPr>
          <w:tab/>
        </w:r>
        <w:r w:rsidR="00DC1B8A" w:rsidRPr="009B77EC">
          <w:rPr>
            <w:rStyle w:val="Hypertextovprepojenie"/>
            <w:noProof/>
          </w:rPr>
          <w:t>Zhodnotenie plnenia Stratégie riadenia štátneho dlhu ku 30.9. 2016</w:t>
        </w:r>
        <w:r w:rsidR="00DC1B8A" w:rsidRPr="009B77EC">
          <w:rPr>
            <w:noProof/>
            <w:webHidden/>
          </w:rPr>
          <w:tab/>
        </w:r>
        <w:r w:rsidR="00DC1B8A" w:rsidRPr="009B77EC">
          <w:rPr>
            <w:noProof/>
            <w:webHidden/>
          </w:rPr>
          <w:fldChar w:fldCharType="begin"/>
        </w:r>
        <w:r w:rsidR="00DC1B8A" w:rsidRPr="009B77EC">
          <w:rPr>
            <w:noProof/>
            <w:webHidden/>
          </w:rPr>
          <w:instrText xml:space="preserve"> PAGEREF _Toc463036707 \h </w:instrText>
        </w:r>
        <w:r w:rsidR="00DC1B8A" w:rsidRPr="009B77EC">
          <w:rPr>
            <w:noProof/>
            <w:webHidden/>
          </w:rPr>
        </w:r>
        <w:r w:rsidR="00DC1B8A" w:rsidRPr="009B77EC">
          <w:rPr>
            <w:noProof/>
            <w:webHidden/>
          </w:rPr>
          <w:fldChar w:fldCharType="separate"/>
        </w:r>
        <w:r w:rsidR="00DC1B8A" w:rsidRPr="009B77EC">
          <w:rPr>
            <w:noProof/>
            <w:webHidden/>
          </w:rPr>
          <w:t>6</w:t>
        </w:r>
        <w:r w:rsidR="00DC1B8A" w:rsidRPr="009B77EC">
          <w:rPr>
            <w:noProof/>
            <w:webHidden/>
          </w:rPr>
          <w:fldChar w:fldCharType="end"/>
        </w:r>
      </w:hyperlink>
    </w:p>
    <w:p w:rsidR="00DC1B8A" w:rsidRPr="009B77EC" w:rsidRDefault="00843245">
      <w:pPr>
        <w:pStyle w:val="Obsah1"/>
        <w:rPr>
          <w:rFonts w:eastAsiaTheme="minorEastAsia"/>
          <w:noProof/>
          <w:sz w:val="22"/>
          <w:szCs w:val="22"/>
        </w:rPr>
      </w:pPr>
      <w:hyperlink w:anchor="_Toc463036708" w:history="1">
        <w:r w:rsidR="00DC1B8A" w:rsidRPr="009B77EC">
          <w:rPr>
            <w:rStyle w:val="Hypertextovprepojenie"/>
            <w:noProof/>
          </w:rPr>
          <w:t>3.</w:t>
        </w:r>
        <w:r w:rsidR="00DC1B8A" w:rsidRPr="009B77EC">
          <w:rPr>
            <w:rFonts w:eastAsiaTheme="minorEastAsia"/>
            <w:noProof/>
            <w:sz w:val="22"/>
            <w:szCs w:val="22"/>
          </w:rPr>
          <w:tab/>
        </w:r>
        <w:r w:rsidR="00DC1B8A" w:rsidRPr="009B77EC">
          <w:rPr>
            <w:rStyle w:val="Hypertextovprepojenie"/>
            <w:noProof/>
          </w:rPr>
          <w:t>Strategické ciele riadenia štátneho dlhu na roky 2015 až 2018</w:t>
        </w:r>
        <w:r w:rsidR="00DC1B8A" w:rsidRPr="009B77EC">
          <w:rPr>
            <w:noProof/>
            <w:webHidden/>
          </w:rPr>
          <w:tab/>
        </w:r>
        <w:r w:rsidR="00DC1B8A" w:rsidRPr="009B77EC">
          <w:rPr>
            <w:noProof/>
            <w:webHidden/>
          </w:rPr>
          <w:fldChar w:fldCharType="begin"/>
        </w:r>
        <w:r w:rsidR="00DC1B8A" w:rsidRPr="009B77EC">
          <w:rPr>
            <w:noProof/>
            <w:webHidden/>
          </w:rPr>
          <w:instrText xml:space="preserve"> PAGEREF _Toc463036708 \h </w:instrText>
        </w:r>
        <w:r w:rsidR="00DC1B8A" w:rsidRPr="009B77EC">
          <w:rPr>
            <w:noProof/>
            <w:webHidden/>
          </w:rPr>
        </w:r>
        <w:r w:rsidR="00DC1B8A" w:rsidRPr="009B77EC">
          <w:rPr>
            <w:noProof/>
            <w:webHidden/>
          </w:rPr>
          <w:fldChar w:fldCharType="separate"/>
        </w:r>
        <w:r w:rsidR="00DC1B8A" w:rsidRPr="009B77EC">
          <w:rPr>
            <w:noProof/>
            <w:webHidden/>
          </w:rPr>
          <w:t>9</w:t>
        </w:r>
        <w:r w:rsidR="00DC1B8A" w:rsidRPr="009B77EC">
          <w:rPr>
            <w:noProof/>
            <w:webHidden/>
          </w:rPr>
          <w:fldChar w:fldCharType="end"/>
        </w:r>
      </w:hyperlink>
    </w:p>
    <w:p w:rsidR="00DC1B8A" w:rsidRPr="009B77EC" w:rsidRDefault="00843245">
      <w:pPr>
        <w:pStyle w:val="Obsah1"/>
        <w:rPr>
          <w:rFonts w:eastAsiaTheme="minorEastAsia"/>
          <w:noProof/>
          <w:sz w:val="22"/>
          <w:szCs w:val="22"/>
        </w:rPr>
      </w:pPr>
      <w:hyperlink w:anchor="_Toc463036709" w:history="1">
        <w:r w:rsidR="00DC1B8A" w:rsidRPr="009B77EC">
          <w:rPr>
            <w:rStyle w:val="Hypertextovprepojenie"/>
            <w:noProof/>
          </w:rPr>
          <w:t>4.</w:t>
        </w:r>
        <w:r w:rsidR="00DC1B8A" w:rsidRPr="009B77EC">
          <w:rPr>
            <w:rFonts w:eastAsiaTheme="minorEastAsia"/>
            <w:noProof/>
            <w:sz w:val="22"/>
            <w:szCs w:val="22"/>
          </w:rPr>
          <w:tab/>
        </w:r>
        <w:r w:rsidR="00DC1B8A" w:rsidRPr="009B77EC">
          <w:rPr>
            <w:rStyle w:val="Hypertextovprepojenie"/>
            <w:noProof/>
          </w:rPr>
          <w:t>Záver</w:t>
        </w:r>
        <w:r w:rsidR="00DC1B8A" w:rsidRPr="009B77EC">
          <w:rPr>
            <w:noProof/>
            <w:webHidden/>
          </w:rPr>
          <w:tab/>
        </w:r>
        <w:r w:rsidR="00DC1B8A" w:rsidRPr="009B77EC">
          <w:rPr>
            <w:noProof/>
            <w:webHidden/>
          </w:rPr>
          <w:fldChar w:fldCharType="begin"/>
        </w:r>
        <w:r w:rsidR="00DC1B8A" w:rsidRPr="009B77EC">
          <w:rPr>
            <w:noProof/>
            <w:webHidden/>
          </w:rPr>
          <w:instrText xml:space="preserve"> PAGEREF _Toc463036709 \h </w:instrText>
        </w:r>
        <w:r w:rsidR="00DC1B8A" w:rsidRPr="009B77EC">
          <w:rPr>
            <w:noProof/>
            <w:webHidden/>
          </w:rPr>
        </w:r>
        <w:r w:rsidR="00DC1B8A" w:rsidRPr="009B77EC">
          <w:rPr>
            <w:noProof/>
            <w:webHidden/>
          </w:rPr>
          <w:fldChar w:fldCharType="separate"/>
        </w:r>
        <w:r w:rsidR="00DC1B8A" w:rsidRPr="009B77EC">
          <w:rPr>
            <w:noProof/>
            <w:webHidden/>
          </w:rPr>
          <w:t>9</w:t>
        </w:r>
        <w:r w:rsidR="00DC1B8A" w:rsidRPr="009B77EC">
          <w:rPr>
            <w:noProof/>
            <w:webHidden/>
          </w:rPr>
          <w:fldChar w:fldCharType="end"/>
        </w:r>
      </w:hyperlink>
    </w:p>
    <w:p w:rsidR="008A0FB7" w:rsidRPr="009B77EC" w:rsidRDefault="008A0FB7" w:rsidP="008A0FB7">
      <w:pPr>
        <w:pStyle w:val="Textpoznmkypodiarou"/>
      </w:pPr>
      <w:r w:rsidRPr="009B77EC">
        <w:rPr>
          <w:b/>
          <w:sz w:val="22"/>
          <w:szCs w:val="22"/>
        </w:rPr>
        <w:fldChar w:fldCharType="end"/>
      </w:r>
    </w:p>
    <w:p w:rsidR="008A0FB7" w:rsidRPr="009B77EC" w:rsidRDefault="008A0FB7" w:rsidP="00CC3215">
      <w:pPr>
        <w:pStyle w:val="Textpoznmkypodiarou"/>
      </w:pPr>
    </w:p>
    <w:p w:rsidR="008A0FB7" w:rsidRPr="009B77EC" w:rsidRDefault="008A0FB7" w:rsidP="00CC3215">
      <w:pPr>
        <w:pStyle w:val="Textpoznmkypodiarou"/>
      </w:pPr>
    </w:p>
    <w:p w:rsidR="008A0FB7" w:rsidRPr="009B77EC" w:rsidRDefault="008A0FB7" w:rsidP="00CC3215">
      <w:pPr>
        <w:pStyle w:val="Textpoznmkypodiarou"/>
      </w:pPr>
    </w:p>
    <w:p w:rsidR="008A0FB7" w:rsidRPr="009B77EC" w:rsidRDefault="008A0FB7" w:rsidP="00CC3215">
      <w:pPr>
        <w:pStyle w:val="Textpoznmkypodiarou"/>
      </w:pPr>
    </w:p>
    <w:p w:rsidR="008A0FB7" w:rsidRPr="009B77EC" w:rsidRDefault="008A0FB7" w:rsidP="00CC3215">
      <w:pPr>
        <w:pStyle w:val="Textpoznmkypodiarou"/>
      </w:pPr>
    </w:p>
    <w:p w:rsidR="008A0FB7" w:rsidRPr="009B77EC" w:rsidRDefault="008A0FB7" w:rsidP="00CC3215">
      <w:pPr>
        <w:pStyle w:val="Textpoznmkypodiarou"/>
      </w:pPr>
    </w:p>
    <w:p w:rsidR="008A0FB7" w:rsidRPr="009B77EC" w:rsidRDefault="008A0FB7" w:rsidP="00CC3215">
      <w:pPr>
        <w:pStyle w:val="Textpoznmkypodiarou"/>
      </w:pPr>
    </w:p>
    <w:p w:rsidR="008A0FB7" w:rsidRPr="009B77EC" w:rsidRDefault="008A0FB7" w:rsidP="00CC3215">
      <w:pPr>
        <w:pStyle w:val="Textpoznmkypodiarou"/>
      </w:pPr>
    </w:p>
    <w:p w:rsidR="008A0FB7" w:rsidRPr="009B77EC" w:rsidRDefault="008A0FB7" w:rsidP="00CC3215">
      <w:pPr>
        <w:pStyle w:val="Textpoznmkypodiarou"/>
      </w:pPr>
    </w:p>
    <w:p w:rsidR="008A0FB7" w:rsidRPr="009B77EC" w:rsidRDefault="008A0FB7" w:rsidP="00CC3215">
      <w:pPr>
        <w:pStyle w:val="Textpoznmkypodiarou"/>
      </w:pPr>
    </w:p>
    <w:p w:rsidR="008A0FB7" w:rsidRPr="009B77EC" w:rsidRDefault="008A0FB7" w:rsidP="00CC3215">
      <w:pPr>
        <w:pStyle w:val="Textpoznmkypodiarou"/>
      </w:pPr>
    </w:p>
    <w:p w:rsidR="008A0FB7" w:rsidRPr="009B77EC" w:rsidRDefault="008A0FB7" w:rsidP="00CC3215">
      <w:pPr>
        <w:pStyle w:val="Textpoznmkypodiarou"/>
      </w:pPr>
    </w:p>
    <w:p w:rsidR="008A0FB7" w:rsidRPr="009B77EC" w:rsidRDefault="008A0FB7" w:rsidP="00CC3215">
      <w:pPr>
        <w:pStyle w:val="Textpoznmkypodiarou"/>
      </w:pPr>
    </w:p>
    <w:p w:rsidR="008A0FB7" w:rsidRPr="009B77EC" w:rsidRDefault="008A0FB7" w:rsidP="00CC3215">
      <w:pPr>
        <w:pStyle w:val="Textpoznmkypodiarou"/>
      </w:pPr>
    </w:p>
    <w:p w:rsidR="008A0FB7" w:rsidRPr="009B77EC" w:rsidRDefault="008A0FB7" w:rsidP="00CC3215">
      <w:pPr>
        <w:pStyle w:val="Textpoznmkypodiarou"/>
      </w:pPr>
    </w:p>
    <w:p w:rsidR="008A0FB7" w:rsidRPr="009B77EC" w:rsidRDefault="008A0FB7" w:rsidP="00CC3215">
      <w:pPr>
        <w:pStyle w:val="Textpoznmkypodiarou"/>
      </w:pPr>
    </w:p>
    <w:p w:rsidR="008A0FB7" w:rsidRPr="009B77EC" w:rsidRDefault="008A0FB7" w:rsidP="00CC3215">
      <w:pPr>
        <w:pStyle w:val="Textpoznmkypodiarou"/>
      </w:pPr>
    </w:p>
    <w:p w:rsidR="008A0FB7" w:rsidRPr="009B77EC" w:rsidRDefault="008A0FB7" w:rsidP="00CC3215">
      <w:pPr>
        <w:pStyle w:val="Textpoznmkypodiarou"/>
      </w:pPr>
    </w:p>
    <w:p w:rsidR="008A0FB7" w:rsidRPr="009B77EC" w:rsidRDefault="008A0FB7" w:rsidP="00CC3215">
      <w:pPr>
        <w:pStyle w:val="Textpoznmkypodiarou"/>
      </w:pPr>
    </w:p>
    <w:p w:rsidR="008A0FB7" w:rsidRPr="009B77EC" w:rsidRDefault="008A0FB7" w:rsidP="00CC3215">
      <w:pPr>
        <w:pStyle w:val="Textpoznmkypodiarou"/>
      </w:pPr>
    </w:p>
    <w:p w:rsidR="008A0FB7" w:rsidRPr="009B77EC" w:rsidRDefault="008A0FB7" w:rsidP="00CC3215">
      <w:pPr>
        <w:pStyle w:val="Textpoznmkypodiarou"/>
      </w:pPr>
    </w:p>
    <w:p w:rsidR="008A0FB7" w:rsidRPr="009B77EC" w:rsidRDefault="008A0FB7" w:rsidP="00CC3215">
      <w:pPr>
        <w:pStyle w:val="Textpoznmkypodiarou"/>
      </w:pPr>
    </w:p>
    <w:p w:rsidR="008A0FB7" w:rsidRPr="009B77EC" w:rsidRDefault="008A0FB7" w:rsidP="00CC3215">
      <w:pPr>
        <w:pStyle w:val="Textpoznmkypodiarou"/>
      </w:pPr>
    </w:p>
    <w:p w:rsidR="008A0FB7" w:rsidRPr="009B77EC" w:rsidRDefault="008A0FB7" w:rsidP="00CC3215">
      <w:pPr>
        <w:pStyle w:val="Textpoznmkypodiarou"/>
      </w:pPr>
    </w:p>
    <w:p w:rsidR="008A0FB7" w:rsidRPr="009B77EC" w:rsidRDefault="008A0FB7" w:rsidP="00CC3215">
      <w:pPr>
        <w:pStyle w:val="Textpoznmkypodiarou"/>
      </w:pPr>
    </w:p>
    <w:p w:rsidR="008A0FB7" w:rsidRPr="009B77EC" w:rsidRDefault="008A0FB7" w:rsidP="00CC3215">
      <w:pPr>
        <w:pStyle w:val="Textpoznmkypodiarou"/>
      </w:pPr>
    </w:p>
    <w:p w:rsidR="008A0FB7" w:rsidRPr="009B77EC" w:rsidRDefault="008A0FB7" w:rsidP="00CC3215">
      <w:pPr>
        <w:pStyle w:val="Textpoznmkypodiarou"/>
      </w:pPr>
    </w:p>
    <w:p w:rsidR="008A0FB7" w:rsidRPr="009B77EC" w:rsidRDefault="008A0FB7" w:rsidP="00CC3215">
      <w:pPr>
        <w:pStyle w:val="Textpoznmkypodiarou"/>
      </w:pPr>
    </w:p>
    <w:p w:rsidR="008A0FB7" w:rsidRPr="009B77EC" w:rsidRDefault="008A0FB7" w:rsidP="00CC3215">
      <w:pPr>
        <w:pStyle w:val="Textpoznmkypodiarou"/>
      </w:pPr>
    </w:p>
    <w:p w:rsidR="008A0FB7" w:rsidRPr="009B77EC" w:rsidRDefault="008A0FB7" w:rsidP="00CC3215">
      <w:pPr>
        <w:pStyle w:val="Textpoznmkypodiarou"/>
      </w:pPr>
    </w:p>
    <w:p w:rsidR="008A0FB7" w:rsidRPr="009B77EC" w:rsidRDefault="008A0FB7" w:rsidP="00CC3215">
      <w:pPr>
        <w:pStyle w:val="Textpoznmkypodiarou"/>
      </w:pPr>
    </w:p>
    <w:p w:rsidR="008A0FB7" w:rsidRPr="009B77EC" w:rsidRDefault="008A0FB7" w:rsidP="00CC3215">
      <w:pPr>
        <w:pStyle w:val="Textpoznmkypodiarou"/>
      </w:pPr>
    </w:p>
    <w:p w:rsidR="008A0FB7" w:rsidRPr="009B77EC" w:rsidRDefault="008A0FB7" w:rsidP="00CC3215">
      <w:pPr>
        <w:pStyle w:val="Textpoznmkypodiarou"/>
      </w:pPr>
    </w:p>
    <w:p w:rsidR="008A0FB7" w:rsidRPr="009B77EC" w:rsidRDefault="008A0FB7" w:rsidP="00CC3215">
      <w:pPr>
        <w:pStyle w:val="Textpoznmkypodiarou"/>
      </w:pPr>
    </w:p>
    <w:p w:rsidR="008A0FB7" w:rsidRPr="009B77EC" w:rsidRDefault="008A0FB7" w:rsidP="00CC3215">
      <w:pPr>
        <w:pStyle w:val="Textpoznmkypodiarou"/>
      </w:pPr>
    </w:p>
    <w:p w:rsidR="008A0FB7" w:rsidRPr="009B77EC" w:rsidRDefault="008A0FB7" w:rsidP="00CC3215">
      <w:pPr>
        <w:pStyle w:val="Textpoznmkypodiarou"/>
      </w:pPr>
    </w:p>
    <w:p w:rsidR="008A0FB7" w:rsidRPr="009B77EC" w:rsidRDefault="008A0FB7" w:rsidP="00CC3215">
      <w:pPr>
        <w:pStyle w:val="Textpoznmkypodiarou"/>
      </w:pPr>
    </w:p>
    <w:p w:rsidR="008A0FB7" w:rsidRPr="009B77EC" w:rsidRDefault="008A0FB7" w:rsidP="00CC3215">
      <w:pPr>
        <w:pStyle w:val="Textpoznmkypodiarou"/>
      </w:pPr>
    </w:p>
    <w:p w:rsidR="008A0FB7" w:rsidRPr="009B77EC" w:rsidRDefault="008A0FB7" w:rsidP="00CC3215">
      <w:pPr>
        <w:pStyle w:val="Textpoznmkypodiarou"/>
      </w:pPr>
    </w:p>
    <w:p w:rsidR="008A0FB7" w:rsidRPr="009B77EC" w:rsidRDefault="008A0FB7" w:rsidP="00CC3215">
      <w:pPr>
        <w:pStyle w:val="Textpoznmkypodiarou"/>
      </w:pPr>
    </w:p>
    <w:p w:rsidR="008A0FB7" w:rsidRPr="009B77EC" w:rsidRDefault="008A0FB7" w:rsidP="00CC3215">
      <w:pPr>
        <w:pStyle w:val="Textpoznmkypodiarou"/>
      </w:pPr>
    </w:p>
    <w:p w:rsidR="008A0FB7" w:rsidRPr="009B77EC" w:rsidRDefault="008A0FB7" w:rsidP="00CC3215">
      <w:pPr>
        <w:pStyle w:val="Textpoznmkypodiarou"/>
      </w:pPr>
    </w:p>
    <w:p w:rsidR="008A0FB7" w:rsidRPr="009B77EC" w:rsidRDefault="008A0FB7" w:rsidP="00CC3215">
      <w:pPr>
        <w:pStyle w:val="Textpoznmkypodiarou"/>
      </w:pPr>
    </w:p>
    <w:p w:rsidR="008A0FB7" w:rsidRPr="009B77EC" w:rsidRDefault="008A0FB7" w:rsidP="00CC3215">
      <w:pPr>
        <w:pStyle w:val="Textpoznmkypodiarou"/>
      </w:pPr>
    </w:p>
    <w:p w:rsidR="008A0FB7" w:rsidRPr="009B77EC" w:rsidRDefault="008A0FB7" w:rsidP="00CC3215">
      <w:pPr>
        <w:pStyle w:val="Textpoznmkypodiarou"/>
      </w:pPr>
    </w:p>
    <w:p w:rsidR="00DF35B1" w:rsidRPr="009B77EC" w:rsidRDefault="008A4341" w:rsidP="00CC3215">
      <w:pPr>
        <w:pStyle w:val="Textpoznmkypodiarou"/>
        <w:rPr>
          <w:b/>
          <w:sz w:val="24"/>
        </w:rPr>
      </w:pPr>
      <w:r w:rsidRPr="009B77EC">
        <w:rPr>
          <w:b/>
          <w:sz w:val="28"/>
        </w:rPr>
        <w:lastRenderedPageBreak/>
        <w:t>Úvod</w:t>
      </w:r>
    </w:p>
    <w:p w:rsidR="00DF35B1" w:rsidRPr="009B77EC" w:rsidRDefault="00DF35B1" w:rsidP="00CC3215">
      <w:pPr>
        <w:pStyle w:val="Textpoznmkypodiarou"/>
        <w:rPr>
          <w:b/>
        </w:rPr>
      </w:pPr>
    </w:p>
    <w:p w:rsidR="00191554" w:rsidRPr="009B77EC" w:rsidRDefault="00191554" w:rsidP="009B77EC">
      <w:pPr>
        <w:spacing w:after="120"/>
        <w:ind w:firstLine="708"/>
        <w:jc w:val="both"/>
        <w:rPr>
          <w:szCs w:val="22"/>
        </w:rPr>
      </w:pPr>
      <w:bookmarkStart w:id="6" w:name="_Toc394471509"/>
      <w:bookmarkStart w:id="7" w:name="_Toc422906267"/>
      <w:bookmarkStart w:id="8" w:name="_Toc384124260"/>
      <w:r w:rsidRPr="009B77EC">
        <w:rPr>
          <w:szCs w:val="22"/>
        </w:rPr>
        <w:t>Aktualizácia Stratégie riadenia štátneho dlhu na roky 2015 až 2018 bola pripravená v období, keď úrokové sadzby na dlhopisovom trhu dosahujú historické minimá a väčšina krajín eurozóny emituje dlhopisy so zápornými sadzbami s krátkodobou splatnosťou. Riadenie štátneho dlhu je ovplyvnené</w:t>
      </w:r>
      <w:bookmarkStart w:id="9" w:name="_GoBack"/>
      <w:bookmarkEnd w:id="9"/>
      <w:r w:rsidRPr="009B77EC">
        <w:rPr>
          <w:szCs w:val="22"/>
        </w:rPr>
        <w:t xml:space="preserve"> predovšetkým pôsobením NBS, nakupovaním existujúcich štátnych dlhopisov na sekundárnom trhu. Prebytok likvidity na jednej strane pomáha dopytu v aukciách štátnych dlhopisov, na druhej strane spôsobuje problémy pri ukladaní dočasne voľnej likvidity. Riziko do budúcnosti predstavuje predovšetkým plánovaný odchod Veľkej Británie z Európskej únie, ďalšie </w:t>
      </w:r>
      <w:r w:rsidR="007D00D0" w:rsidRPr="009B77EC">
        <w:rPr>
          <w:szCs w:val="22"/>
        </w:rPr>
        <w:t>sprísňovanie</w:t>
      </w:r>
      <w:r w:rsidRPr="009B77EC">
        <w:rPr>
          <w:szCs w:val="22"/>
        </w:rPr>
        <w:t xml:space="preserve"> bankovej regulácie a stále menšia ochota investorov kupovať štátne dlhopisy s extrémne malými výnosmi.  </w:t>
      </w:r>
    </w:p>
    <w:p w:rsidR="00191554" w:rsidRPr="009B77EC" w:rsidRDefault="00191554" w:rsidP="009B77EC">
      <w:pPr>
        <w:spacing w:after="120"/>
        <w:ind w:firstLine="708"/>
        <w:jc w:val="both"/>
        <w:rPr>
          <w:szCs w:val="22"/>
        </w:rPr>
      </w:pPr>
      <w:r w:rsidRPr="009B77EC">
        <w:rPr>
          <w:szCs w:val="22"/>
        </w:rPr>
        <w:t>Riadenie štátneho dlhu SR sa uskutočňuje na štandardnej úrovni krajín eurozóny. Dôvodom je dôsledné napĺňanie Stratégie riadenia štátneho dlhu, dobrý rating krajiny, pozitívne vnímanie krajiny investormi, ktorí oceňujú politickú stabilitu a stabilitu finančných inštitúcií, najmä bankového sektora. Zmenšeniu rizika financovania štátu významne napomohla rozsiahla diverzifikácia investorskej bázy prostredníctvom emisií dlhopisov vydaných mimo eurozóny, v menách iných krajín, ktorá začala v roku 2012 a bola prerušená v roku 2014. V súčasnosti pokrývajú investori mimo eurozóny v iných menách ako euro približne 7</w:t>
      </w:r>
      <w:r w:rsidR="007D00D0" w:rsidRPr="009B77EC">
        <w:rPr>
          <w:szCs w:val="22"/>
        </w:rPr>
        <w:t xml:space="preserve"> </w:t>
      </w:r>
      <w:r w:rsidRPr="009B77EC">
        <w:rPr>
          <w:szCs w:val="22"/>
        </w:rPr>
        <w:t>% hodnoty štátneho dlhu Slovenska. Diverzifikácia priniesla alternatívnu možnosť získavania zdrojov pre financovanie štátu, zvýšenie dopytu zo strany tradičných dlhopisových investorov a pozitívny marketing krajiny na trhoch, kde Slovensko doteraz nepôsobilo. Hlavným problémom, ktorý znevýhodňuje financovanie štátneho dlhu v porovnaní s osta</w:t>
      </w:r>
      <w:r w:rsidR="007D00D0" w:rsidRPr="009B77EC">
        <w:rPr>
          <w:szCs w:val="22"/>
        </w:rPr>
        <w:t>t</w:t>
      </w:r>
      <w:r w:rsidRPr="009B77EC">
        <w:rPr>
          <w:szCs w:val="22"/>
        </w:rPr>
        <w:t xml:space="preserve">nými rozvinutými krajinami, je technokratická formulácia </w:t>
      </w:r>
      <w:r w:rsidR="00AA1277" w:rsidRPr="00D119DC">
        <w:rPr>
          <w:szCs w:val="22"/>
        </w:rPr>
        <w:t>ústavného</w:t>
      </w:r>
      <w:r w:rsidR="00AA1277">
        <w:rPr>
          <w:szCs w:val="22"/>
        </w:rPr>
        <w:t xml:space="preserve"> </w:t>
      </w:r>
      <w:r w:rsidRPr="009B77EC">
        <w:rPr>
          <w:szCs w:val="22"/>
        </w:rPr>
        <w:t xml:space="preserve">zákona o rozpočtovej zodpovednosti, ktorá znemožňuje koncepčnú správu, najmä financovanie štátneho dlhu. Zákon neumožňuje bez sankcií akékoľvek predfinancovanie budúcich záväzkov, nakoľko ľubovoľná finančná operácia na strane pasív štátu okamžite účtovne zväčšuje hrubý verejný dlh Slovenska. Financujú sa preto iba priebežne splatné finančné záväzky, a to za aktuálne trhové ceny.      </w:t>
      </w:r>
    </w:p>
    <w:p w:rsidR="00191554" w:rsidRPr="009B77EC" w:rsidRDefault="00191554" w:rsidP="009B77EC">
      <w:pPr>
        <w:spacing w:after="120"/>
        <w:ind w:firstLine="708"/>
        <w:jc w:val="both"/>
        <w:rPr>
          <w:szCs w:val="22"/>
        </w:rPr>
      </w:pPr>
      <w:r w:rsidRPr="009B77EC">
        <w:rPr>
          <w:szCs w:val="22"/>
        </w:rPr>
        <w:t>Stabilizáciu na finančných trhoch a historicky minimálne úrokové sadzby využilo Slovensko na podstatné zlepšenie rizikového profilu portfólia štátneho dlhu smerom k väčšej priemernej splatnosti a menšieho rizika možného negatívneho precenenia portfólia. Tento princíp správy portfólia je štandardom pre krajiny s rozvinutým kapitálovým trhom a sofistikovaným riadením štátneho dlhu.</w:t>
      </w:r>
    </w:p>
    <w:p w:rsidR="00191554" w:rsidRPr="009B77EC" w:rsidRDefault="00191554" w:rsidP="009B77EC">
      <w:pPr>
        <w:spacing w:after="120"/>
        <w:ind w:firstLine="708"/>
        <w:jc w:val="both"/>
        <w:rPr>
          <w:szCs w:val="22"/>
        </w:rPr>
      </w:pPr>
      <w:r w:rsidRPr="009B77EC">
        <w:rPr>
          <w:szCs w:val="22"/>
        </w:rPr>
        <w:t xml:space="preserve">Slovensko plní všetky kritériá stanovené Stratégiou. Ciele formulované v Stratégii na roky 2015 až 2018 sú v súlade s aktuálnou situáciou na finančnom trhu. Rozhodnutie sprísniť parametre splatnosti štátneho dlhu do piatich a jedného roka a úrokového rizika do piatich rokov sa ukázalo ako správne. Vývoj verejných financií, nákladov na správu štátneho dlhu v posledných rokoch a najmä hodnotenie Slovenska investormi, bankami a ratingovými spoločnosťami taktiež ukazujú, že nastavenie cieľov riadenia štátneho dlhu a likvidity je vyhovujúce pre podmienky ekonomiky a dostatočné pre systém riadenia dlhu v SR. </w:t>
      </w:r>
    </w:p>
    <w:p w:rsidR="00191554" w:rsidRPr="009B77EC" w:rsidRDefault="00191554" w:rsidP="009B77EC">
      <w:pPr>
        <w:spacing w:after="120"/>
        <w:ind w:firstLine="708"/>
        <w:jc w:val="both"/>
        <w:rPr>
          <w:b/>
          <w:szCs w:val="22"/>
        </w:rPr>
      </w:pPr>
      <w:r w:rsidRPr="009B77EC">
        <w:rPr>
          <w:b/>
          <w:szCs w:val="22"/>
        </w:rPr>
        <w:t>Aktuálna aktualizácia nevyžaduje modifikovať kvantitatívne ciele riadenia rizika ani ostatné ciele stanovené v Stratégii.</w:t>
      </w:r>
    </w:p>
    <w:p w:rsidR="003B3F5B" w:rsidRPr="009B77EC" w:rsidRDefault="00BA2F20" w:rsidP="00E438DF">
      <w:pPr>
        <w:pStyle w:val="Nadpis1"/>
        <w:numPr>
          <w:ilvl w:val="0"/>
          <w:numId w:val="9"/>
        </w:numPr>
        <w:rPr>
          <w:rFonts w:ascii="Times New Roman" w:hAnsi="Times New Roman" w:cs="Times New Roman"/>
          <w:sz w:val="24"/>
        </w:rPr>
      </w:pPr>
      <w:bookmarkStart w:id="10" w:name="_Toc463036704"/>
      <w:r w:rsidRPr="009B77EC">
        <w:rPr>
          <w:rFonts w:ascii="Times New Roman" w:hAnsi="Times New Roman" w:cs="Times New Roman"/>
          <w:sz w:val="28"/>
        </w:rPr>
        <w:t>Makroekonomické východiská a fiškálny výhľad</w:t>
      </w:r>
      <w:bookmarkEnd w:id="6"/>
      <w:bookmarkEnd w:id="7"/>
      <w:bookmarkEnd w:id="10"/>
    </w:p>
    <w:p w:rsidR="001F5022" w:rsidRPr="009B77EC" w:rsidRDefault="00235994" w:rsidP="00E438DF">
      <w:pPr>
        <w:pStyle w:val="Nadpis2"/>
        <w:keepLines/>
        <w:numPr>
          <w:ilvl w:val="1"/>
          <w:numId w:val="9"/>
        </w:numPr>
        <w:spacing w:before="200" w:after="240" w:line="276" w:lineRule="auto"/>
        <w:ind w:left="720" w:hanging="720"/>
        <w:jc w:val="both"/>
        <w:rPr>
          <w:rFonts w:ascii="Times New Roman" w:hAnsi="Times New Roman" w:cs="Times New Roman"/>
          <w:bCs w:val="0"/>
          <w:i w:val="0"/>
          <w:iCs w:val="0"/>
          <w:color w:val="000000" w:themeColor="text1"/>
          <w:sz w:val="24"/>
        </w:rPr>
      </w:pPr>
      <w:bookmarkStart w:id="11" w:name="_Toc275948230"/>
      <w:bookmarkStart w:id="12" w:name="_Toc394471510"/>
      <w:bookmarkStart w:id="13" w:name="_Toc422906268"/>
      <w:bookmarkStart w:id="14" w:name="_Toc463036705"/>
      <w:r w:rsidRPr="009B77EC">
        <w:rPr>
          <w:rFonts w:ascii="Times New Roman" w:hAnsi="Times New Roman" w:cs="Times New Roman"/>
          <w:bCs w:val="0"/>
          <w:i w:val="0"/>
          <w:iCs w:val="0"/>
          <w:color w:val="000000" w:themeColor="text1"/>
          <w:sz w:val="24"/>
        </w:rPr>
        <w:t>Vývoj na finančných trhoch a makroekonomické východiská</w:t>
      </w:r>
      <w:bookmarkEnd w:id="11"/>
      <w:bookmarkEnd w:id="12"/>
      <w:bookmarkEnd w:id="13"/>
      <w:bookmarkEnd w:id="14"/>
    </w:p>
    <w:p w:rsidR="00585BFA" w:rsidRPr="009B77EC" w:rsidRDefault="00276C27" w:rsidP="009B77EC">
      <w:pPr>
        <w:spacing w:after="120"/>
        <w:ind w:firstLine="708"/>
        <w:jc w:val="both"/>
      </w:pPr>
      <w:r w:rsidRPr="009B77EC">
        <w:t>P</w:t>
      </w:r>
      <w:r w:rsidR="000B75B3" w:rsidRPr="009B77EC">
        <w:t>olarizácia menových politík</w:t>
      </w:r>
      <w:r w:rsidR="00A10F72" w:rsidRPr="009B77EC">
        <w:t xml:space="preserve"> európskej a americkej centrálnej banky</w:t>
      </w:r>
      <w:r w:rsidRPr="009B77EC">
        <w:t xml:space="preserve"> začala</w:t>
      </w:r>
      <w:r w:rsidR="00F715D0" w:rsidRPr="009B77EC">
        <w:t xml:space="preserve"> na konci roka </w:t>
      </w:r>
      <w:r w:rsidRPr="009B77EC">
        <w:t>2015</w:t>
      </w:r>
      <w:r w:rsidR="000B75B3" w:rsidRPr="009B77EC">
        <w:t>.</w:t>
      </w:r>
      <w:r w:rsidR="005D6322" w:rsidRPr="009B77EC">
        <w:t xml:space="preserve"> Na jednej strane</w:t>
      </w:r>
      <w:r w:rsidR="000B75B3" w:rsidRPr="009B77EC">
        <w:t xml:space="preserve"> </w:t>
      </w:r>
      <w:r w:rsidR="007D00D0" w:rsidRPr="009B77EC">
        <w:t xml:space="preserve">Americká centrálna banka </w:t>
      </w:r>
      <w:r w:rsidR="00A10F72" w:rsidRPr="009B77EC">
        <w:t xml:space="preserve">FED </w:t>
      </w:r>
      <w:r w:rsidR="000B75B3" w:rsidRPr="009B77EC">
        <w:t xml:space="preserve"> </w:t>
      </w:r>
      <w:r w:rsidR="00A10F72" w:rsidRPr="009B77EC">
        <w:t>spustil</w:t>
      </w:r>
      <w:r w:rsidR="007D00D0" w:rsidRPr="009B77EC">
        <w:t>a</w:t>
      </w:r>
      <w:r w:rsidR="00A10F72" w:rsidRPr="009B77EC">
        <w:t xml:space="preserve"> </w:t>
      </w:r>
      <w:r w:rsidR="000B75B3" w:rsidRPr="009B77EC">
        <w:t>dlho očakávanú reštriktívnu menov</w:t>
      </w:r>
      <w:r w:rsidR="00A10F72" w:rsidRPr="009B77EC">
        <w:t>ú</w:t>
      </w:r>
      <w:r w:rsidR="000B75B3" w:rsidRPr="009B77EC">
        <w:t xml:space="preserve"> politiku v decembri 2015</w:t>
      </w:r>
      <w:r w:rsidR="00CA49B5" w:rsidRPr="009B77EC">
        <w:t>,</w:t>
      </w:r>
      <w:r w:rsidR="000B75B3" w:rsidRPr="009B77EC">
        <w:t xml:space="preserve"> keď po siedmych rokoch zvýšil</w:t>
      </w:r>
      <w:r w:rsidR="007D00D0" w:rsidRPr="009B77EC">
        <w:t>a</w:t>
      </w:r>
      <w:r w:rsidR="000B75B3" w:rsidRPr="009B77EC">
        <w:t xml:space="preserve"> úrokové sadzby. </w:t>
      </w:r>
      <w:r w:rsidR="008D3ECB" w:rsidRPr="009B77EC">
        <w:t xml:space="preserve">Postupne, v prvej polovici roka </w:t>
      </w:r>
      <w:r w:rsidR="00A10F72" w:rsidRPr="009B77EC">
        <w:t xml:space="preserve">2016 však </w:t>
      </w:r>
      <w:r w:rsidR="008D3ECB" w:rsidRPr="009B77EC">
        <w:t xml:space="preserve">FED </w:t>
      </w:r>
      <w:r w:rsidR="00A10F72" w:rsidRPr="009B77EC">
        <w:t>u</w:t>
      </w:r>
      <w:r w:rsidR="008D3ECB" w:rsidRPr="009B77EC">
        <w:t xml:space="preserve">stúpil od </w:t>
      </w:r>
      <w:r w:rsidR="00A10F72" w:rsidRPr="009B77EC">
        <w:t xml:space="preserve">pôvodných </w:t>
      </w:r>
      <w:r w:rsidR="008D3ECB" w:rsidRPr="009B77EC">
        <w:t xml:space="preserve">plánov </w:t>
      </w:r>
      <w:r w:rsidR="00A10F72" w:rsidRPr="009B77EC">
        <w:lastRenderedPageBreak/>
        <w:t xml:space="preserve">kontinuálneho </w:t>
      </w:r>
      <w:r w:rsidR="008D3ECB" w:rsidRPr="009B77EC">
        <w:t>zvyšovania sadzieb a to hlavne kvôli nepriaznivým číslam z trhu práce, nízkej inflácií a vysokému riziku vystúpenia UK z Európskej Únie</w:t>
      </w:r>
      <w:r w:rsidR="00A10F72" w:rsidRPr="009B77EC">
        <w:t>, tzv. Brexit-u</w:t>
      </w:r>
      <w:r w:rsidR="008D3ECB" w:rsidRPr="009B77EC">
        <w:t>.</w:t>
      </w:r>
      <w:r w:rsidR="0036754A" w:rsidRPr="009B77EC">
        <w:t xml:space="preserve"> V druhej polo</w:t>
      </w:r>
      <w:r w:rsidR="00EC0667" w:rsidRPr="009B77EC">
        <w:t>vici sa rétorika FEDu obrátila,</w:t>
      </w:r>
      <w:r w:rsidR="0036754A" w:rsidRPr="009B77EC">
        <w:t xml:space="preserve"> vzhľadom na pozitívny vývoj ekonomiky USA je zvyšovanie sadzieb najpravdepodobnejšie </w:t>
      </w:r>
      <w:r w:rsidR="007D00D0" w:rsidRPr="009B77EC">
        <w:t xml:space="preserve">po prezidentských voľbách </w:t>
      </w:r>
      <w:r w:rsidR="0036754A" w:rsidRPr="009B77EC">
        <w:t>na konci roka 2016.</w:t>
      </w:r>
    </w:p>
    <w:p w:rsidR="006A25F7" w:rsidRPr="009B77EC" w:rsidRDefault="008D3ECB" w:rsidP="009B77EC">
      <w:pPr>
        <w:spacing w:after="120"/>
        <w:ind w:firstLine="708"/>
        <w:jc w:val="both"/>
      </w:pPr>
      <w:r w:rsidRPr="009B77EC">
        <w:t>Na</w:t>
      </w:r>
      <w:r w:rsidR="00A10F72" w:rsidRPr="009B77EC">
        <w:t xml:space="preserve"> druhej strane</w:t>
      </w:r>
      <w:r w:rsidRPr="009B77EC">
        <w:t xml:space="preserve"> kvantitatívne uvoľňovanie v </w:t>
      </w:r>
      <w:r w:rsidR="00B91AE3" w:rsidRPr="009B77EC">
        <w:t>Európe</w:t>
      </w:r>
      <w:r w:rsidRPr="009B77EC">
        <w:t xml:space="preserve"> neprinieslo inflačné a rastové očakávania,</w:t>
      </w:r>
      <w:r w:rsidR="00CA49B5" w:rsidRPr="009B77EC">
        <w:t xml:space="preserve"> a</w:t>
      </w:r>
      <w:r w:rsidRPr="009B77EC">
        <w:t xml:space="preserve"> </w:t>
      </w:r>
      <w:r w:rsidR="00CA49B5" w:rsidRPr="009B77EC">
        <w:t xml:space="preserve">preto </w:t>
      </w:r>
      <w:r w:rsidR="007D00D0" w:rsidRPr="009B77EC">
        <w:t xml:space="preserve">Európska centrálna banka </w:t>
      </w:r>
      <w:r w:rsidR="00CA49B5" w:rsidRPr="009B77EC">
        <w:t>ECB v decembri znížila depozitnú sadzbu</w:t>
      </w:r>
      <w:r w:rsidR="00B91AE3" w:rsidRPr="009B77EC">
        <w:t xml:space="preserve"> na </w:t>
      </w:r>
      <w:r w:rsidR="00585BFA" w:rsidRPr="009B77EC">
        <w:t xml:space="preserve">- </w:t>
      </w:r>
      <w:r w:rsidR="00B91AE3" w:rsidRPr="009B77EC">
        <w:t>0,3</w:t>
      </w:r>
      <w:r w:rsidR="00585BFA" w:rsidRPr="009B77EC">
        <w:t xml:space="preserve"> </w:t>
      </w:r>
      <w:r w:rsidR="00CA49B5" w:rsidRPr="009B77EC">
        <w:t>% a predlžila</w:t>
      </w:r>
      <w:r w:rsidR="00B91AE3" w:rsidRPr="009B77EC">
        <w:t xml:space="preserve"> programu nákupu aktív do marca 2017. </w:t>
      </w:r>
      <w:r w:rsidR="009350CC" w:rsidRPr="009B77EC">
        <w:t>Vzhľadom na nepriaznivý ekonomický vývoj ECB v marci 2016</w:t>
      </w:r>
      <w:r w:rsidR="00585BFA" w:rsidRPr="009B77EC">
        <w:t xml:space="preserve"> pristúp</w:t>
      </w:r>
      <w:r w:rsidR="009350CC" w:rsidRPr="009B77EC">
        <w:t xml:space="preserve">ila k ďalšiemu zníženiu sadzby o 10 </w:t>
      </w:r>
      <w:r w:rsidR="007D00D0" w:rsidRPr="009B77EC">
        <w:t>bázických bodov</w:t>
      </w:r>
      <w:r w:rsidR="009350CC" w:rsidRPr="009B77EC">
        <w:t xml:space="preserve"> s</w:t>
      </w:r>
      <w:r w:rsidR="007D00D0" w:rsidRPr="009B77EC">
        <w:t>účasne s</w:t>
      </w:r>
      <w:r w:rsidR="009350CC" w:rsidRPr="009B77EC">
        <w:t> navýšením programu</w:t>
      </w:r>
      <w:r w:rsidR="007D00D0" w:rsidRPr="009B77EC">
        <w:t xml:space="preserve"> nákupu aktív</w:t>
      </w:r>
      <w:r w:rsidR="00585BFA" w:rsidRPr="009B77EC">
        <w:t xml:space="preserve"> o 20 mld. eur na 80 mld. </w:t>
      </w:r>
      <w:r w:rsidR="00B83F4C" w:rsidRPr="009B77EC">
        <w:t>EUR</w:t>
      </w:r>
      <w:r w:rsidR="00585BFA" w:rsidRPr="009B77EC">
        <w:t xml:space="preserve"> mesačne. Portfólio nakupovaných dlhopisov sa rozšírilo o nák</w:t>
      </w:r>
      <w:r w:rsidR="005A4FB1" w:rsidRPr="009B77EC">
        <w:t>up podnikových dlhopisov a r</w:t>
      </w:r>
      <w:r w:rsidR="00585BFA" w:rsidRPr="009B77EC">
        <w:t>efinančný program TLTRO II.</w:t>
      </w:r>
      <w:r w:rsidR="0036754A" w:rsidRPr="009B77EC">
        <w:t xml:space="preserve"> ECB je v ďalších krokoch opatrná. Hoci kvantitatívne uvoľňovanie, aj po viacerých úpravách, doteraz neprinieslo očakávaný rast inflácie, do konca roka </w:t>
      </w:r>
      <w:r w:rsidR="007D00D0" w:rsidRPr="009B77EC">
        <w:t xml:space="preserve">2016 </w:t>
      </w:r>
      <w:r w:rsidR="0036754A" w:rsidRPr="009B77EC">
        <w:t>sa pravdepodobne nič zásadné v politike ECB nezmení.</w:t>
      </w:r>
    </w:p>
    <w:p w:rsidR="00820B3D" w:rsidRPr="009B77EC" w:rsidRDefault="0036754A" w:rsidP="009B77EC">
      <w:pPr>
        <w:spacing w:after="120"/>
        <w:ind w:firstLine="708"/>
        <w:jc w:val="both"/>
        <w:rPr>
          <w:rFonts w:eastAsia="NeueHaasGroteskText W02"/>
        </w:rPr>
      </w:pPr>
      <w:r w:rsidRPr="009B77EC">
        <w:t>Britská centrálna banka</w:t>
      </w:r>
      <w:r w:rsidR="007D00D0" w:rsidRPr="009B77EC">
        <w:t xml:space="preserve"> BoE</w:t>
      </w:r>
      <w:r w:rsidRPr="009B77EC">
        <w:t xml:space="preserve"> pristúpila k stabilizačným opatreniam. BoE reagovala na výsledky referenda v UK znížením depozitnej sadzby o 25 bázických bodov na 0,25 % a navýšila  program kvantitatívneho uvoľňovania</w:t>
      </w:r>
      <w:r w:rsidRPr="009B77EC">
        <w:rPr>
          <w:rFonts w:eastAsia="NeueHaasGroteskText W02"/>
        </w:rPr>
        <w:t>.</w:t>
      </w:r>
    </w:p>
    <w:p w:rsidR="00E90B95" w:rsidRPr="009B77EC" w:rsidRDefault="009B77EC" w:rsidP="0036754A">
      <w:pPr>
        <w:widowControl w:val="0"/>
        <w:tabs>
          <w:tab w:val="right" w:pos="8072"/>
        </w:tabs>
        <w:spacing w:after="240"/>
        <w:jc w:val="both"/>
        <w:rPr>
          <w:highlight w:val="green"/>
        </w:rPr>
      </w:pPr>
      <w:r>
        <w:tab/>
      </w:r>
      <w:r>
        <w:tab/>
        <w:t xml:space="preserve"> </w:t>
      </w:r>
      <w:r>
        <w:br/>
        <w:t xml:space="preserve">            </w:t>
      </w:r>
      <w:r w:rsidR="00585BFA" w:rsidRPr="009B77EC">
        <w:t xml:space="preserve">Globálne akciové trhy otvorili nový rok červenými číslami, </w:t>
      </w:r>
      <w:r w:rsidR="007D00D0" w:rsidRPr="009B77EC">
        <w:t xml:space="preserve">index </w:t>
      </w:r>
      <w:r w:rsidR="00585BFA" w:rsidRPr="009B77EC">
        <w:t>S&amp;P najhoršími od roku 1928.  Nákaza sa šírila dominantne z čínskeho akciového trhu. Signálom nestabilného obdobia je rastúca volatilita naprieč všetkými trhmi (</w:t>
      </w:r>
      <w:r w:rsidR="00AB34A6" w:rsidRPr="009B77EC">
        <w:t>komoditný, akciový, dlhopisový)</w:t>
      </w:r>
      <w:r w:rsidR="00585BFA" w:rsidRPr="009B77EC">
        <w:t>.</w:t>
      </w:r>
      <w:r w:rsidR="00042BAA" w:rsidRPr="009B77EC">
        <w:t xml:space="preserve"> Svetové trhy neskôr vyrovnali stratu z </w:t>
      </w:r>
      <w:r w:rsidR="00585BFA" w:rsidRPr="009B77EC">
        <w:t> februára, no zostáva</w:t>
      </w:r>
      <w:r w:rsidR="00706ED8" w:rsidRPr="009B77EC">
        <w:t>jú</w:t>
      </w:r>
      <w:r w:rsidR="00585BFA" w:rsidRPr="009B77EC">
        <w:t xml:space="preserve"> neustále pod tlakom.</w:t>
      </w:r>
      <w:r w:rsidR="0036754A" w:rsidRPr="009B77EC">
        <w:t xml:space="preserve"> Európske trhy sa zotavili </w:t>
      </w:r>
      <w:r w:rsidR="007D00D0" w:rsidRPr="009B77EC">
        <w:t xml:space="preserve">aj </w:t>
      </w:r>
      <w:r w:rsidR="0036754A" w:rsidRPr="009B77EC">
        <w:t>z výsledku referenda</w:t>
      </w:r>
      <w:r w:rsidR="007D00D0" w:rsidRPr="009B77EC">
        <w:t xml:space="preserve"> o vystúpení Veľkej Británie z EÚ</w:t>
      </w:r>
      <w:r w:rsidR="0036754A" w:rsidRPr="009B77EC">
        <w:t>, aj keď jeho následky sú do budúcnosti stále neurčité. Akciové trhy stagnujú v dôsledku slabého ekonomického rastu v Európe a zvýšených geopolitických rizík</w:t>
      </w:r>
      <w:r w:rsidR="00585BFA" w:rsidRPr="009B77EC">
        <w:t xml:space="preserve">. </w:t>
      </w:r>
      <w:r w:rsidR="00711C8F" w:rsidRPr="009B77EC">
        <w:t>Tieto faktory sa odzrkadli na profile slovenskej výnosovej krivky</w:t>
      </w:r>
      <w:r w:rsidR="00A10F72" w:rsidRPr="009B77EC">
        <w:t>, ktorý je viac plochý</w:t>
      </w:r>
      <w:r w:rsidR="00711C8F" w:rsidRPr="009B77EC">
        <w:t xml:space="preserve">. </w:t>
      </w:r>
      <w:r w:rsidR="004627ED" w:rsidRPr="009B77EC">
        <w:t xml:space="preserve">Vplyv kvantitatívneho </w:t>
      </w:r>
      <w:r w:rsidR="00D90875" w:rsidRPr="009B77EC">
        <w:t>uvoľňovania</w:t>
      </w:r>
      <w:r w:rsidR="004627ED" w:rsidRPr="009B77EC">
        <w:t xml:space="preserve"> na pokles výnosov slovenských 10-ročných vládnych dlhopisov bol kvantifikovaný </w:t>
      </w:r>
      <w:r w:rsidR="007D00D0" w:rsidRPr="009B77EC">
        <w:t xml:space="preserve">vo februári 2016 </w:t>
      </w:r>
      <w:r w:rsidR="004627ED" w:rsidRPr="009B77EC">
        <w:t xml:space="preserve">na 60 </w:t>
      </w:r>
      <w:r w:rsidR="007D00D0" w:rsidRPr="009B77EC">
        <w:t>bázických bodov</w:t>
      </w:r>
      <w:r w:rsidR="004627ED" w:rsidRPr="009B77EC">
        <w:t>.</w:t>
      </w:r>
    </w:p>
    <w:tbl>
      <w:tblPr>
        <w:tblW w:w="9131" w:type="dxa"/>
        <w:tblCellMar>
          <w:left w:w="70" w:type="dxa"/>
          <w:right w:w="70" w:type="dxa"/>
        </w:tblCellMar>
        <w:tblLook w:val="0000" w:firstRow="0" w:lastRow="0" w:firstColumn="0" w:lastColumn="0" w:noHBand="0" w:noVBand="0"/>
      </w:tblPr>
      <w:tblGrid>
        <w:gridCol w:w="4290"/>
        <w:gridCol w:w="207"/>
        <w:gridCol w:w="4634"/>
      </w:tblGrid>
      <w:tr w:rsidR="008562EE" w:rsidRPr="009B77EC" w:rsidTr="00C424EB">
        <w:trPr>
          <w:trHeight w:val="285"/>
        </w:trPr>
        <w:tc>
          <w:tcPr>
            <w:tcW w:w="4290" w:type="dxa"/>
            <w:tcBorders>
              <w:top w:val="nil"/>
              <w:left w:val="nil"/>
              <w:bottom w:val="nil"/>
              <w:right w:val="nil"/>
            </w:tcBorders>
            <w:shd w:val="clear" w:color="auto" w:fill="auto"/>
            <w:noWrap/>
            <w:vAlign w:val="center"/>
          </w:tcPr>
          <w:p w:rsidR="00235994" w:rsidRPr="009B77EC" w:rsidRDefault="00043E8B" w:rsidP="00410EBD">
            <w:pPr>
              <w:rPr>
                <w:b/>
                <w:bCs/>
                <w:sz w:val="18"/>
                <w:szCs w:val="18"/>
              </w:rPr>
            </w:pPr>
            <w:bookmarkStart w:id="15" w:name="_Toc252805705"/>
            <w:bookmarkStart w:id="16" w:name="_Toc275948233"/>
            <w:bookmarkStart w:id="17" w:name="_Toc394047564"/>
            <w:bookmarkStart w:id="18" w:name="_Toc394471513"/>
            <w:r w:rsidRPr="009B77EC">
              <w:rPr>
                <w:b/>
                <w:sz w:val="18"/>
                <w:szCs w:val="18"/>
              </w:rPr>
              <w:t>Výnosy 10Y SK</w:t>
            </w:r>
            <w:r w:rsidR="00235994" w:rsidRPr="009B77EC">
              <w:rPr>
                <w:b/>
                <w:sz w:val="18"/>
                <w:szCs w:val="18"/>
              </w:rPr>
              <w:t xml:space="preserve"> </w:t>
            </w:r>
            <w:r w:rsidRPr="009B77EC">
              <w:rPr>
                <w:b/>
                <w:sz w:val="18"/>
                <w:szCs w:val="18"/>
              </w:rPr>
              <w:t>a DE</w:t>
            </w:r>
            <w:r w:rsidR="00410EBD" w:rsidRPr="009B77EC">
              <w:rPr>
                <w:b/>
                <w:sz w:val="18"/>
                <w:szCs w:val="18"/>
              </w:rPr>
              <w:t xml:space="preserve"> </w:t>
            </w:r>
            <w:r w:rsidR="00235994" w:rsidRPr="009B77EC">
              <w:rPr>
                <w:b/>
                <w:sz w:val="18"/>
                <w:szCs w:val="18"/>
              </w:rPr>
              <w:t xml:space="preserve">dlhopisov </w:t>
            </w:r>
            <w:r w:rsidR="00235994" w:rsidRPr="009B77EC">
              <w:rPr>
                <w:sz w:val="18"/>
                <w:szCs w:val="18"/>
              </w:rPr>
              <w:t>(% p.</w:t>
            </w:r>
            <w:r w:rsidR="00541922" w:rsidRPr="009B77EC">
              <w:rPr>
                <w:sz w:val="18"/>
                <w:szCs w:val="18"/>
              </w:rPr>
              <w:t xml:space="preserve"> </w:t>
            </w:r>
            <w:r w:rsidR="00235994" w:rsidRPr="009B77EC">
              <w:rPr>
                <w:sz w:val="18"/>
                <w:szCs w:val="18"/>
              </w:rPr>
              <w:t>a.)</w:t>
            </w:r>
            <w:bookmarkEnd w:id="15"/>
            <w:bookmarkEnd w:id="16"/>
            <w:bookmarkEnd w:id="17"/>
            <w:bookmarkEnd w:id="18"/>
          </w:p>
        </w:tc>
        <w:tc>
          <w:tcPr>
            <w:tcW w:w="207" w:type="dxa"/>
            <w:tcBorders>
              <w:top w:val="nil"/>
              <w:left w:val="nil"/>
              <w:bottom w:val="nil"/>
              <w:right w:val="nil"/>
            </w:tcBorders>
            <w:noWrap/>
            <w:vAlign w:val="center"/>
          </w:tcPr>
          <w:p w:rsidR="00235994" w:rsidRPr="009B77EC" w:rsidRDefault="00235994" w:rsidP="00EA5365">
            <w:pPr>
              <w:rPr>
                <w:b/>
                <w:bCs/>
                <w:sz w:val="18"/>
                <w:szCs w:val="18"/>
              </w:rPr>
            </w:pPr>
          </w:p>
        </w:tc>
        <w:tc>
          <w:tcPr>
            <w:tcW w:w="4634" w:type="dxa"/>
            <w:tcBorders>
              <w:top w:val="nil"/>
              <w:left w:val="nil"/>
              <w:bottom w:val="nil"/>
              <w:right w:val="nil"/>
            </w:tcBorders>
            <w:shd w:val="clear" w:color="auto" w:fill="auto"/>
            <w:noWrap/>
            <w:vAlign w:val="center"/>
          </w:tcPr>
          <w:p w:rsidR="00235994" w:rsidRPr="009B77EC" w:rsidRDefault="00235994" w:rsidP="009B77EC">
            <w:pPr>
              <w:rPr>
                <w:bCs/>
                <w:sz w:val="18"/>
                <w:szCs w:val="18"/>
              </w:rPr>
            </w:pPr>
            <w:bookmarkStart w:id="19" w:name="_Toc252805706"/>
            <w:bookmarkStart w:id="20" w:name="_Toc275948234"/>
            <w:bookmarkStart w:id="21" w:name="_Toc394047565"/>
            <w:bookmarkStart w:id="22" w:name="_Toc394471514"/>
            <w:r w:rsidRPr="009B77EC">
              <w:rPr>
                <w:b/>
                <w:sz w:val="18"/>
                <w:szCs w:val="18"/>
              </w:rPr>
              <w:t xml:space="preserve">Vývoj </w:t>
            </w:r>
            <w:r w:rsidR="00C137DD" w:rsidRPr="009B77EC">
              <w:rPr>
                <w:b/>
                <w:sz w:val="18"/>
                <w:szCs w:val="18"/>
              </w:rPr>
              <w:t>výnosovej krivky Slovenska a</w:t>
            </w:r>
            <w:r w:rsidR="009B77EC">
              <w:rPr>
                <w:b/>
                <w:sz w:val="18"/>
                <w:szCs w:val="18"/>
              </w:rPr>
              <w:t> </w:t>
            </w:r>
            <w:r w:rsidR="00C137DD" w:rsidRPr="009B77EC">
              <w:rPr>
                <w:b/>
                <w:sz w:val="18"/>
                <w:szCs w:val="18"/>
              </w:rPr>
              <w:t>Nemecka</w:t>
            </w:r>
            <w:r w:rsidR="009B77EC">
              <w:rPr>
                <w:b/>
                <w:sz w:val="18"/>
                <w:szCs w:val="18"/>
              </w:rPr>
              <w:t xml:space="preserve"> </w:t>
            </w:r>
            <w:r w:rsidRPr="009B77EC">
              <w:rPr>
                <w:sz w:val="18"/>
                <w:szCs w:val="18"/>
              </w:rPr>
              <w:t>(% p.</w:t>
            </w:r>
            <w:r w:rsidR="00541922" w:rsidRPr="009B77EC">
              <w:rPr>
                <w:sz w:val="18"/>
                <w:szCs w:val="18"/>
              </w:rPr>
              <w:t xml:space="preserve"> </w:t>
            </w:r>
            <w:r w:rsidRPr="009B77EC">
              <w:rPr>
                <w:sz w:val="18"/>
                <w:szCs w:val="18"/>
              </w:rPr>
              <w:t>a.)</w:t>
            </w:r>
            <w:bookmarkEnd w:id="19"/>
            <w:bookmarkEnd w:id="20"/>
            <w:bookmarkEnd w:id="21"/>
            <w:bookmarkEnd w:id="22"/>
          </w:p>
        </w:tc>
      </w:tr>
      <w:tr w:rsidR="008562EE" w:rsidRPr="009B77EC" w:rsidTr="00C424EB">
        <w:trPr>
          <w:trHeight w:val="2397"/>
        </w:trPr>
        <w:tc>
          <w:tcPr>
            <w:tcW w:w="4290" w:type="dxa"/>
            <w:tcBorders>
              <w:top w:val="nil"/>
              <w:left w:val="nil"/>
              <w:bottom w:val="nil"/>
              <w:right w:val="nil"/>
            </w:tcBorders>
            <w:noWrap/>
            <w:vAlign w:val="center"/>
          </w:tcPr>
          <w:p w:rsidR="00235994" w:rsidRPr="009B77EC" w:rsidRDefault="00C7794B" w:rsidP="00EA5365">
            <w:pPr>
              <w:jc w:val="center"/>
              <w:rPr>
                <w:sz w:val="18"/>
                <w:szCs w:val="18"/>
              </w:rPr>
            </w:pPr>
            <w:r w:rsidRPr="009B77EC">
              <w:rPr>
                <w:noProof/>
                <w:sz w:val="18"/>
                <w:szCs w:val="18"/>
              </w:rPr>
              <w:drawing>
                <wp:inline distT="0" distB="0" distL="0" distR="0" wp14:anchorId="5BFAAD25" wp14:editId="3AD14879">
                  <wp:extent cx="2619375" cy="2324100"/>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207" w:type="dxa"/>
            <w:tcBorders>
              <w:top w:val="nil"/>
              <w:left w:val="nil"/>
              <w:bottom w:val="nil"/>
              <w:right w:val="nil"/>
            </w:tcBorders>
            <w:noWrap/>
            <w:vAlign w:val="center"/>
          </w:tcPr>
          <w:p w:rsidR="00235994" w:rsidRPr="009B77EC" w:rsidRDefault="00235994" w:rsidP="00EA5365">
            <w:pPr>
              <w:jc w:val="center"/>
              <w:rPr>
                <w:sz w:val="18"/>
                <w:szCs w:val="18"/>
              </w:rPr>
            </w:pPr>
          </w:p>
        </w:tc>
        <w:tc>
          <w:tcPr>
            <w:tcW w:w="4634" w:type="dxa"/>
            <w:tcBorders>
              <w:top w:val="nil"/>
              <w:left w:val="nil"/>
              <w:bottom w:val="nil"/>
              <w:right w:val="nil"/>
            </w:tcBorders>
            <w:noWrap/>
            <w:vAlign w:val="center"/>
          </w:tcPr>
          <w:p w:rsidR="00235994" w:rsidRPr="009B77EC" w:rsidRDefault="008562EE" w:rsidP="00EA5365">
            <w:pPr>
              <w:jc w:val="center"/>
              <w:rPr>
                <w:sz w:val="18"/>
                <w:szCs w:val="18"/>
              </w:rPr>
            </w:pPr>
            <w:r w:rsidRPr="009B77EC">
              <w:rPr>
                <w:noProof/>
                <w:sz w:val="18"/>
                <w:szCs w:val="18"/>
              </w:rPr>
              <w:drawing>
                <wp:inline distT="0" distB="0" distL="0" distR="0" wp14:anchorId="09D6103E" wp14:editId="7439DC88">
                  <wp:extent cx="2827020" cy="2409825"/>
                  <wp:effectExtent l="0" t="0" r="0"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8562EE" w:rsidRPr="009B77EC" w:rsidTr="00C424EB">
        <w:trPr>
          <w:trHeight w:val="213"/>
        </w:trPr>
        <w:tc>
          <w:tcPr>
            <w:tcW w:w="4290" w:type="dxa"/>
            <w:tcBorders>
              <w:top w:val="single" w:sz="4" w:space="0" w:color="auto"/>
              <w:left w:val="nil"/>
              <w:bottom w:val="nil"/>
              <w:right w:val="nil"/>
            </w:tcBorders>
            <w:noWrap/>
            <w:vAlign w:val="center"/>
          </w:tcPr>
          <w:p w:rsidR="00235994" w:rsidRPr="009B77EC" w:rsidRDefault="00235994" w:rsidP="00EA5365">
            <w:pPr>
              <w:jc w:val="right"/>
              <w:rPr>
                <w:i/>
                <w:iCs/>
                <w:sz w:val="18"/>
                <w:szCs w:val="18"/>
              </w:rPr>
            </w:pPr>
            <w:r w:rsidRPr="009B77EC">
              <w:rPr>
                <w:i/>
                <w:iCs/>
                <w:sz w:val="18"/>
                <w:szCs w:val="18"/>
              </w:rPr>
              <w:t>Zdroj: Bloomberg</w:t>
            </w:r>
          </w:p>
        </w:tc>
        <w:tc>
          <w:tcPr>
            <w:tcW w:w="207" w:type="dxa"/>
            <w:tcBorders>
              <w:top w:val="nil"/>
              <w:left w:val="nil"/>
              <w:bottom w:val="nil"/>
              <w:right w:val="nil"/>
            </w:tcBorders>
            <w:noWrap/>
            <w:vAlign w:val="center"/>
          </w:tcPr>
          <w:p w:rsidR="00235994" w:rsidRPr="009B77EC" w:rsidRDefault="00235994" w:rsidP="00EA5365">
            <w:pPr>
              <w:jc w:val="right"/>
              <w:rPr>
                <w:sz w:val="18"/>
                <w:szCs w:val="18"/>
              </w:rPr>
            </w:pPr>
          </w:p>
        </w:tc>
        <w:tc>
          <w:tcPr>
            <w:tcW w:w="4634" w:type="dxa"/>
            <w:tcBorders>
              <w:top w:val="single" w:sz="4" w:space="0" w:color="auto"/>
              <w:left w:val="nil"/>
              <w:bottom w:val="nil"/>
              <w:right w:val="nil"/>
            </w:tcBorders>
            <w:noWrap/>
            <w:vAlign w:val="center"/>
          </w:tcPr>
          <w:p w:rsidR="00235994" w:rsidRPr="009B77EC" w:rsidRDefault="00235994" w:rsidP="00167F9C">
            <w:pPr>
              <w:jc w:val="right"/>
              <w:rPr>
                <w:i/>
                <w:iCs/>
                <w:sz w:val="18"/>
                <w:szCs w:val="18"/>
              </w:rPr>
            </w:pPr>
            <w:r w:rsidRPr="009B77EC">
              <w:rPr>
                <w:i/>
                <w:iCs/>
                <w:sz w:val="18"/>
                <w:szCs w:val="18"/>
              </w:rPr>
              <w:t>Zdroj:</w:t>
            </w:r>
            <w:r w:rsidR="00167F9C" w:rsidRPr="009B77EC">
              <w:rPr>
                <w:i/>
                <w:iCs/>
                <w:sz w:val="18"/>
                <w:szCs w:val="18"/>
              </w:rPr>
              <w:t>MFSR, Deutsche Bundesbank</w:t>
            </w:r>
          </w:p>
        </w:tc>
      </w:tr>
    </w:tbl>
    <w:p w:rsidR="00BF6BA9" w:rsidRPr="009B77EC" w:rsidRDefault="0001274C" w:rsidP="009B77EC">
      <w:pPr>
        <w:spacing w:before="240" w:after="120"/>
        <w:ind w:firstLine="708"/>
        <w:jc w:val="both"/>
        <w:rPr>
          <w:szCs w:val="22"/>
        </w:rPr>
      </w:pPr>
      <w:r w:rsidRPr="009B77EC">
        <w:rPr>
          <w:szCs w:val="22"/>
        </w:rPr>
        <w:t xml:space="preserve">Slovenská ekonomika </w:t>
      </w:r>
      <w:r w:rsidR="00BD7E48" w:rsidRPr="009B77EC">
        <w:rPr>
          <w:szCs w:val="22"/>
        </w:rPr>
        <w:t xml:space="preserve">si v tomto roku zopakuje silný rast o 3,6 %. Hlavnými ťahúňmi budú spotreba domácností, ale aj čistý export. </w:t>
      </w:r>
      <w:r w:rsidR="00BF6BA9" w:rsidRPr="009B77EC">
        <w:rPr>
          <w:szCs w:val="22"/>
        </w:rPr>
        <w:t xml:space="preserve">Pozitívny vývoj zaznamená aj trh práce. Už druhý </w:t>
      </w:r>
      <w:r w:rsidR="007D00D0" w:rsidRPr="009B77EC">
        <w:rPr>
          <w:szCs w:val="22"/>
        </w:rPr>
        <w:t xml:space="preserve">rok </w:t>
      </w:r>
      <w:r w:rsidR="00BF6BA9" w:rsidRPr="009B77EC">
        <w:rPr>
          <w:szCs w:val="22"/>
        </w:rPr>
        <w:t>po sebe prekročí rast zamestnanosti 2 %</w:t>
      </w:r>
      <w:r w:rsidR="006B1626" w:rsidRPr="009B77EC">
        <w:rPr>
          <w:szCs w:val="22"/>
        </w:rPr>
        <w:t xml:space="preserve"> </w:t>
      </w:r>
      <w:r w:rsidR="00BF6BA9" w:rsidRPr="009B77EC">
        <w:rPr>
          <w:szCs w:val="22"/>
        </w:rPr>
        <w:t>-</w:t>
      </w:r>
      <w:r w:rsidR="006B1626" w:rsidRPr="009B77EC">
        <w:rPr>
          <w:szCs w:val="22"/>
        </w:rPr>
        <w:t xml:space="preserve"> </w:t>
      </w:r>
      <w:r w:rsidR="00BF6BA9" w:rsidRPr="009B77EC">
        <w:rPr>
          <w:szCs w:val="22"/>
        </w:rPr>
        <w:t>nú a rast reálnych miezd 3 %</w:t>
      </w:r>
      <w:r w:rsidR="006B1626" w:rsidRPr="009B77EC">
        <w:rPr>
          <w:szCs w:val="22"/>
        </w:rPr>
        <w:t xml:space="preserve"> </w:t>
      </w:r>
      <w:r w:rsidR="00BF6BA9" w:rsidRPr="009B77EC">
        <w:rPr>
          <w:szCs w:val="22"/>
        </w:rPr>
        <w:t>-</w:t>
      </w:r>
      <w:r w:rsidR="006B1626" w:rsidRPr="009B77EC">
        <w:rPr>
          <w:szCs w:val="22"/>
        </w:rPr>
        <w:t xml:space="preserve"> </w:t>
      </w:r>
      <w:r w:rsidR="00BF6BA9" w:rsidRPr="009B77EC">
        <w:rPr>
          <w:szCs w:val="22"/>
        </w:rPr>
        <w:t xml:space="preserve">nú hranicu. Deflácia v roku 2016 </w:t>
      </w:r>
      <w:r w:rsidR="00082F85" w:rsidRPr="009B77EC">
        <w:rPr>
          <w:szCs w:val="22"/>
        </w:rPr>
        <w:t>prekoná</w:t>
      </w:r>
      <w:r w:rsidR="00BF6BA9" w:rsidRPr="009B77EC">
        <w:rPr>
          <w:szCs w:val="22"/>
        </w:rPr>
        <w:t xml:space="preserve"> minuloročnú hodnotu, keď ceny klesnú v priemere až o 0,5 %. </w:t>
      </w:r>
    </w:p>
    <w:p w:rsidR="00BF6BA9" w:rsidRPr="009B77EC" w:rsidRDefault="00BF6BA9" w:rsidP="009B77EC">
      <w:pPr>
        <w:spacing w:before="240" w:after="120"/>
        <w:ind w:firstLine="708"/>
        <w:jc w:val="both"/>
        <w:rPr>
          <w:szCs w:val="22"/>
        </w:rPr>
      </w:pPr>
      <w:r w:rsidRPr="009B77EC">
        <w:rPr>
          <w:szCs w:val="22"/>
        </w:rPr>
        <w:lastRenderedPageBreak/>
        <w:t>Aj na budúci rok bude ekonomika rásť svižným 3,5 % - ným tempom, a to i pri miernom vplyve Brexitu na ekonomiku eurozóny. Exportná výkonnosť zrýchli, tlmiť ju však bude situácia v externom prostredí v dôsledku referenda o vystúpení Veľkej Británie z EÚ.</w:t>
      </w:r>
      <w:r w:rsidRPr="009B77EC">
        <w:rPr>
          <w:sz w:val="28"/>
        </w:rPr>
        <w:t xml:space="preserve"> </w:t>
      </w:r>
      <w:r w:rsidRPr="009B77EC">
        <w:rPr>
          <w:szCs w:val="22"/>
        </w:rPr>
        <w:t xml:space="preserve">Predpokladáme, že v roku 2017 ukrojí </w:t>
      </w:r>
      <w:r w:rsidR="00082F85" w:rsidRPr="009B77EC">
        <w:rPr>
          <w:szCs w:val="22"/>
        </w:rPr>
        <w:t xml:space="preserve">Brexit </w:t>
      </w:r>
      <w:r w:rsidRPr="009B77EC">
        <w:rPr>
          <w:szCs w:val="22"/>
        </w:rPr>
        <w:t>z rastu slovenskej ekonomiky necelých 0,2 p. b. Pod vplyvom pokračujúcej výstavby automobilových závodov JLR a VW a</w:t>
      </w:r>
      <w:r w:rsidR="00CD5BD1" w:rsidRPr="009B77EC">
        <w:rPr>
          <w:szCs w:val="22"/>
        </w:rPr>
        <w:t xml:space="preserve"> výstavby bratislavského obchvatu </w:t>
      </w:r>
      <w:r w:rsidRPr="009B77EC">
        <w:rPr>
          <w:szCs w:val="22"/>
        </w:rPr>
        <w:t>D4/R7 významne zrýchli investičná aktivita. Pozvoľný návrat inflácie spomalí rast reálnych miezd, ktorý mierne pribrzdí tempo míňania domácností. Miera nezamestnanosti na úrovni 8,5 % zaznamená historické minimum.</w:t>
      </w:r>
    </w:p>
    <w:p w:rsidR="00043E8B" w:rsidRPr="009B77EC" w:rsidRDefault="00BF6BA9" w:rsidP="009B77EC">
      <w:pPr>
        <w:spacing w:before="240" w:after="120"/>
        <w:ind w:firstLine="708"/>
        <w:jc w:val="both"/>
        <w:rPr>
          <w:szCs w:val="22"/>
        </w:rPr>
      </w:pPr>
      <w:r w:rsidRPr="009B77EC">
        <w:rPr>
          <w:szCs w:val="22"/>
        </w:rPr>
        <w:t xml:space="preserve">V ďalších rokoch sa vďaka novým kapacitám v automobilovom priemysle očakáva postupné zrýchľovanie rastu HDP až </w:t>
      </w:r>
      <w:r w:rsidR="00CD5BD1" w:rsidRPr="009B77EC">
        <w:rPr>
          <w:szCs w:val="22"/>
        </w:rPr>
        <w:t>na</w:t>
      </w:r>
      <w:r w:rsidRPr="009B77EC">
        <w:rPr>
          <w:szCs w:val="22"/>
        </w:rPr>
        <w:t xml:space="preserve"> 4,</w:t>
      </w:r>
      <w:r w:rsidR="00082F85" w:rsidRPr="009B77EC">
        <w:rPr>
          <w:szCs w:val="22"/>
        </w:rPr>
        <w:t xml:space="preserve">4 </w:t>
      </w:r>
      <w:r w:rsidRPr="009B77EC">
        <w:rPr>
          <w:szCs w:val="22"/>
        </w:rPr>
        <w:t>% v roku 2019.</w:t>
      </w:r>
      <w:r w:rsidR="00082F85" w:rsidRPr="009B77EC">
        <w:rPr>
          <w:szCs w:val="22"/>
        </w:rPr>
        <w:t xml:space="preserve"> Rast bude rovnomerne ťahaný domácim aj zahraničným dopytom. Mzdy zrýchlia nad úroveň 4 % v súlade s rastom produktivity a inflácie. Inflácia sa vráti k inflačnému cieľu ECB až v závere roka 2019.</w:t>
      </w: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35"/>
        <w:gridCol w:w="819"/>
        <w:gridCol w:w="822"/>
        <w:gridCol w:w="811"/>
        <w:gridCol w:w="823"/>
        <w:gridCol w:w="803"/>
        <w:gridCol w:w="832"/>
      </w:tblGrid>
      <w:tr w:rsidR="00036B4D" w:rsidRPr="009B77EC" w:rsidTr="009B77EC">
        <w:trPr>
          <w:trHeight w:val="343"/>
          <w:jc w:val="center"/>
        </w:trPr>
        <w:tc>
          <w:tcPr>
            <w:tcW w:w="9245" w:type="dxa"/>
            <w:gridSpan w:val="7"/>
            <w:shd w:val="clear" w:color="auto" w:fill="A6A6A6" w:themeFill="background1" w:themeFillShade="A6"/>
            <w:noWrap/>
            <w:vAlign w:val="center"/>
            <w:hideMark/>
          </w:tcPr>
          <w:p w:rsidR="00036B4D" w:rsidRPr="009B77EC" w:rsidRDefault="0019148E" w:rsidP="00012B9A">
            <w:pPr>
              <w:contextualSpacing/>
              <w:rPr>
                <w:b/>
                <w:bCs/>
                <w:sz w:val="16"/>
                <w:szCs w:val="16"/>
              </w:rPr>
            </w:pPr>
            <w:r w:rsidRPr="009B77EC">
              <w:rPr>
                <w:sz w:val="16"/>
                <w:szCs w:val="16"/>
              </w:rPr>
              <w:br w:type="page"/>
            </w:r>
            <w:r w:rsidR="00036B4D" w:rsidRPr="009B77EC">
              <w:rPr>
                <w:b/>
                <w:sz w:val="16"/>
                <w:szCs w:val="16"/>
              </w:rPr>
              <w:t>Prognóza MF SR - hlavné indikátory ekonomiky (</w:t>
            </w:r>
            <w:r w:rsidR="00012B9A" w:rsidRPr="009B77EC">
              <w:rPr>
                <w:b/>
                <w:sz w:val="16"/>
                <w:szCs w:val="16"/>
              </w:rPr>
              <w:t>september</w:t>
            </w:r>
            <w:r w:rsidR="00036B4D" w:rsidRPr="009B77EC">
              <w:rPr>
                <w:b/>
                <w:sz w:val="16"/>
                <w:szCs w:val="16"/>
              </w:rPr>
              <w:t xml:space="preserve"> 201</w:t>
            </w:r>
            <w:r w:rsidR="002866E5" w:rsidRPr="009B77EC">
              <w:rPr>
                <w:b/>
                <w:sz w:val="16"/>
                <w:szCs w:val="16"/>
              </w:rPr>
              <w:t>6</w:t>
            </w:r>
            <w:r w:rsidR="00036B4D" w:rsidRPr="009B77EC">
              <w:rPr>
                <w:b/>
                <w:sz w:val="16"/>
                <w:szCs w:val="16"/>
              </w:rPr>
              <w:t>)</w:t>
            </w:r>
          </w:p>
        </w:tc>
      </w:tr>
      <w:tr w:rsidR="00036B4D" w:rsidRPr="009B77EC" w:rsidTr="009B77EC">
        <w:trPr>
          <w:trHeight w:val="343"/>
          <w:jc w:val="center"/>
        </w:trPr>
        <w:tc>
          <w:tcPr>
            <w:tcW w:w="4335" w:type="dxa"/>
            <w:shd w:val="clear" w:color="auto" w:fill="BFBFBF" w:themeFill="background1" w:themeFillShade="BF"/>
            <w:noWrap/>
            <w:vAlign w:val="center"/>
            <w:hideMark/>
          </w:tcPr>
          <w:p w:rsidR="00036B4D" w:rsidRPr="009B77EC" w:rsidRDefault="00036B4D" w:rsidP="00036B4D">
            <w:pPr>
              <w:rPr>
                <w:b/>
                <w:color w:val="000000"/>
                <w:sz w:val="16"/>
                <w:szCs w:val="16"/>
                <w:lang w:eastAsia="en-US"/>
              </w:rPr>
            </w:pPr>
            <w:r w:rsidRPr="009B77EC">
              <w:rPr>
                <w:b/>
                <w:color w:val="000000"/>
                <w:sz w:val="16"/>
                <w:szCs w:val="16"/>
                <w:lang w:eastAsia="en-US"/>
              </w:rPr>
              <w:t>Ukazovateľ (v %)</w:t>
            </w:r>
          </w:p>
        </w:tc>
        <w:tc>
          <w:tcPr>
            <w:tcW w:w="819" w:type="dxa"/>
            <w:shd w:val="clear" w:color="auto" w:fill="BFBFBF" w:themeFill="background1" w:themeFillShade="BF"/>
            <w:noWrap/>
            <w:vAlign w:val="center"/>
            <w:hideMark/>
          </w:tcPr>
          <w:p w:rsidR="00036B4D" w:rsidRPr="009B77EC" w:rsidRDefault="002866E5" w:rsidP="009B77EC">
            <w:pPr>
              <w:jc w:val="center"/>
              <w:rPr>
                <w:b/>
                <w:color w:val="000000"/>
                <w:sz w:val="16"/>
                <w:szCs w:val="16"/>
                <w:lang w:eastAsia="en-US"/>
              </w:rPr>
            </w:pPr>
            <w:r w:rsidRPr="009B77EC">
              <w:rPr>
                <w:b/>
                <w:color w:val="000000"/>
                <w:sz w:val="16"/>
                <w:szCs w:val="16"/>
                <w:lang w:eastAsia="en-US"/>
              </w:rPr>
              <w:t>2014</w:t>
            </w:r>
          </w:p>
        </w:tc>
        <w:tc>
          <w:tcPr>
            <w:tcW w:w="822" w:type="dxa"/>
            <w:shd w:val="clear" w:color="auto" w:fill="BFBFBF" w:themeFill="background1" w:themeFillShade="BF"/>
            <w:noWrap/>
            <w:vAlign w:val="center"/>
            <w:hideMark/>
          </w:tcPr>
          <w:p w:rsidR="00036B4D" w:rsidRPr="009B77EC" w:rsidRDefault="002866E5" w:rsidP="009B77EC">
            <w:pPr>
              <w:jc w:val="center"/>
              <w:rPr>
                <w:b/>
                <w:color w:val="000000"/>
                <w:sz w:val="16"/>
                <w:szCs w:val="16"/>
                <w:lang w:eastAsia="en-US"/>
              </w:rPr>
            </w:pPr>
            <w:r w:rsidRPr="009B77EC">
              <w:rPr>
                <w:b/>
                <w:color w:val="000000"/>
                <w:sz w:val="16"/>
                <w:szCs w:val="16"/>
                <w:lang w:eastAsia="en-US"/>
              </w:rPr>
              <w:t>2015</w:t>
            </w:r>
          </w:p>
        </w:tc>
        <w:tc>
          <w:tcPr>
            <w:tcW w:w="811" w:type="dxa"/>
            <w:shd w:val="clear" w:color="auto" w:fill="BFBFBF" w:themeFill="background1" w:themeFillShade="BF"/>
            <w:noWrap/>
            <w:vAlign w:val="center"/>
            <w:hideMark/>
          </w:tcPr>
          <w:p w:rsidR="00036B4D" w:rsidRPr="009B77EC" w:rsidRDefault="002866E5" w:rsidP="009B77EC">
            <w:pPr>
              <w:jc w:val="center"/>
              <w:rPr>
                <w:b/>
                <w:color w:val="000000"/>
                <w:sz w:val="16"/>
                <w:szCs w:val="16"/>
                <w:lang w:eastAsia="en-US"/>
              </w:rPr>
            </w:pPr>
            <w:r w:rsidRPr="009B77EC">
              <w:rPr>
                <w:b/>
                <w:color w:val="000000"/>
                <w:sz w:val="16"/>
                <w:szCs w:val="16"/>
                <w:lang w:eastAsia="en-US"/>
              </w:rPr>
              <w:t>2016</w:t>
            </w:r>
          </w:p>
        </w:tc>
        <w:tc>
          <w:tcPr>
            <w:tcW w:w="823" w:type="dxa"/>
            <w:shd w:val="clear" w:color="auto" w:fill="BFBFBF" w:themeFill="background1" w:themeFillShade="BF"/>
            <w:noWrap/>
            <w:vAlign w:val="center"/>
            <w:hideMark/>
          </w:tcPr>
          <w:p w:rsidR="00036B4D" w:rsidRPr="009B77EC" w:rsidRDefault="002866E5" w:rsidP="009B77EC">
            <w:pPr>
              <w:jc w:val="center"/>
              <w:rPr>
                <w:b/>
                <w:color w:val="000000"/>
                <w:sz w:val="16"/>
                <w:szCs w:val="16"/>
                <w:lang w:eastAsia="en-US"/>
              </w:rPr>
            </w:pPr>
            <w:r w:rsidRPr="009B77EC">
              <w:rPr>
                <w:b/>
                <w:color w:val="000000"/>
                <w:sz w:val="16"/>
                <w:szCs w:val="16"/>
                <w:lang w:eastAsia="en-US"/>
              </w:rPr>
              <w:t>2017</w:t>
            </w:r>
          </w:p>
        </w:tc>
        <w:tc>
          <w:tcPr>
            <w:tcW w:w="803" w:type="dxa"/>
            <w:shd w:val="clear" w:color="auto" w:fill="BFBFBF" w:themeFill="background1" w:themeFillShade="BF"/>
            <w:noWrap/>
            <w:vAlign w:val="center"/>
            <w:hideMark/>
          </w:tcPr>
          <w:p w:rsidR="00036B4D" w:rsidRPr="009B77EC" w:rsidRDefault="002866E5" w:rsidP="009B77EC">
            <w:pPr>
              <w:jc w:val="center"/>
              <w:rPr>
                <w:b/>
                <w:color w:val="000000"/>
                <w:sz w:val="16"/>
                <w:szCs w:val="16"/>
                <w:lang w:eastAsia="en-US"/>
              </w:rPr>
            </w:pPr>
            <w:r w:rsidRPr="009B77EC">
              <w:rPr>
                <w:b/>
                <w:color w:val="000000"/>
                <w:sz w:val="16"/>
                <w:szCs w:val="16"/>
                <w:lang w:eastAsia="en-US"/>
              </w:rPr>
              <w:t>2018</w:t>
            </w:r>
          </w:p>
        </w:tc>
        <w:tc>
          <w:tcPr>
            <w:tcW w:w="832" w:type="dxa"/>
            <w:shd w:val="clear" w:color="auto" w:fill="BFBFBF" w:themeFill="background1" w:themeFillShade="BF"/>
            <w:noWrap/>
            <w:vAlign w:val="center"/>
            <w:hideMark/>
          </w:tcPr>
          <w:p w:rsidR="00036B4D" w:rsidRPr="009B77EC" w:rsidRDefault="002866E5" w:rsidP="009B77EC">
            <w:pPr>
              <w:jc w:val="center"/>
              <w:rPr>
                <w:b/>
                <w:color w:val="000000"/>
                <w:sz w:val="16"/>
                <w:szCs w:val="16"/>
                <w:lang w:eastAsia="en-US"/>
              </w:rPr>
            </w:pPr>
            <w:r w:rsidRPr="009B77EC">
              <w:rPr>
                <w:b/>
                <w:color w:val="000000"/>
                <w:sz w:val="16"/>
                <w:szCs w:val="16"/>
                <w:lang w:eastAsia="en-US"/>
              </w:rPr>
              <w:t>2019</w:t>
            </w:r>
          </w:p>
        </w:tc>
      </w:tr>
      <w:tr w:rsidR="00272891" w:rsidRPr="009B77EC" w:rsidTr="009B77EC">
        <w:trPr>
          <w:trHeight w:val="343"/>
          <w:jc w:val="center"/>
        </w:trPr>
        <w:tc>
          <w:tcPr>
            <w:tcW w:w="4335" w:type="dxa"/>
            <w:shd w:val="clear" w:color="auto" w:fill="auto"/>
            <w:noWrap/>
            <w:vAlign w:val="center"/>
            <w:hideMark/>
          </w:tcPr>
          <w:p w:rsidR="00272891" w:rsidRPr="009B77EC" w:rsidRDefault="00272891" w:rsidP="00272891">
            <w:pPr>
              <w:rPr>
                <w:color w:val="000000"/>
                <w:sz w:val="16"/>
                <w:szCs w:val="16"/>
                <w:lang w:eastAsia="en-US"/>
              </w:rPr>
            </w:pPr>
            <w:r w:rsidRPr="009B77EC">
              <w:rPr>
                <w:color w:val="000000"/>
                <w:sz w:val="16"/>
                <w:szCs w:val="16"/>
                <w:lang w:eastAsia="en-US"/>
              </w:rPr>
              <w:t>HDP, reálny rast</w:t>
            </w:r>
          </w:p>
        </w:tc>
        <w:tc>
          <w:tcPr>
            <w:tcW w:w="819" w:type="dxa"/>
            <w:shd w:val="clear" w:color="auto" w:fill="auto"/>
            <w:noWrap/>
            <w:vAlign w:val="center"/>
            <w:hideMark/>
          </w:tcPr>
          <w:p w:rsidR="00272891" w:rsidRPr="009B77EC" w:rsidRDefault="00272891" w:rsidP="00272891">
            <w:pPr>
              <w:jc w:val="right"/>
              <w:rPr>
                <w:color w:val="000000"/>
                <w:sz w:val="16"/>
                <w:szCs w:val="16"/>
                <w:lang w:eastAsia="en-US"/>
              </w:rPr>
            </w:pPr>
            <w:r w:rsidRPr="009B77EC">
              <w:rPr>
                <w:color w:val="000000"/>
                <w:sz w:val="16"/>
                <w:szCs w:val="16"/>
                <w:lang w:eastAsia="en-US"/>
              </w:rPr>
              <w:t>2,5</w:t>
            </w:r>
          </w:p>
        </w:tc>
        <w:tc>
          <w:tcPr>
            <w:tcW w:w="822" w:type="dxa"/>
            <w:shd w:val="clear" w:color="auto" w:fill="auto"/>
            <w:noWrap/>
            <w:vAlign w:val="center"/>
            <w:hideMark/>
          </w:tcPr>
          <w:p w:rsidR="00272891" w:rsidRPr="009B77EC" w:rsidRDefault="00272891" w:rsidP="00272891">
            <w:pPr>
              <w:jc w:val="right"/>
              <w:rPr>
                <w:color w:val="000000"/>
                <w:sz w:val="16"/>
                <w:szCs w:val="16"/>
                <w:lang w:eastAsia="en-US"/>
              </w:rPr>
            </w:pPr>
            <w:r w:rsidRPr="009B77EC">
              <w:rPr>
                <w:color w:val="000000"/>
                <w:sz w:val="16"/>
                <w:szCs w:val="16"/>
                <w:lang w:eastAsia="en-US"/>
              </w:rPr>
              <w:t>3,6</w:t>
            </w:r>
          </w:p>
        </w:tc>
        <w:tc>
          <w:tcPr>
            <w:tcW w:w="811" w:type="dxa"/>
            <w:shd w:val="clear" w:color="auto" w:fill="auto"/>
            <w:noWrap/>
            <w:vAlign w:val="center"/>
            <w:hideMark/>
          </w:tcPr>
          <w:p w:rsidR="00272891" w:rsidRPr="009B77EC" w:rsidRDefault="00012B9A" w:rsidP="00272891">
            <w:pPr>
              <w:jc w:val="right"/>
              <w:rPr>
                <w:color w:val="000000"/>
                <w:sz w:val="16"/>
                <w:szCs w:val="16"/>
                <w:lang w:eastAsia="en-US"/>
              </w:rPr>
            </w:pPr>
            <w:r w:rsidRPr="009B77EC">
              <w:rPr>
                <w:color w:val="000000"/>
                <w:sz w:val="16"/>
                <w:szCs w:val="16"/>
                <w:lang w:eastAsia="en-US"/>
              </w:rPr>
              <w:t>3,6</w:t>
            </w:r>
          </w:p>
        </w:tc>
        <w:tc>
          <w:tcPr>
            <w:tcW w:w="823" w:type="dxa"/>
            <w:shd w:val="clear" w:color="auto" w:fill="auto"/>
            <w:noWrap/>
            <w:vAlign w:val="center"/>
            <w:hideMark/>
          </w:tcPr>
          <w:p w:rsidR="00272891" w:rsidRPr="009B77EC" w:rsidRDefault="00012B9A" w:rsidP="00272891">
            <w:pPr>
              <w:jc w:val="right"/>
              <w:rPr>
                <w:color w:val="000000"/>
                <w:sz w:val="16"/>
                <w:szCs w:val="16"/>
                <w:lang w:eastAsia="en-US"/>
              </w:rPr>
            </w:pPr>
            <w:r w:rsidRPr="009B77EC">
              <w:rPr>
                <w:color w:val="000000"/>
                <w:sz w:val="16"/>
                <w:szCs w:val="16"/>
                <w:lang w:eastAsia="en-US"/>
              </w:rPr>
              <w:t>3,5</w:t>
            </w:r>
          </w:p>
        </w:tc>
        <w:tc>
          <w:tcPr>
            <w:tcW w:w="803" w:type="dxa"/>
            <w:shd w:val="clear" w:color="auto" w:fill="auto"/>
            <w:noWrap/>
            <w:vAlign w:val="center"/>
            <w:hideMark/>
          </w:tcPr>
          <w:p w:rsidR="00272891" w:rsidRPr="009B77EC" w:rsidRDefault="00012B9A" w:rsidP="00272891">
            <w:pPr>
              <w:jc w:val="right"/>
              <w:rPr>
                <w:color w:val="000000"/>
                <w:sz w:val="16"/>
                <w:szCs w:val="16"/>
                <w:lang w:eastAsia="en-US"/>
              </w:rPr>
            </w:pPr>
            <w:r w:rsidRPr="009B77EC">
              <w:rPr>
                <w:color w:val="000000"/>
                <w:sz w:val="16"/>
                <w:szCs w:val="16"/>
                <w:lang w:eastAsia="en-US"/>
              </w:rPr>
              <w:t>3,9</w:t>
            </w:r>
          </w:p>
        </w:tc>
        <w:tc>
          <w:tcPr>
            <w:tcW w:w="832" w:type="dxa"/>
            <w:shd w:val="clear" w:color="auto" w:fill="auto"/>
            <w:vAlign w:val="center"/>
            <w:hideMark/>
          </w:tcPr>
          <w:p w:rsidR="00272891" w:rsidRPr="009B77EC" w:rsidRDefault="00012B9A" w:rsidP="00272891">
            <w:pPr>
              <w:jc w:val="right"/>
              <w:rPr>
                <w:color w:val="000000"/>
                <w:sz w:val="16"/>
                <w:szCs w:val="16"/>
                <w:lang w:eastAsia="en-US"/>
              </w:rPr>
            </w:pPr>
            <w:r w:rsidRPr="009B77EC">
              <w:rPr>
                <w:color w:val="000000"/>
                <w:sz w:val="16"/>
                <w:szCs w:val="16"/>
                <w:lang w:eastAsia="en-US"/>
              </w:rPr>
              <w:t>4,4</w:t>
            </w:r>
          </w:p>
        </w:tc>
      </w:tr>
      <w:tr w:rsidR="00036B4D" w:rsidRPr="009B77EC" w:rsidTr="009B77EC">
        <w:trPr>
          <w:trHeight w:val="343"/>
          <w:jc w:val="center"/>
        </w:trPr>
        <w:tc>
          <w:tcPr>
            <w:tcW w:w="4335" w:type="dxa"/>
            <w:shd w:val="clear" w:color="auto" w:fill="auto"/>
            <w:noWrap/>
            <w:vAlign w:val="center"/>
            <w:hideMark/>
          </w:tcPr>
          <w:p w:rsidR="00036B4D" w:rsidRPr="009B77EC" w:rsidRDefault="00036B4D" w:rsidP="00036B4D">
            <w:pPr>
              <w:rPr>
                <w:color w:val="000000"/>
                <w:sz w:val="16"/>
                <w:szCs w:val="16"/>
                <w:lang w:eastAsia="en-US"/>
              </w:rPr>
            </w:pPr>
            <w:r w:rsidRPr="009B77EC">
              <w:rPr>
                <w:color w:val="000000"/>
                <w:sz w:val="16"/>
                <w:szCs w:val="16"/>
                <w:lang w:eastAsia="en-US"/>
              </w:rPr>
              <w:t>Zamestnanosť (VZPS), rast</w:t>
            </w:r>
          </w:p>
        </w:tc>
        <w:tc>
          <w:tcPr>
            <w:tcW w:w="819" w:type="dxa"/>
            <w:shd w:val="clear" w:color="auto" w:fill="auto"/>
            <w:noWrap/>
            <w:vAlign w:val="center"/>
            <w:hideMark/>
          </w:tcPr>
          <w:p w:rsidR="00036B4D" w:rsidRPr="009B77EC" w:rsidRDefault="00272891" w:rsidP="00036B4D">
            <w:pPr>
              <w:jc w:val="right"/>
              <w:rPr>
                <w:color w:val="000000"/>
                <w:sz w:val="16"/>
                <w:szCs w:val="16"/>
                <w:lang w:eastAsia="en-US"/>
              </w:rPr>
            </w:pPr>
            <w:r w:rsidRPr="009B77EC">
              <w:rPr>
                <w:color w:val="000000"/>
                <w:sz w:val="16"/>
                <w:szCs w:val="16"/>
                <w:lang w:eastAsia="en-US"/>
              </w:rPr>
              <w:t>1,5</w:t>
            </w:r>
          </w:p>
        </w:tc>
        <w:tc>
          <w:tcPr>
            <w:tcW w:w="822" w:type="dxa"/>
            <w:shd w:val="clear" w:color="auto" w:fill="auto"/>
            <w:noWrap/>
            <w:vAlign w:val="center"/>
            <w:hideMark/>
          </w:tcPr>
          <w:p w:rsidR="00036B4D" w:rsidRPr="009B77EC" w:rsidRDefault="00272891" w:rsidP="00036B4D">
            <w:pPr>
              <w:jc w:val="right"/>
              <w:rPr>
                <w:color w:val="000000"/>
                <w:sz w:val="16"/>
                <w:szCs w:val="16"/>
                <w:lang w:eastAsia="en-US"/>
              </w:rPr>
            </w:pPr>
            <w:r w:rsidRPr="009B77EC">
              <w:rPr>
                <w:color w:val="000000"/>
                <w:sz w:val="16"/>
                <w:szCs w:val="16"/>
                <w:lang w:eastAsia="en-US"/>
              </w:rPr>
              <w:t>2,6</w:t>
            </w:r>
          </w:p>
        </w:tc>
        <w:tc>
          <w:tcPr>
            <w:tcW w:w="811" w:type="dxa"/>
            <w:shd w:val="clear" w:color="auto" w:fill="auto"/>
            <w:noWrap/>
            <w:vAlign w:val="center"/>
            <w:hideMark/>
          </w:tcPr>
          <w:p w:rsidR="00036B4D" w:rsidRPr="009B77EC" w:rsidRDefault="00012B9A" w:rsidP="00036B4D">
            <w:pPr>
              <w:jc w:val="right"/>
              <w:rPr>
                <w:color w:val="000000"/>
                <w:sz w:val="16"/>
                <w:szCs w:val="16"/>
                <w:lang w:eastAsia="en-US"/>
              </w:rPr>
            </w:pPr>
            <w:r w:rsidRPr="009B77EC">
              <w:rPr>
                <w:color w:val="000000"/>
                <w:sz w:val="16"/>
                <w:szCs w:val="16"/>
                <w:lang w:eastAsia="en-US"/>
              </w:rPr>
              <w:t>2,8</w:t>
            </w:r>
          </w:p>
        </w:tc>
        <w:tc>
          <w:tcPr>
            <w:tcW w:w="823" w:type="dxa"/>
            <w:shd w:val="clear" w:color="auto" w:fill="auto"/>
            <w:noWrap/>
            <w:vAlign w:val="center"/>
            <w:hideMark/>
          </w:tcPr>
          <w:p w:rsidR="00036B4D" w:rsidRPr="009B77EC" w:rsidRDefault="00012B9A" w:rsidP="00036B4D">
            <w:pPr>
              <w:jc w:val="right"/>
              <w:rPr>
                <w:color w:val="000000"/>
                <w:sz w:val="16"/>
                <w:szCs w:val="16"/>
                <w:lang w:eastAsia="en-US"/>
              </w:rPr>
            </w:pPr>
            <w:r w:rsidRPr="009B77EC">
              <w:rPr>
                <w:color w:val="000000"/>
                <w:sz w:val="16"/>
                <w:szCs w:val="16"/>
                <w:lang w:eastAsia="en-US"/>
              </w:rPr>
              <w:t>1,5</w:t>
            </w:r>
          </w:p>
        </w:tc>
        <w:tc>
          <w:tcPr>
            <w:tcW w:w="803" w:type="dxa"/>
            <w:shd w:val="clear" w:color="auto" w:fill="auto"/>
            <w:noWrap/>
            <w:vAlign w:val="center"/>
            <w:hideMark/>
          </w:tcPr>
          <w:p w:rsidR="00036B4D" w:rsidRPr="009B77EC" w:rsidRDefault="00012B9A" w:rsidP="00036B4D">
            <w:pPr>
              <w:jc w:val="right"/>
              <w:rPr>
                <w:color w:val="000000"/>
                <w:sz w:val="16"/>
                <w:szCs w:val="16"/>
                <w:lang w:eastAsia="en-US"/>
              </w:rPr>
            </w:pPr>
            <w:r w:rsidRPr="009B77EC">
              <w:rPr>
                <w:color w:val="000000"/>
                <w:sz w:val="16"/>
                <w:szCs w:val="16"/>
                <w:lang w:eastAsia="en-US"/>
              </w:rPr>
              <w:t>1,1</w:t>
            </w:r>
          </w:p>
        </w:tc>
        <w:tc>
          <w:tcPr>
            <w:tcW w:w="832" w:type="dxa"/>
            <w:shd w:val="clear" w:color="auto" w:fill="auto"/>
            <w:vAlign w:val="center"/>
            <w:hideMark/>
          </w:tcPr>
          <w:p w:rsidR="00036B4D" w:rsidRPr="009B77EC" w:rsidRDefault="00272891" w:rsidP="00036B4D">
            <w:pPr>
              <w:jc w:val="right"/>
              <w:rPr>
                <w:color w:val="000000"/>
                <w:sz w:val="16"/>
                <w:szCs w:val="16"/>
                <w:lang w:eastAsia="en-US"/>
              </w:rPr>
            </w:pPr>
            <w:r w:rsidRPr="009B77EC">
              <w:rPr>
                <w:color w:val="000000"/>
                <w:sz w:val="16"/>
                <w:szCs w:val="16"/>
                <w:lang w:eastAsia="en-US"/>
              </w:rPr>
              <w:t>1,0</w:t>
            </w:r>
          </w:p>
        </w:tc>
      </w:tr>
      <w:tr w:rsidR="00036B4D" w:rsidRPr="009B77EC" w:rsidTr="009B77EC">
        <w:trPr>
          <w:trHeight w:val="343"/>
          <w:jc w:val="center"/>
        </w:trPr>
        <w:tc>
          <w:tcPr>
            <w:tcW w:w="4335" w:type="dxa"/>
            <w:shd w:val="clear" w:color="auto" w:fill="auto"/>
            <w:noWrap/>
            <w:vAlign w:val="center"/>
            <w:hideMark/>
          </w:tcPr>
          <w:p w:rsidR="00036B4D" w:rsidRPr="009B77EC" w:rsidRDefault="00036B4D" w:rsidP="00036B4D">
            <w:pPr>
              <w:rPr>
                <w:color w:val="000000"/>
                <w:sz w:val="16"/>
                <w:szCs w:val="16"/>
                <w:lang w:eastAsia="en-US"/>
              </w:rPr>
            </w:pPr>
            <w:r w:rsidRPr="009B77EC">
              <w:rPr>
                <w:color w:val="000000"/>
                <w:sz w:val="16"/>
                <w:szCs w:val="16"/>
                <w:lang w:eastAsia="en-US"/>
              </w:rPr>
              <w:t>Miera nezamestnanosti (VZPS)</w:t>
            </w:r>
          </w:p>
        </w:tc>
        <w:tc>
          <w:tcPr>
            <w:tcW w:w="819" w:type="dxa"/>
            <w:shd w:val="clear" w:color="auto" w:fill="auto"/>
            <w:noWrap/>
            <w:vAlign w:val="center"/>
            <w:hideMark/>
          </w:tcPr>
          <w:p w:rsidR="00036B4D" w:rsidRPr="009B77EC" w:rsidRDefault="00272891" w:rsidP="00036B4D">
            <w:pPr>
              <w:jc w:val="right"/>
              <w:rPr>
                <w:color w:val="000000"/>
                <w:sz w:val="16"/>
                <w:szCs w:val="16"/>
                <w:lang w:eastAsia="en-US"/>
              </w:rPr>
            </w:pPr>
            <w:r w:rsidRPr="009B77EC">
              <w:rPr>
                <w:color w:val="000000"/>
                <w:sz w:val="16"/>
                <w:szCs w:val="16"/>
                <w:lang w:eastAsia="en-US"/>
              </w:rPr>
              <w:t>13,2</w:t>
            </w:r>
          </w:p>
        </w:tc>
        <w:tc>
          <w:tcPr>
            <w:tcW w:w="822" w:type="dxa"/>
            <w:shd w:val="clear" w:color="auto" w:fill="auto"/>
            <w:noWrap/>
            <w:vAlign w:val="center"/>
            <w:hideMark/>
          </w:tcPr>
          <w:p w:rsidR="00036B4D" w:rsidRPr="009B77EC" w:rsidRDefault="00272891" w:rsidP="00036B4D">
            <w:pPr>
              <w:jc w:val="right"/>
              <w:rPr>
                <w:color w:val="000000"/>
                <w:sz w:val="16"/>
                <w:szCs w:val="16"/>
                <w:lang w:eastAsia="en-US"/>
              </w:rPr>
            </w:pPr>
            <w:r w:rsidRPr="009B77EC">
              <w:rPr>
                <w:color w:val="000000"/>
                <w:sz w:val="16"/>
                <w:szCs w:val="16"/>
                <w:lang w:eastAsia="en-US"/>
              </w:rPr>
              <w:t>11,5</w:t>
            </w:r>
          </w:p>
        </w:tc>
        <w:tc>
          <w:tcPr>
            <w:tcW w:w="811" w:type="dxa"/>
            <w:shd w:val="clear" w:color="auto" w:fill="auto"/>
            <w:noWrap/>
            <w:vAlign w:val="center"/>
            <w:hideMark/>
          </w:tcPr>
          <w:p w:rsidR="00036B4D" w:rsidRPr="009B77EC" w:rsidRDefault="00012B9A" w:rsidP="00036B4D">
            <w:pPr>
              <w:jc w:val="right"/>
              <w:rPr>
                <w:color w:val="000000"/>
                <w:sz w:val="16"/>
                <w:szCs w:val="16"/>
                <w:lang w:eastAsia="en-US"/>
              </w:rPr>
            </w:pPr>
            <w:r w:rsidRPr="009B77EC">
              <w:rPr>
                <w:color w:val="000000"/>
                <w:sz w:val="16"/>
                <w:szCs w:val="16"/>
                <w:lang w:eastAsia="en-US"/>
              </w:rPr>
              <w:t>9,8</w:t>
            </w:r>
          </w:p>
        </w:tc>
        <w:tc>
          <w:tcPr>
            <w:tcW w:w="823" w:type="dxa"/>
            <w:shd w:val="clear" w:color="auto" w:fill="auto"/>
            <w:noWrap/>
            <w:vAlign w:val="center"/>
            <w:hideMark/>
          </w:tcPr>
          <w:p w:rsidR="00036B4D" w:rsidRPr="009B77EC" w:rsidRDefault="00012B9A" w:rsidP="00036B4D">
            <w:pPr>
              <w:jc w:val="right"/>
              <w:rPr>
                <w:color w:val="000000"/>
                <w:sz w:val="16"/>
                <w:szCs w:val="16"/>
                <w:lang w:eastAsia="en-US"/>
              </w:rPr>
            </w:pPr>
            <w:r w:rsidRPr="009B77EC">
              <w:rPr>
                <w:color w:val="000000"/>
                <w:sz w:val="16"/>
                <w:szCs w:val="16"/>
                <w:lang w:eastAsia="en-US"/>
              </w:rPr>
              <w:t>8,5</w:t>
            </w:r>
          </w:p>
        </w:tc>
        <w:tc>
          <w:tcPr>
            <w:tcW w:w="803" w:type="dxa"/>
            <w:shd w:val="clear" w:color="auto" w:fill="auto"/>
            <w:noWrap/>
            <w:vAlign w:val="center"/>
            <w:hideMark/>
          </w:tcPr>
          <w:p w:rsidR="00036B4D" w:rsidRPr="009B77EC" w:rsidRDefault="00012B9A" w:rsidP="00036B4D">
            <w:pPr>
              <w:jc w:val="right"/>
              <w:rPr>
                <w:color w:val="000000"/>
                <w:sz w:val="16"/>
                <w:szCs w:val="16"/>
                <w:lang w:eastAsia="en-US"/>
              </w:rPr>
            </w:pPr>
            <w:r w:rsidRPr="009B77EC">
              <w:rPr>
                <w:color w:val="000000"/>
                <w:sz w:val="16"/>
                <w:szCs w:val="16"/>
                <w:lang w:eastAsia="en-US"/>
              </w:rPr>
              <w:t>7,4</w:t>
            </w:r>
          </w:p>
        </w:tc>
        <w:tc>
          <w:tcPr>
            <w:tcW w:w="832" w:type="dxa"/>
            <w:shd w:val="clear" w:color="auto" w:fill="auto"/>
            <w:vAlign w:val="center"/>
            <w:hideMark/>
          </w:tcPr>
          <w:p w:rsidR="00036B4D" w:rsidRPr="009B77EC" w:rsidRDefault="00012B9A" w:rsidP="00036B4D">
            <w:pPr>
              <w:jc w:val="right"/>
              <w:rPr>
                <w:color w:val="000000"/>
                <w:sz w:val="16"/>
                <w:szCs w:val="16"/>
                <w:lang w:eastAsia="en-US"/>
              </w:rPr>
            </w:pPr>
            <w:r w:rsidRPr="009B77EC">
              <w:rPr>
                <w:color w:val="000000"/>
                <w:sz w:val="16"/>
                <w:szCs w:val="16"/>
                <w:lang w:eastAsia="en-US"/>
              </w:rPr>
              <w:t>6,4</w:t>
            </w:r>
          </w:p>
        </w:tc>
      </w:tr>
      <w:tr w:rsidR="00036B4D" w:rsidRPr="009B77EC" w:rsidTr="009B77EC">
        <w:trPr>
          <w:trHeight w:val="343"/>
          <w:jc w:val="center"/>
        </w:trPr>
        <w:tc>
          <w:tcPr>
            <w:tcW w:w="4335" w:type="dxa"/>
            <w:shd w:val="clear" w:color="auto" w:fill="auto"/>
            <w:noWrap/>
            <w:vAlign w:val="center"/>
            <w:hideMark/>
          </w:tcPr>
          <w:p w:rsidR="00036B4D" w:rsidRPr="009B77EC" w:rsidRDefault="00036B4D" w:rsidP="00036B4D">
            <w:pPr>
              <w:rPr>
                <w:color w:val="000000"/>
                <w:sz w:val="16"/>
                <w:szCs w:val="16"/>
                <w:lang w:eastAsia="en-US"/>
              </w:rPr>
            </w:pPr>
            <w:r w:rsidRPr="009B77EC">
              <w:rPr>
                <w:color w:val="000000"/>
                <w:sz w:val="16"/>
                <w:szCs w:val="16"/>
                <w:lang w:eastAsia="en-US"/>
              </w:rPr>
              <w:t>Reálna mzda, rast</w:t>
            </w:r>
          </w:p>
        </w:tc>
        <w:tc>
          <w:tcPr>
            <w:tcW w:w="819" w:type="dxa"/>
            <w:shd w:val="clear" w:color="auto" w:fill="auto"/>
            <w:noWrap/>
            <w:vAlign w:val="center"/>
            <w:hideMark/>
          </w:tcPr>
          <w:p w:rsidR="00036B4D" w:rsidRPr="009B77EC" w:rsidRDefault="00272891" w:rsidP="00036B4D">
            <w:pPr>
              <w:jc w:val="right"/>
              <w:rPr>
                <w:color w:val="000000"/>
                <w:sz w:val="16"/>
                <w:szCs w:val="16"/>
                <w:lang w:eastAsia="en-US"/>
              </w:rPr>
            </w:pPr>
            <w:r w:rsidRPr="009B77EC">
              <w:rPr>
                <w:color w:val="000000"/>
                <w:sz w:val="16"/>
                <w:szCs w:val="16"/>
                <w:lang w:eastAsia="en-US"/>
              </w:rPr>
              <w:t>4,2</w:t>
            </w:r>
          </w:p>
        </w:tc>
        <w:tc>
          <w:tcPr>
            <w:tcW w:w="822" w:type="dxa"/>
            <w:shd w:val="clear" w:color="auto" w:fill="auto"/>
            <w:noWrap/>
            <w:vAlign w:val="center"/>
            <w:hideMark/>
          </w:tcPr>
          <w:p w:rsidR="00036B4D" w:rsidRPr="009B77EC" w:rsidRDefault="00272891" w:rsidP="00036B4D">
            <w:pPr>
              <w:jc w:val="right"/>
              <w:rPr>
                <w:color w:val="000000"/>
                <w:sz w:val="16"/>
                <w:szCs w:val="16"/>
                <w:lang w:eastAsia="en-US"/>
              </w:rPr>
            </w:pPr>
            <w:r w:rsidRPr="009B77EC">
              <w:rPr>
                <w:color w:val="000000"/>
                <w:sz w:val="16"/>
                <w:szCs w:val="16"/>
                <w:lang w:eastAsia="en-US"/>
              </w:rPr>
              <w:t>3,3</w:t>
            </w:r>
          </w:p>
        </w:tc>
        <w:tc>
          <w:tcPr>
            <w:tcW w:w="811" w:type="dxa"/>
            <w:shd w:val="clear" w:color="auto" w:fill="auto"/>
            <w:noWrap/>
            <w:vAlign w:val="center"/>
            <w:hideMark/>
          </w:tcPr>
          <w:p w:rsidR="00036B4D" w:rsidRPr="009B77EC" w:rsidRDefault="00012B9A" w:rsidP="00036B4D">
            <w:pPr>
              <w:jc w:val="right"/>
              <w:rPr>
                <w:color w:val="000000"/>
                <w:sz w:val="16"/>
                <w:szCs w:val="16"/>
                <w:lang w:eastAsia="en-US"/>
              </w:rPr>
            </w:pPr>
            <w:r w:rsidRPr="009B77EC">
              <w:rPr>
                <w:color w:val="000000"/>
                <w:sz w:val="16"/>
                <w:szCs w:val="16"/>
                <w:lang w:eastAsia="en-US"/>
              </w:rPr>
              <w:t>3,3</w:t>
            </w:r>
          </w:p>
        </w:tc>
        <w:tc>
          <w:tcPr>
            <w:tcW w:w="823" w:type="dxa"/>
            <w:shd w:val="clear" w:color="auto" w:fill="auto"/>
            <w:noWrap/>
            <w:vAlign w:val="center"/>
            <w:hideMark/>
          </w:tcPr>
          <w:p w:rsidR="00036B4D" w:rsidRPr="009B77EC" w:rsidRDefault="00012B9A" w:rsidP="00036B4D">
            <w:pPr>
              <w:jc w:val="right"/>
              <w:rPr>
                <w:color w:val="000000"/>
                <w:sz w:val="16"/>
                <w:szCs w:val="16"/>
                <w:lang w:eastAsia="en-US"/>
              </w:rPr>
            </w:pPr>
            <w:r w:rsidRPr="009B77EC">
              <w:rPr>
                <w:color w:val="000000"/>
                <w:sz w:val="16"/>
                <w:szCs w:val="16"/>
                <w:lang w:eastAsia="en-US"/>
              </w:rPr>
              <w:t>2,6</w:t>
            </w:r>
          </w:p>
        </w:tc>
        <w:tc>
          <w:tcPr>
            <w:tcW w:w="803" w:type="dxa"/>
            <w:shd w:val="clear" w:color="auto" w:fill="auto"/>
            <w:noWrap/>
            <w:vAlign w:val="center"/>
            <w:hideMark/>
          </w:tcPr>
          <w:p w:rsidR="00036B4D" w:rsidRPr="009B77EC" w:rsidRDefault="00272891" w:rsidP="00036B4D">
            <w:pPr>
              <w:jc w:val="right"/>
              <w:rPr>
                <w:color w:val="000000"/>
                <w:sz w:val="16"/>
                <w:szCs w:val="16"/>
                <w:lang w:eastAsia="en-US"/>
              </w:rPr>
            </w:pPr>
            <w:r w:rsidRPr="009B77EC">
              <w:rPr>
                <w:color w:val="000000"/>
                <w:sz w:val="16"/>
                <w:szCs w:val="16"/>
                <w:lang w:eastAsia="en-US"/>
              </w:rPr>
              <w:t>2,7</w:t>
            </w:r>
          </w:p>
        </w:tc>
        <w:tc>
          <w:tcPr>
            <w:tcW w:w="832" w:type="dxa"/>
            <w:shd w:val="clear" w:color="auto" w:fill="auto"/>
            <w:vAlign w:val="center"/>
            <w:hideMark/>
          </w:tcPr>
          <w:p w:rsidR="00036B4D" w:rsidRPr="009B77EC" w:rsidRDefault="00012B9A" w:rsidP="00036B4D">
            <w:pPr>
              <w:jc w:val="right"/>
              <w:rPr>
                <w:color w:val="000000"/>
                <w:sz w:val="16"/>
                <w:szCs w:val="16"/>
                <w:lang w:eastAsia="en-US"/>
              </w:rPr>
            </w:pPr>
            <w:r w:rsidRPr="009B77EC">
              <w:rPr>
                <w:color w:val="000000"/>
                <w:sz w:val="16"/>
                <w:szCs w:val="16"/>
                <w:lang w:eastAsia="en-US"/>
              </w:rPr>
              <w:t>2,8</w:t>
            </w:r>
          </w:p>
        </w:tc>
      </w:tr>
      <w:tr w:rsidR="00036B4D" w:rsidRPr="009B77EC" w:rsidTr="009B77EC">
        <w:trPr>
          <w:trHeight w:val="343"/>
          <w:jc w:val="center"/>
        </w:trPr>
        <w:tc>
          <w:tcPr>
            <w:tcW w:w="4335" w:type="dxa"/>
            <w:shd w:val="clear" w:color="auto" w:fill="auto"/>
            <w:noWrap/>
            <w:vAlign w:val="center"/>
            <w:hideMark/>
          </w:tcPr>
          <w:p w:rsidR="00036B4D" w:rsidRPr="009B77EC" w:rsidRDefault="00036B4D" w:rsidP="00036B4D">
            <w:pPr>
              <w:rPr>
                <w:color w:val="000000"/>
                <w:sz w:val="16"/>
                <w:szCs w:val="16"/>
                <w:lang w:eastAsia="en-US"/>
              </w:rPr>
            </w:pPr>
            <w:r w:rsidRPr="009B77EC">
              <w:rPr>
                <w:color w:val="000000"/>
                <w:sz w:val="16"/>
                <w:szCs w:val="16"/>
                <w:lang w:eastAsia="en-US"/>
              </w:rPr>
              <w:t>Inflácia, priemerná  ročná; HICP</w:t>
            </w:r>
          </w:p>
        </w:tc>
        <w:tc>
          <w:tcPr>
            <w:tcW w:w="819" w:type="dxa"/>
            <w:shd w:val="clear" w:color="auto" w:fill="auto"/>
            <w:noWrap/>
            <w:vAlign w:val="center"/>
            <w:hideMark/>
          </w:tcPr>
          <w:p w:rsidR="00036B4D" w:rsidRPr="009B77EC" w:rsidRDefault="00272891" w:rsidP="00036B4D">
            <w:pPr>
              <w:jc w:val="right"/>
              <w:rPr>
                <w:color w:val="000000"/>
                <w:sz w:val="16"/>
                <w:szCs w:val="16"/>
                <w:lang w:eastAsia="en-US"/>
              </w:rPr>
            </w:pPr>
            <w:r w:rsidRPr="009B77EC">
              <w:rPr>
                <w:color w:val="000000"/>
                <w:sz w:val="16"/>
                <w:szCs w:val="16"/>
                <w:lang w:eastAsia="en-US"/>
              </w:rPr>
              <w:t>-0,1</w:t>
            </w:r>
          </w:p>
        </w:tc>
        <w:tc>
          <w:tcPr>
            <w:tcW w:w="822" w:type="dxa"/>
            <w:shd w:val="clear" w:color="auto" w:fill="auto"/>
            <w:noWrap/>
            <w:vAlign w:val="center"/>
            <w:hideMark/>
          </w:tcPr>
          <w:p w:rsidR="00036B4D" w:rsidRPr="009B77EC" w:rsidRDefault="00036B4D" w:rsidP="00272891">
            <w:pPr>
              <w:jc w:val="right"/>
              <w:rPr>
                <w:color w:val="000000"/>
                <w:sz w:val="16"/>
                <w:szCs w:val="16"/>
                <w:lang w:eastAsia="en-US"/>
              </w:rPr>
            </w:pPr>
            <w:r w:rsidRPr="009B77EC">
              <w:rPr>
                <w:color w:val="000000"/>
                <w:sz w:val="16"/>
                <w:szCs w:val="16"/>
                <w:lang w:eastAsia="en-US"/>
              </w:rPr>
              <w:t>-</w:t>
            </w:r>
            <w:r w:rsidR="00272891" w:rsidRPr="009B77EC">
              <w:rPr>
                <w:color w:val="000000"/>
                <w:sz w:val="16"/>
                <w:szCs w:val="16"/>
                <w:lang w:eastAsia="en-US"/>
              </w:rPr>
              <w:t>0,3</w:t>
            </w:r>
          </w:p>
        </w:tc>
        <w:tc>
          <w:tcPr>
            <w:tcW w:w="811" w:type="dxa"/>
            <w:shd w:val="clear" w:color="auto" w:fill="auto"/>
            <w:noWrap/>
            <w:vAlign w:val="center"/>
            <w:hideMark/>
          </w:tcPr>
          <w:p w:rsidR="00036B4D" w:rsidRPr="009B77EC" w:rsidRDefault="00012B9A" w:rsidP="00036B4D">
            <w:pPr>
              <w:jc w:val="right"/>
              <w:rPr>
                <w:color w:val="000000"/>
                <w:sz w:val="16"/>
                <w:szCs w:val="16"/>
                <w:lang w:eastAsia="en-US"/>
              </w:rPr>
            </w:pPr>
            <w:r w:rsidRPr="009B77EC">
              <w:rPr>
                <w:color w:val="000000"/>
                <w:sz w:val="16"/>
                <w:szCs w:val="16"/>
                <w:lang w:eastAsia="en-US"/>
              </w:rPr>
              <w:t>-0,5</w:t>
            </w:r>
          </w:p>
        </w:tc>
        <w:tc>
          <w:tcPr>
            <w:tcW w:w="823" w:type="dxa"/>
            <w:shd w:val="clear" w:color="auto" w:fill="auto"/>
            <w:noWrap/>
            <w:vAlign w:val="center"/>
            <w:hideMark/>
          </w:tcPr>
          <w:p w:rsidR="00036B4D" w:rsidRPr="009B77EC" w:rsidRDefault="00012B9A" w:rsidP="00036B4D">
            <w:pPr>
              <w:jc w:val="right"/>
              <w:rPr>
                <w:color w:val="000000"/>
                <w:sz w:val="16"/>
                <w:szCs w:val="16"/>
                <w:lang w:eastAsia="en-US"/>
              </w:rPr>
            </w:pPr>
            <w:r w:rsidRPr="009B77EC">
              <w:rPr>
                <w:color w:val="000000"/>
                <w:sz w:val="16"/>
                <w:szCs w:val="16"/>
                <w:lang w:eastAsia="en-US"/>
              </w:rPr>
              <w:t>0,9</w:t>
            </w:r>
          </w:p>
        </w:tc>
        <w:tc>
          <w:tcPr>
            <w:tcW w:w="803" w:type="dxa"/>
            <w:shd w:val="clear" w:color="auto" w:fill="auto"/>
            <w:noWrap/>
            <w:vAlign w:val="center"/>
            <w:hideMark/>
          </w:tcPr>
          <w:p w:rsidR="00036B4D" w:rsidRPr="009B77EC" w:rsidRDefault="00012B9A" w:rsidP="00036B4D">
            <w:pPr>
              <w:jc w:val="right"/>
              <w:rPr>
                <w:color w:val="000000"/>
                <w:sz w:val="16"/>
                <w:szCs w:val="16"/>
                <w:lang w:eastAsia="en-US"/>
              </w:rPr>
            </w:pPr>
            <w:r w:rsidRPr="009B77EC">
              <w:rPr>
                <w:color w:val="000000"/>
                <w:sz w:val="16"/>
                <w:szCs w:val="16"/>
                <w:lang w:eastAsia="en-US"/>
              </w:rPr>
              <w:t>1,6</w:t>
            </w:r>
          </w:p>
        </w:tc>
        <w:tc>
          <w:tcPr>
            <w:tcW w:w="832" w:type="dxa"/>
            <w:shd w:val="clear" w:color="auto" w:fill="auto"/>
            <w:vAlign w:val="center"/>
            <w:hideMark/>
          </w:tcPr>
          <w:p w:rsidR="00036B4D" w:rsidRPr="009B77EC" w:rsidRDefault="00012B9A" w:rsidP="00036B4D">
            <w:pPr>
              <w:jc w:val="right"/>
              <w:rPr>
                <w:color w:val="000000"/>
                <w:sz w:val="16"/>
                <w:szCs w:val="16"/>
                <w:lang w:eastAsia="en-US"/>
              </w:rPr>
            </w:pPr>
            <w:r w:rsidRPr="009B77EC">
              <w:rPr>
                <w:color w:val="000000"/>
                <w:sz w:val="16"/>
                <w:szCs w:val="16"/>
                <w:lang w:eastAsia="en-US"/>
              </w:rPr>
              <w:t>1,9</w:t>
            </w:r>
          </w:p>
        </w:tc>
      </w:tr>
      <w:tr w:rsidR="00036B4D" w:rsidRPr="009B77EC" w:rsidTr="009B77EC">
        <w:trPr>
          <w:trHeight w:val="343"/>
          <w:jc w:val="center"/>
        </w:trPr>
        <w:tc>
          <w:tcPr>
            <w:tcW w:w="4335" w:type="dxa"/>
            <w:tcBorders>
              <w:bottom w:val="single" w:sz="4" w:space="0" w:color="auto"/>
            </w:tcBorders>
            <w:shd w:val="clear" w:color="auto" w:fill="auto"/>
            <w:noWrap/>
            <w:vAlign w:val="center"/>
            <w:hideMark/>
          </w:tcPr>
          <w:p w:rsidR="00036B4D" w:rsidRPr="009B77EC" w:rsidRDefault="00036B4D" w:rsidP="00036B4D">
            <w:pPr>
              <w:rPr>
                <w:color w:val="000000"/>
                <w:sz w:val="16"/>
                <w:szCs w:val="16"/>
                <w:lang w:eastAsia="en-US"/>
              </w:rPr>
            </w:pPr>
            <w:r w:rsidRPr="009B77EC">
              <w:rPr>
                <w:color w:val="000000"/>
                <w:sz w:val="16"/>
                <w:szCs w:val="16"/>
                <w:lang w:eastAsia="en-US"/>
              </w:rPr>
              <w:t>Bežný účet, podiel na HDP</w:t>
            </w:r>
          </w:p>
        </w:tc>
        <w:tc>
          <w:tcPr>
            <w:tcW w:w="819" w:type="dxa"/>
            <w:tcBorders>
              <w:bottom w:val="single" w:sz="4" w:space="0" w:color="auto"/>
            </w:tcBorders>
            <w:shd w:val="clear" w:color="auto" w:fill="auto"/>
            <w:noWrap/>
            <w:vAlign w:val="center"/>
            <w:hideMark/>
          </w:tcPr>
          <w:p w:rsidR="00036B4D" w:rsidRPr="009B77EC" w:rsidRDefault="00272891" w:rsidP="00036B4D">
            <w:pPr>
              <w:jc w:val="right"/>
              <w:rPr>
                <w:color w:val="000000"/>
                <w:sz w:val="16"/>
                <w:szCs w:val="16"/>
                <w:lang w:eastAsia="en-US"/>
              </w:rPr>
            </w:pPr>
            <w:r w:rsidRPr="009B77EC">
              <w:rPr>
                <w:color w:val="000000"/>
                <w:sz w:val="16"/>
                <w:szCs w:val="16"/>
                <w:lang w:eastAsia="en-US"/>
              </w:rPr>
              <w:t>0,1</w:t>
            </w:r>
          </w:p>
        </w:tc>
        <w:tc>
          <w:tcPr>
            <w:tcW w:w="822" w:type="dxa"/>
            <w:tcBorders>
              <w:bottom w:val="single" w:sz="4" w:space="0" w:color="auto"/>
            </w:tcBorders>
            <w:shd w:val="clear" w:color="auto" w:fill="auto"/>
            <w:noWrap/>
            <w:vAlign w:val="center"/>
            <w:hideMark/>
          </w:tcPr>
          <w:p w:rsidR="00036B4D" w:rsidRPr="009B77EC" w:rsidRDefault="00272891" w:rsidP="00036B4D">
            <w:pPr>
              <w:jc w:val="right"/>
              <w:rPr>
                <w:color w:val="000000"/>
                <w:sz w:val="16"/>
                <w:szCs w:val="16"/>
                <w:lang w:eastAsia="en-US"/>
              </w:rPr>
            </w:pPr>
            <w:r w:rsidRPr="009B77EC">
              <w:rPr>
                <w:color w:val="000000"/>
                <w:sz w:val="16"/>
                <w:szCs w:val="16"/>
                <w:lang w:eastAsia="en-US"/>
              </w:rPr>
              <w:t>-1,3</w:t>
            </w:r>
          </w:p>
        </w:tc>
        <w:tc>
          <w:tcPr>
            <w:tcW w:w="811" w:type="dxa"/>
            <w:tcBorders>
              <w:bottom w:val="single" w:sz="4" w:space="0" w:color="auto"/>
            </w:tcBorders>
            <w:shd w:val="clear" w:color="auto" w:fill="auto"/>
            <w:noWrap/>
            <w:vAlign w:val="center"/>
            <w:hideMark/>
          </w:tcPr>
          <w:p w:rsidR="00036B4D" w:rsidRPr="009B77EC" w:rsidRDefault="00036B4D" w:rsidP="00272891">
            <w:pPr>
              <w:jc w:val="right"/>
              <w:rPr>
                <w:color w:val="000000"/>
                <w:sz w:val="16"/>
                <w:szCs w:val="16"/>
                <w:lang w:eastAsia="en-US"/>
              </w:rPr>
            </w:pPr>
            <w:r w:rsidRPr="009B77EC">
              <w:rPr>
                <w:color w:val="000000"/>
                <w:sz w:val="16"/>
                <w:szCs w:val="16"/>
                <w:lang w:eastAsia="en-US"/>
              </w:rPr>
              <w:t>-</w:t>
            </w:r>
            <w:r w:rsidR="00272891" w:rsidRPr="009B77EC">
              <w:rPr>
                <w:color w:val="000000"/>
                <w:sz w:val="16"/>
                <w:szCs w:val="16"/>
                <w:lang w:eastAsia="en-US"/>
              </w:rPr>
              <w:t>0,</w:t>
            </w:r>
            <w:r w:rsidR="00012B9A" w:rsidRPr="009B77EC">
              <w:rPr>
                <w:color w:val="000000"/>
                <w:sz w:val="16"/>
                <w:szCs w:val="16"/>
                <w:lang w:eastAsia="en-US"/>
              </w:rPr>
              <w:t>7</w:t>
            </w:r>
          </w:p>
        </w:tc>
        <w:tc>
          <w:tcPr>
            <w:tcW w:w="823" w:type="dxa"/>
            <w:tcBorders>
              <w:bottom w:val="single" w:sz="4" w:space="0" w:color="auto"/>
            </w:tcBorders>
            <w:shd w:val="clear" w:color="auto" w:fill="auto"/>
            <w:noWrap/>
            <w:vAlign w:val="center"/>
            <w:hideMark/>
          </w:tcPr>
          <w:p w:rsidR="00036B4D" w:rsidRPr="009B77EC" w:rsidRDefault="00012B9A" w:rsidP="00036B4D">
            <w:pPr>
              <w:jc w:val="right"/>
              <w:rPr>
                <w:color w:val="000000"/>
                <w:sz w:val="16"/>
                <w:szCs w:val="16"/>
                <w:lang w:eastAsia="en-US"/>
              </w:rPr>
            </w:pPr>
            <w:r w:rsidRPr="009B77EC">
              <w:rPr>
                <w:color w:val="000000"/>
                <w:sz w:val="16"/>
                <w:szCs w:val="16"/>
                <w:lang w:eastAsia="en-US"/>
              </w:rPr>
              <w:t>-0,3</w:t>
            </w:r>
          </w:p>
        </w:tc>
        <w:tc>
          <w:tcPr>
            <w:tcW w:w="803" w:type="dxa"/>
            <w:tcBorders>
              <w:bottom w:val="single" w:sz="4" w:space="0" w:color="auto"/>
            </w:tcBorders>
            <w:shd w:val="clear" w:color="auto" w:fill="auto"/>
            <w:noWrap/>
            <w:vAlign w:val="center"/>
            <w:hideMark/>
          </w:tcPr>
          <w:p w:rsidR="00036B4D" w:rsidRPr="009B77EC" w:rsidRDefault="00012B9A" w:rsidP="00036B4D">
            <w:pPr>
              <w:jc w:val="right"/>
              <w:rPr>
                <w:color w:val="000000"/>
                <w:sz w:val="16"/>
                <w:szCs w:val="16"/>
                <w:lang w:eastAsia="en-US"/>
              </w:rPr>
            </w:pPr>
            <w:r w:rsidRPr="009B77EC">
              <w:rPr>
                <w:color w:val="000000"/>
                <w:sz w:val="16"/>
                <w:szCs w:val="16"/>
                <w:lang w:eastAsia="en-US"/>
              </w:rPr>
              <w:t>0,5</w:t>
            </w:r>
          </w:p>
        </w:tc>
        <w:tc>
          <w:tcPr>
            <w:tcW w:w="832" w:type="dxa"/>
            <w:tcBorders>
              <w:bottom w:val="single" w:sz="4" w:space="0" w:color="auto"/>
            </w:tcBorders>
            <w:shd w:val="clear" w:color="auto" w:fill="auto"/>
            <w:vAlign w:val="center"/>
            <w:hideMark/>
          </w:tcPr>
          <w:p w:rsidR="00036B4D" w:rsidRPr="009B77EC" w:rsidRDefault="00012B9A" w:rsidP="00036B4D">
            <w:pPr>
              <w:jc w:val="right"/>
              <w:rPr>
                <w:color w:val="000000"/>
                <w:sz w:val="16"/>
                <w:szCs w:val="16"/>
                <w:lang w:eastAsia="en-US"/>
              </w:rPr>
            </w:pPr>
            <w:r w:rsidRPr="009B77EC">
              <w:rPr>
                <w:color w:val="000000"/>
                <w:sz w:val="16"/>
                <w:szCs w:val="16"/>
                <w:lang w:eastAsia="en-US"/>
              </w:rPr>
              <w:t>1,4</w:t>
            </w:r>
          </w:p>
        </w:tc>
      </w:tr>
      <w:tr w:rsidR="00036B4D" w:rsidRPr="009B77EC" w:rsidTr="009B77EC">
        <w:trPr>
          <w:trHeight w:val="343"/>
          <w:jc w:val="center"/>
        </w:trPr>
        <w:tc>
          <w:tcPr>
            <w:tcW w:w="9245" w:type="dxa"/>
            <w:gridSpan w:val="7"/>
            <w:tcBorders>
              <w:top w:val="single" w:sz="4" w:space="0" w:color="auto"/>
              <w:left w:val="nil"/>
              <w:bottom w:val="nil"/>
              <w:right w:val="nil"/>
            </w:tcBorders>
            <w:shd w:val="clear" w:color="auto" w:fill="auto"/>
            <w:noWrap/>
            <w:vAlign w:val="center"/>
            <w:hideMark/>
          </w:tcPr>
          <w:p w:rsidR="00036B4D" w:rsidRPr="009B77EC" w:rsidRDefault="009B77EC" w:rsidP="00036B4D">
            <w:pPr>
              <w:contextualSpacing/>
              <w:jc w:val="right"/>
              <w:rPr>
                <w:i/>
                <w:iCs/>
                <w:color w:val="000000"/>
                <w:sz w:val="16"/>
                <w:szCs w:val="16"/>
              </w:rPr>
            </w:pPr>
            <w:r>
              <w:rPr>
                <w:i/>
                <w:iCs/>
                <w:color w:val="000000"/>
                <w:sz w:val="16"/>
                <w:szCs w:val="16"/>
                <w:lang w:val="en-US" w:eastAsia="en-US"/>
              </w:rPr>
              <w:t>Z</w:t>
            </w:r>
            <w:r w:rsidR="00036B4D" w:rsidRPr="009B77EC">
              <w:rPr>
                <w:i/>
                <w:iCs/>
                <w:color w:val="000000"/>
                <w:sz w:val="16"/>
                <w:szCs w:val="16"/>
                <w:lang w:val="en-US" w:eastAsia="en-US"/>
              </w:rPr>
              <w:t>droj: MF SR</w:t>
            </w:r>
          </w:p>
        </w:tc>
      </w:tr>
    </w:tbl>
    <w:p w:rsidR="00EF7E58" w:rsidRPr="009B77EC" w:rsidRDefault="00BA2F20" w:rsidP="003D6D9A">
      <w:pPr>
        <w:pStyle w:val="Nadpis2"/>
        <w:keepLines/>
        <w:numPr>
          <w:ilvl w:val="1"/>
          <w:numId w:val="9"/>
        </w:numPr>
        <w:spacing w:before="200" w:after="240" w:line="276" w:lineRule="auto"/>
        <w:ind w:left="720" w:hanging="720"/>
        <w:jc w:val="both"/>
        <w:rPr>
          <w:rFonts w:ascii="Times New Roman" w:hAnsi="Times New Roman" w:cs="Times New Roman"/>
          <w:bCs w:val="0"/>
          <w:i w:val="0"/>
          <w:iCs w:val="0"/>
          <w:color w:val="000000" w:themeColor="text1"/>
          <w:sz w:val="24"/>
        </w:rPr>
      </w:pPr>
      <w:bookmarkStart w:id="23" w:name="_Toc394471515"/>
      <w:bookmarkStart w:id="24" w:name="_Toc422906269"/>
      <w:bookmarkStart w:id="25" w:name="_Toc463036706"/>
      <w:r w:rsidRPr="009B77EC">
        <w:rPr>
          <w:rFonts w:ascii="Times New Roman" w:hAnsi="Times New Roman" w:cs="Times New Roman"/>
          <w:bCs w:val="0"/>
          <w:i w:val="0"/>
          <w:iCs w:val="0"/>
          <w:color w:val="000000" w:themeColor="text1"/>
          <w:sz w:val="24"/>
        </w:rPr>
        <w:t>Fiškálny výhľad</w:t>
      </w:r>
      <w:bookmarkEnd w:id="23"/>
      <w:bookmarkEnd w:id="24"/>
      <w:bookmarkEnd w:id="25"/>
    </w:p>
    <w:p w:rsidR="0079325D" w:rsidRPr="009B77EC" w:rsidRDefault="00B6701C" w:rsidP="009B77EC">
      <w:pPr>
        <w:spacing w:before="240" w:after="240"/>
        <w:ind w:firstLine="708"/>
        <w:jc w:val="both"/>
        <w:rPr>
          <w:szCs w:val="22"/>
        </w:rPr>
      </w:pPr>
      <w:r w:rsidRPr="009B77EC">
        <w:rPr>
          <w:szCs w:val="22"/>
        </w:rPr>
        <w:t xml:space="preserve">Konsolidácia verejných financií bude v nasledujúcich rokoch 2017 až 2019 </w:t>
      </w:r>
      <w:r w:rsidR="00FE48A0" w:rsidRPr="009B77EC">
        <w:rPr>
          <w:szCs w:val="22"/>
        </w:rPr>
        <w:t xml:space="preserve">prebiehať </w:t>
      </w:r>
      <w:r w:rsidRPr="009B77EC">
        <w:rPr>
          <w:szCs w:val="22"/>
        </w:rPr>
        <w:t>v súlade s programovým vyhlásením vlády</w:t>
      </w:r>
      <w:r w:rsidR="00FE48A0" w:rsidRPr="009B77EC">
        <w:rPr>
          <w:szCs w:val="22"/>
        </w:rPr>
        <w:t xml:space="preserve"> SR</w:t>
      </w:r>
      <w:r w:rsidRPr="009B77EC">
        <w:rPr>
          <w:szCs w:val="22"/>
        </w:rPr>
        <w:t xml:space="preserve"> z roku 2016. Za predpokladu naplnenia stanovených rozpočtových cieľov sa očakáva dosiahnutie vyrovnaného rozpočtu do roku 2020.</w:t>
      </w:r>
    </w:p>
    <w:p w:rsidR="00EF7E58" w:rsidRPr="009B77EC" w:rsidRDefault="00B6701C" w:rsidP="009B77EC">
      <w:pPr>
        <w:spacing w:before="240" w:after="240"/>
        <w:ind w:firstLine="708"/>
        <w:jc w:val="both"/>
        <w:rPr>
          <w:szCs w:val="22"/>
        </w:rPr>
      </w:pPr>
      <w:r w:rsidRPr="009B77EC">
        <w:rPr>
          <w:szCs w:val="22"/>
        </w:rPr>
        <w:t xml:space="preserve">Na rok 2015 bol stanovený cieľ </w:t>
      </w:r>
      <w:r w:rsidR="0079325D" w:rsidRPr="009B77EC">
        <w:rPr>
          <w:szCs w:val="22"/>
        </w:rPr>
        <w:t xml:space="preserve">nominálneho </w:t>
      </w:r>
      <w:r w:rsidRPr="009B77EC">
        <w:rPr>
          <w:szCs w:val="22"/>
        </w:rPr>
        <w:t>deficitu vo výške 2,5 % HDP</w:t>
      </w:r>
      <w:r w:rsidR="00AC5360" w:rsidRPr="009B77EC">
        <w:rPr>
          <w:szCs w:val="22"/>
        </w:rPr>
        <w:t xml:space="preserve">. Aktualizovaná hodnota v apríli notifikovaného deficitu </w:t>
      </w:r>
      <w:r w:rsidR="00F345F6" w:rsidRPr="009B77EC">
        <w:rPr>
          <w:szCs w:val="22"/>
        </w:rPr>
        <w:t xml:space="preserve">za rok 2015 </w:t>
      </w:r>
      <w:r w:rsidR="00AC5360" w:rsidRPr="009B77EC">
        <w:rPr>
          <w:szCs w:val="22"/>
        </w:rPr>
        <w:t>o schválenú aktualizáciu daňových príjmov zo septembrového Výboru pre daňové</w:t>
      </w:r>
      <w:r w:rsidR="00FB5876" w:rsidRPr="009B77EC">
        <w:rPr>
          <w:szCs w:val="22"/>
        </w:rPr>
        <w:t xml:space="preserve"> </w:t>
      </w:r>
      <w:r w:rsidR="00AC5360" w:rsidRPr="009B77EC">
        <w:rPr>
          <w:szCs w:val="22"/>
        </w:rPr>
        <w:t>prognózy</w:t>
      </w:r>
      <w:r w:rsidRPr="009B77EC">
        <w:rPr>
          <w:szCs w:val="22"/>
        </w:rPr>
        <w:t xml:space="preserve"> dosiahla </w:t>
      </w:r>
      <w:r w:rsidR="00F345F6" w:rsidRPr="009B77EC">
        <w:rPr>
          <w:szCs w:val="22"/>
        </w:rPr>
        <w:t>úroveň 2</w:t>
      </w:r>
      <w:r w:rsidRPr="009B77EC">
        <w:rPr>
          <w:szCs w:val="22"/>
        </w:rPr>
        <w:t>,</w:t>
      </w:r>
      <w:r w:rsidR="00F345F6" w:rsidRPr="009B77EC">
        <w:rPr>
          <w:szCs w:val="22"/>
        </w:rPr>
        <w:t>7</w:t>
      </w:r>
      <w:r w:rsidRPr="009B77EC">
        <w:rPr>
          <w:szCs w:val="22"/>
        </w:rPr>
        <w:t xml:space="preserve"> % HDP. V strednodobom horizonte je hlavným cieľom vytvorenie podmienok pre dosiahnutie dlhodobej udržateľnosti verejných financií. To si vyža</w:t>
      </w:r>
      <w:r w:rsidR="00F345F6" w:rsidRPr="009B77EC">
        <w:rPr>
          <w:szCs w:val="22"/>
        </w:rPr>
        <w:t>duje pokračovanie v konsolidácii</w:t>
      </w:r>
      <w:r w:rsidRPr="009B77EC">
        <w:rPr>
          <w:szCs w:val="22"/>
        </w:rPr>
        <w:t xml:space="preserve"> verejných financií aj po roku 2016 tak, aby Slovensko smerovalo k svojmu strednodobému rozpočtovému cieľu</w:t>
      </w:r>
      <w:r w:rsidRPr="009B77EC">
        <w:rPr>
          <w:szCs w:val="22"/>
          <w:vertAlign w:val="superscript"/>
        </w:rPr>
        <w:footnoteReference w:id="2"/>
      </w:r>
      <w:r w:rsidRPr="009B77EC">
        <w:rPr>
          <w:szCs w:val="22"/>
        </w:rPr>
        <w:t xml:space="preserve">. </w:t>
      </w:r>
    </w:p>
    <w:p w:rsidR="00EF7E58" w:rsidRPr="009B77EC" w:rsidRDefault="00C501FD" w:rsidP="009B77EC">
      <w:pPr>
        <w:spacing w:before="240" w:after="240"/>
        <w:ind w:firstLine="708"/>
        <w:jc w:val="both"/>
        <w:rPr>
          <w:szCs w:val="22"/>
        </w:rPr>
      </w:pPr>
      <w:r w:rsidRPr="009B77EC">
        <w:rPr>
          <w:szCs w:val="22"/>
        </w:rPr>
        <w:t>Rozpočet</w:t>
      </w:r>
      <w:r w:rsidR="00B6701C" w:rsidRPr="009B77EC">
        <w:rPr>
          <w:szCs w:val="22"/>
        </w:rPr>
        <w:t xml:space="preserve"> verejnej správy na roky 2017 až 2019 stanovuje fiškálne ciele na nasledujúce roky v</w:t>
      </w:r>
      <w:r w:rsidR="0079325D" w:rsidRPr="009B77EC">
        <w:rPr>
          <w:szCs w:val="22"/>
        </w:rPr>
        <w:t> </w:t>
      </w:r>
      <w:r w:rsidR="00B6701C" w:rsidRPr="009B77EC">
        <w:rPr>
          <w:szCs w:val="22"/>
        </w:rPr>
        <w:t>podobe</w:t>
      </w:r>
      <w:r w:rsidR="0079325D" w:rsidRPr="009B77EC">
        <w:rPr>
          <w:szCs w:val="22"/>
        </w:rPr>
        <w:t xml:space="preserve"> </w:t>
      </w:r>
      <w:r w:rsidR="003D6D9A" w:rsidRPr="009B77EC">
        <w:rPr>
          <w:szCs w:val="22"/>
        </w:rPr>
        <w:t>nominálneho</w:t>
      </w:r>
      <w:r w:rsidR="00B6701C" w:rsidRPr="009B77EC">
        <w:rPr>
          <w:szCs w:val="22"/>
        </w:rPr>
        <w:t xml:space="preserve"> deficitu verejnej správy na úrovni 1,29 % HDP v roku 2017. V roku 2018 by mal deficit ďalej klesnúť na 0,44 % HDP a v roku 2019 by mal byť dosiahnutý rozpočtový prebytok vo výške 0,16 % HDP. </w:t>
      </w:r>
    </w:p>
    <w:p w:rsidR="00B6701C" w:rsidRPr="009B77EC" w:rsidRDefault="00B6701C" w:rsidP="009B77EC">
      <w:pPr>
        <w:spacing w:before="240" w:after="240"/>
        <w:ind w:firstLine="708"/>
        <w:jc w:val="both"/>
        <w:rPr>
          <w:szCs w:val="22"/>
        </w:rPr>
      </w:pPr>
      <w:r w:rsidRPr="00F93306">
        <w:rPr>
          <w:szCs w:val="22"/>
        </w:rPr>
        <w:t xml:space="preserve">Ku koncu roka 2015 dosiahol hrubý dlh verejnej správy 52,9 % HDP. </w:t>
      </w:r>
      <w:r w:rsidR="00397C67" w:rsidRPr="00F93306">
        <w:t xml:space="preserve">Oproti roku 2014 došlo k medziročnému zníženiu dlhu v pomere k HDP o 1 p.b., zatiaľ čo v nominálnom vyjadrení narástol o 568 mil. eur. K medziročnému zníženiu dlhu v pomere k HDP o 1 p.b. došlo aj napriek skutočnosti, že na základe rozhodnutia Eurostatu bola do sektora verejnej správy zaradená ŽSSK. Toto rozhodnutie predstavovalo negatívny vplyv na dlh vo výške </w:t>
      </w:r>
      <w:r w:rsidR="00F93306">
        <w:br/>
      </w:r>
      <w:r w:rsidR="00397C67" w:rsidRPr="00F93306">
        <w:lastRenderedPageBreak/>
        <w:t>0,4 % HDP (312 mil. eur) a viedlo k jeho spätnej revízii za minulé roky. Na pokles dlhu v roku 2015 pozitívne vplývali viaceré faktory. Ide najmä o dosiahnutie nižšieho ako rozpočtovaného hotovostného schodku štátneho rozpočtu, rast nominálneho HDP a aktívne riadenie hotovostnej rezervy štátu, ktorej zdroje sa navýšili aj v súvislosti s predajom časti podielu v Slovak Telekom a otvorením druhého dôchodkového piliera.</w:t>
      </w:r>
      <w:r w:rsidRPr="009B77EC">
        <w:rPr>
          <w:szCs w:val="22"/>
        </w:rPr>
        <w:t xml:space="preserve"> </w:t>
      </w:r>
    </w:p>
    <w:p w:rsidR="00B6701C" w:rsidRPr="009B77EC" w:rsidRDefault="00B6701C" w:rsidP="009B77EC">
      <w:pPr>
        <w:autoSpaceDE w:val="0"/>
        <w:autoSpaceDN w:val="0"/>
        <w:adjustRightInd w:val="0"/>
        <w:spacing w:after="240"/>
        <w:ind w:firstLine="708"/>
        <w:jc w:val="both"/>
        <w:rPr>
          <w:b/>
          <w:szCs w:val="22"/>
        </w:rPr>
      </w:pPr>
      <w:r w:rsidRPr="009B77EC">
        <w:rPr>
          <w:b/>
          <w:szCs w:val="22"/>
        </w:rPr>
        <w:t>Za predpokladu naplnenia rozpočtových cieľov možno očakávať, že hrubý dlh verejnej správy bude v p</w:t>
      </w:r>
      <w:r w:rsidR="00726121" w:rsidRPr="009B77EC">
        <w:rPr>
          <w:b/>
          <w:szCs w:val="22"/>
        </w:rPr>
        <w:t>omere k HDP postupne klesať až na hranicu</w:t>
      </w:r>
      <w:r w:rsidRPr="009B77EC">
        <w:rPr>
          <w:b/>
          <w:szCs w:val="22"/>
        </w:rPr>
        <w:t xml:space="preserve"> 4</w:t>
      </w:r>
      <w:r w:rsidR="00E66AB7" w:rsidRPr="009B77EC">
        <w:rPr>
          <w:b/>
          <w:szCs w:val="22"/>
        </w:rPr>
        <w:t>9,1</w:t>
      </w:r>
      <w:r w:rsidRPr="009B77EC">
        <w:rPr>
          <w:b/>
          <w:szCs w:val="22"/>
        </w:rPr>
        <w:t xml:space="preserve"> % HDP v roku 2019.</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74"/>
        <w:gridCol w:w="746"/>
        <w:gridCol w:w="804"/>
        <w:gridCol w:w="804"/>
        <w:gridCol w:w="804"/>
        <w:gridCol w:w="804"/>
        <w:gridCol w:w="804"/>
        <w:gridCol w:w="886"/>
      </w:tblGrid>
      <w:tr w:rsidR="0079325D" w:rsidRPr="009B77EC" w:rsidTr="009B77EC">
        <w:trPr>
          <w:trHeight w:val="327"/>
          <w:jc w:val="center"/>
        </w:trPr>
        <w:tc>
          <w:tcPr>
            <w:tcW w:w="8926" w:type="dxa"/>
            <w:gridSpan w:val="8"/>
            <w:shd w:val="clear" w:color="auto" w:fill="A6A6A6" w:themeFill="background1" w:themeFillShade="A6"/>
            <w:vAlign w:val="center"/>
          </w:tcPr>
          <w:p w:rsidR="0079325D" w:rsidRPr="009B77EC" w:rsidRDefault="0079325D" w:rsidP="00CD5BD1">
            <w:pPr>
              <w:rPr>
                <w:b/>
                <w:bCs/>
                <w:sz w:val="16"/>
                <w:szCs w:val="16"/>
                <w:lang w:eastAsia="en-US"/>
              </w:rPr>
            </w:pPr>
            <w:r w:rsidRPr="009B77EC">
              <w:rPr>
                <w:b/>
                <w:sz w:val="16"/>
                <w:szCs w:val="16"/>
              </w:rPr>
              <w:t>Vývoj salda</w:t>
            </w:r>
            <w:r w:rsidR="00B61946" w:rsidRPr="009B77EC">
              <w:rPr>
                <w:b/>
                <w:sz w:val="16"/>
                <w:szCs w:val="16"/>
              </w:rPr>
              <w:t xml:space="preserve"> (ESA 2010, % HDP)</w:t>
            </w:r>
            <w:r w:rsidRPr="009B77EC">
              <w:rPr>
                <w:b/>
                <w:sz w:val="16"/>
                <w:szCs w:val="16"/>
              </w:rPr>
              <w:t xml:space="preserve"> a dlhu verejnej správy (</w:t>
            </w:r>
            <w:r w:rsidR="00B61946" w:rsidRPr="009B77EC">
              <w:rPr>
                <w:b/>
                <w:sz w:val="16"/>
                <w:szCs w:val="16"/>
              </w:rPr>
              <w:t>cash</w:t>
            </w:r>
            <w:r w:rsidRPr="009B77EC">
              <w:rPr>
                <w:b/>
                <w:sz w:val="16"/>
                <w:szCs w:val="16"/>
              </w:rPr>
              <w:t>, % HDP)</w:t>
            </w:r>
          </w:p>
        </w:tc>
      </w:tr>
      <w:tr w:rsidR="0079325D" w:rsidRPr="009B77EC" w:rsidTr="009B77EC">
        <w:trPr>
          <w:trHeight w:val="327"/>
          <w:jc w:val="center"/>
        </w:trPr>
        <w:tc>
          <w:tcPr>
            <w:tcW w:w="3274" w:type="dxa"/>
            <w:shd w:val="clear" w:color="auto" w:fill="BFBFBF" w:themeFill="background1" w:themeFillShade="BF"/>
            <w:noWrap/>
            <w:vAlign w:val="center"/>
          </w:tcPr>
          <w:p w:rsidR="0079325D" w:rsidRPr="009B77EC" w:rsidRDefault="0079325D" w:rsidP="00CD5BD1">
            <w:pPr>
              <w:rPr>
                <w:b/>
                <w:bCs/>
                <w:color w:val="000000"/>
                <w:sz w:val="16"/>
                <w:szCs w:val="16"/>
                <w:lang w:eastAsia="en-US"/>
              </w:rPr>
            </w:pPr>
            <w:r w:rsidRPr="009B77EC">
              <w:rPr>
                <w:b/>
                <w:bCs/>
                <w:color w:val="000000"/>
                <w:sz w:val="16"/>
                <w:szCs w:val="16"/>
                <w:lang w:eastAsia="en-US"/>
              </w:rPr>
              <w:t> </w:t>
            </w:r>
          </w:p>
        </w:tc>
        <w:tc>
          <w:tcPr>
            <w:tcW w:w="746" w:type="dxa"/>
            <w:shd w:val="clear" w:color="auto" w:fill="BFBFBF" w:themeFill="background1" w:themeFillShade="BF"/>
            <w:noWrap/>
            <w:vAlign w:val="center"/>
          </w:tcPr>
          <w:p w:rsidR="0079325D" w:rsidRPr="009B77EC" w:rsidRDefault="0079325D" w:rsidP="009B77EC">
            <w:pPr>
              <w:jc w:val="center"/>
              <w:rPr>
                <w:b/>
                <w:bCs/>
                <w:color w:val="000000"/>
                <w:sz w:val="16"/>
                <w:szCs w:val="16"/>
                <w:lang w:eastAsia="en-US"/>
              </w:rPr>
            </w:pPr>
            <w:r w:rsidRPr="009B77EC">
              <w:rPr>
                <w:b/>
                <w:bCs/>
                <w:color w:val="000000"/>
                <w:sz w:val="16"/>
                <w:szCs w:val="16"/>
                <w:lang w:eastAsia="en-US"/>
              </w:rPr>
              <w:t>2014 S</w:t>
            </w:r>
          </w:p>
        </w:tc>
        <w:tc>
          <w:tcPr>
            <w:tcW w:w="804" w:type="dxa"/>
            <w:shd w:val="clear" w:color="auto" w:fill="BFBFBF" w:themeFill="background1" w:themeFillShade="BF"/>
            <w:noWrap/>
            <w:vAlign w:val="center"/>
          </w:tcPr>
          <w:p w:rsidR="0079325D" w:rsidRPr="009B77EC" w:rsidRDefault="0079325D" w:rsidP="009B77EC">
            <w:pPr>
              <w:jc w:val="center"/>
              <w:rPr>
                <w:b/>
                <w:bCs/>
                <w:color w:val="000000"/>
                <w:sz w:val="16"/>
                <w:szCs w:val="16"/>
                <w:lang w:eastAsia="en-US"/>
              </w:rPr>
            </w:pPr>
            <w:r w:rsidRPr="009B77EC">
              <w:rPr>
                <w:b/>
                <w:bCs/>
                <w:color w:val="000000"/>
                <w:sz w:val="16"/>
                <w:szCs w:val="16"/>
                <w:lang w:eastAsia="en-US"/>
              </w:rPr>
              <w:t>2015 S</w:t>
            </w:r>
          </w:p>
        </w:tc>
        <w:tc>
          <w:tcPr>
            <w:tcW w:w="804" w:type="dxa"/>
            <w:shd w:val="clear" w:color="auto" w:fill="BFBFBF" w:themeFill="background1" w:themeFillShade="BF"/>
            <w:noWrap/>
            <w:vAlign w:val="center"/>
          </w:tcPr>
          <w:p w:rsidR="0079325D" w:rsidRPr="009B77EC" w:rsidRDefault="0079325D" w:rsidP="009B77EC">
            <w:pPr>
              <w:jc w:val="center"/>
              <w:rPr>
                <w:b/>
                <w:bCs/>
                <w:color w:val="000000"/>
                <w:sz w:val="16"/>
                <w:szCs w:val="16"/>
                <w:lang w:eastAsia="en-US"/>
              </w:rPr>
            </w:pPr>
            <w:r w:rsidRPr="009B77EC">
              <w:rPr>
                <w:b/>
                <w:bCs/>
                <w:color w:val="000000"/>
                <w:sz w:val="16"/>
                <w:szCs w:val="16"/>
                <w:lang w:eastAsia="en-US"/>
              </w:rPr>
              <w:t>2016 R</w:t>
            </w:r>
          </w:p>
        </w:tc>
        <w:tc>
          <w:tcPr>
            <w:tcW w:w="804" w:type="dxa"/>
            <w:shd w:val="clear" w:color="auto" w:fill="BFBFBF" w:themeFill="background1" w:themeFillShade="BF"/>
            <w:vAlign w:val="center"/>
          </w:tcPr>
          <w:p w:rsidR="0079325D" w:rsidRPr="009B77EC" w:rsidRDefault="0079325D" w:rsidP="009B77EC">
            <w:pPr>
              <w:jc w:val="center"/>
              <w:rPr>
                <w:b/>
                <w:bCs/>
                <w:color w:val="000000"/>
                <w:sz w:val="16"/>
                <w:szCs w:val="16"/>
                <w:lang w:eastAsia="en-US"/>
              </w:rPr>
            </w:pPr>
            <w:r w:rsidRPr="009B77EC">
              <w:rPr>
                <w:b/>
                <w:bCs/>
                <w:color w:val="000000"/>
                <w:sz w:val="16"/>
                <w:szCs w:val="16"/>
                <w:lang w:eastAsia="en-US"/>
              </w:rPr>
              <w:t>2016 OS</w:t>
            </w:r>
          </w:p>
        </w:tc>
        <w:tc>
          <w:tcPr>
            <w:tcW w:w="804" w:type="dxa"/>
            <w:shd w:val="clear" w:color="auto" w:fill="BFBFBF" w:themeFill="background1" w:themeFillShade="BF"/>
            <w:noWrap/>
            <w:vAlign w:val="center"/>
          </w:tcPr>
          <w:p w:rsidR="0079325D" w:rsidRPr="009B77EC" w:rsidRDefault="0079325D" w:rsidP="009B77EC">
            <w:pPr>
              <w:jc w:val="center"/>
              <w:rPr>
                <w:b/>
                <w:bCs/>
                <w:color w:val="000000"/>
                <w:sz w:val="16"/>
                <w:szCs w:val="16"/>
                <w:lang w:eastAsia="en-US"/>
              </w:rPr>
            </w:pPr>
            <w:r w:rsidRPr="009B77EC">
              <w:rPr>
                <w:b/>
                <w:bCs/>
                <w:color w:val="000000"/>
                <w:sz w:val="16"/>
                <w:szCs w:val="16"/>
                <w:lang w:eastAsia="en-US"/>
              </w:rPr>
              <w:t>2017 N</w:t>
            </w:r>
          </w:p>
        </w:tc>
        <w:tc>
          <w:tcPr>
            <w:tcW w:w="804" w:type="dxa"/>
            <w:shd w:val="clear" w:color="auto" w:fill="BFBFBF" w:themeFill="background1" w:themeFillShade="BF"/>
            <w:noWrap/>
            <w:vAlign w:val="center"/>
          </w:tcPr>
          <w:p w:rsidR="0079325D" w:rsidRPr="009B77EC" w:rsidRDefault="0079325D" w:rsidP="009B77EC">
            <w:pPr>
              <w:jc w:val="center"/>
              <w:rPr>
                <w:b/>
                <w:bCs/>
                <w:color w:val="000000"/>
                <w:sz w:val="16"/>
                <w:szCs w:val="16"/>
                <w:lang w:eastAsia="en-US"/>
              </w:rPr>
            </w:pPr>
            <w:r w:rsidRPr="009B77EC">
              <w:rPr>
                <w:b/>
                <w:bCs/>
                <w:color w:val="000000"/>
                <w:sz w:val="16"/>
                <w:szCs w:val="16"/>
                <w:lang w:eastAsia="en-US"/>
              </w:rPr>
              <w:t>2018 N</w:t>
            </w:r>
          </w:p>
        </w:tc>
        <w:tc>
          <w:tcPr>
            <w:tcW w:w="886" w:type="dxa"/>
            <w:shd w:val="clear" w:color="auto" w:fill="BFBFBF" w:themeFill="background1" w:themeFillShade="BF"/>
            <w:noWrap/>
            <w:vAlign w:val="center"/>
          </w:tcPr>
          <w:p w:rsidR="0079325D" w:rsidRPr="009B77EC" w:rsidRDefault="0079325D" w:rsidP="009B77EC">
            <w:pPr>
              <w:jc w:val="center"/>
              <w:rPr>
                <w:b/>
                <w:bCs/>
                <w:color w:val="000000"/>
                <w:sz w:val="16"/>
                <w:szCs w:val="16"/>
                <w:lang w:eastAsia="en-US"/>
              </w:rPr>
            </w:pPr>
            <w:r w:rsidRPr="009B77EC">
              <w:rPr>
                <w:b/>
                <w:bCs/>
                <w:color w:val="000000"/>
                <w:sz w:val="16"/>
                <w:szCs w:val="16"/>
                <w:lang w:eastAsia="en-US"/>
              </w:rPr>
              <w:t>2019 N</w:t>
            </w:r>
          </w:p>
        </w:tc>
      </w:tr>
      <w:tr w:rsidR="0079325D" w:rsidRPr="009B77EC" w:rsidTr="009B77EC">
        <w:trPr>
          <w:trHeight w:val="327"/>
          <w:jc w:val="center"/>
        </w:trPr>
        <w:tc>
          <w:tcPr>
            <w:tcW w:w="3274" w:type="dxa"/>
            <w:shd w:val="clear" w:color="auto" w:fill="auto"/>
            <w:noWrap/>
            <w:vAlign w:val="center"/>
          </w:tcPr>
          <w:p w:rsidR="0079325D" w:rsidRPr="009B77EC" w:rsidRDefault="0079325D" w:rsidP="00CD5BD1">
            <w:pPr>
              <w:rPr>
                <w:color w:val="000000"/>
                <w:sz w:val="16"/>
                <w:szCs w:val="16"/>
                <w:lang w:eastAsia="en-US"/>
              </w:rPr>
            </w:pPr>
            <w:r w:rsidRPr="009B77EC">
              <w:rPr>
                <w:color w:val="000000"/>
                <w:sz w:val="16"/>
                <w:szCs w:val="16"/>
                <w:lang w:eastAsia="en-US"/>
              </w:rPr>
              <w:t>Saldo VS</w:t>
            </w:r>
          </w:p>
        </w:tc>
        <w:tc>
          <w:tcPr>
            <w:tcW w:w="746" w:type="dxa"/>
            <w:shd w:val="clear" w:color="auto" w:fill="auto"/>
            <w:noWrap/>
            <w:vAlign w:val="center"/>
          </w:tcPr>
          <w:p w:rsidR="0079325D" w:rsidRPr="009B77EC" w:rsidRDefault="0079325D" w:rsidP="00CD5BD1">
            <w:pPr>
              <w:jc w:val="center"/>
              <w:rPr>
                <w:color w:val="000000"/>
                <w:sz w:val="16"/>
                <w:szCs w:val="16"/>
                <w:lang w:eastAsia="en-US"/>
              </w:rPr>
            </w:pPr>
            <w:r w:rsidRPr="009B77EC">
              <w:rPr>
                <w:color w:val="000000"/>
                <w:sz w:val="16"/>
                <w:szCs w:val="16"/>
                <w:lang w:eastAsia="en-US"/>
              </w:rPr>
              <w:t>-2,9</w:t>
            </w:r>
          </w:p>
        </w:tc>
        <w:tc>
          <w:tcPr>
            <w:tcW w:w="804" w:type="dxa"/>
            <w:shd w:val="clear" w:color="auto" w:fill="auto"/>
            <w:noWrap/>
            <w:vAlign w:val="center"/>
          </w:tcPr>
          <w:p w:rsidR="0079325D" w:rsidRPr="009B77EC" w:rsidRDefault="0079325D" w:rsidP="002E7333">
            <w:pPr>
              <w:jc w:val="center"/>
              <w:rPr>
                <w:color w:val="000000"/>
                <w:sz w:val="16"/>
                <w:szCs w:val="16"/>
                <w:lang w:eastAsia="en-US"/>
              </w:rPr>
            </w:pPr>
            <w:r w:rsidRPr="009B77EC">
              <w:rPr>
                <w:color w:val="000000"/>
                <w:sz w:val="16"/>
                <w:szCs w:val="16"/>
                <w:lang w:eastAsia="en-US"/>
              </w:rPr>
              <w:t>-</w:t>
            </w:r>
            <w:r w:rsidR="002E7333" w:rsidRPr="009B77EC">
              <w:rPr>
                <w:color w:val="000000"/>
                <w:sz w:val="16"/>
                <w:szCs w:val="16"/>
                <w:lang w:eastAsia="en-US"/>
              </w:rPr>
              <w:t>2</w:t>
            </w:r>
            <w:r w:rsidRPr="009B77EC">
              <w:rPr>
                <w:color w:val="000000"/>
                <w:sz w:val="16"/>
                <w:szCs w:val="16"/>
                <w:lang w:eastAsia="en-US"/>
              </w:rPr>
              <w:t>,</w:t>
            </w:r>
            <w:r w:rsidR="002E7333" w:rsidRPr="009B77EC">
              <w:rPr>
                <w:color w:val="000000"/>
                <w:sz w:val="16"/>
                <w:szCs w:val="16"/>
                <w:lang w:eastAsia="en-US"/>
              </w:rPr>
              <w:t>7</w:t>
            </w:r>
            <w:r w:rsidR="002E7333" w:rsidRPr="009B77EC">
              <w:rPr>
                <w:rStyle w:val="Odkaznapoznmkupodiarou"/>
                <w:color w:val="000000"/>
                <w:sz w:val="16"/>
                <w:szCs w:val="16"/>
                <w:lang w:eastAsia="en-US"/>
              </w:rPr>
              <w:footnoteReference w:id="3"/>
            </w:r>
          </w:p>
        </w:tc>
        <w:tc>
          <w:tcPr>
            <w:tcW w:w="804" w:type="dxa"/>
            <w:shd w:val="clear" w:color="auto" w:fill="auto"/>
            <w:noWrap/>
            <w:vAlign w:val="center"/>
          </w:tcPr>
          <w:p w:rsidR="0079325D" w:rsidRPr="009B77EC" w:rsidRDefault="0079325D" w:rsidP="00CD5BD1">
            <w:pPr>
              <w:jc w:val="center"/>
              <w:rPr>
                <w:color w:val="000000"/>
                <w:sz w:val="16"/>
                <w:szCs w:val="16"/>
                <w:lang w:eastAsia="en-US"/>
              </w:rPr>
            </w:pPr>
            <w:r w:rsidRPr="009B77EC">
              <w:rPr>
                <w:color w:val="000000"/>
                <w:sz w:val="16"/>
                <w:szCs w:val="16"/>
                <w:lang w:eastAsia="en-US"/>
              </w:rPr>
              <w:t>-1,9</w:t>
            </w:r>
          </w:p>
        </w:tc>
        <w:tc>
          <w:tcPr>
            <w:tcW w:w="804" w:type="dxa"/>
            <w:vAlign w:val="center"/>
          </w:tcPr>
          <w:p w:rsidR="0079325D" w:rsidRPr="009B77EC" w:rsidRDefault="0079325D" w:rsidP="00FB5876">
            <w:pPr>
              <w:jc w:val="center"/>
              <w:rPr>
                <w:color w:val="000000"/>
                <w:sz w:val="16"/>
                <w:szCs w:val="16"/>
                <w:lang w:eastAsia="en-US"/>
              </w:rPr>
            </w:pPr>
            <w:r w:rsidRPr="009B77EC">
              <w:rPr>
                <w:color w:val="000000"/>
                <w:sz w:val="16"/>
                <w:szCs w:val="16"/>
                <w:lang w:eastAsia="en-US"/>
              </w:rPr>
              <w:t>-2,</w:t>
            </w:r>
            <w:r w:rsidR="00FB5876" w:rsidRPr="009B77EC">
              <w:rPr>
                <w:color w:val="000000"/>
                <w:sz w:val="16"/>
                <w:szCs w:val="16"/>
                <w:lang w:eastAsia="en-US"/>
              </w:rPr>
              <w:t>0</w:t>
            </w:r>
          </w:p>
        </w:tc>
        <w:tc>
          <w:tcPr>
            <w:tcW w:w="804" w:type="dxa"/>
            <w:shd w:val="clear" w:color="auto" w:fill="auto"/>
            <w:noWrap/>
            <w:vAlign w:val="center"/>
          </w:tcPr>
          <w:p w:rsidR="0079325D" w:rsidRPr="009B77EC" w:rsidRDefault="0079325D" w:rsidP="00CD5BD1">
            <w:pPr>
              <w:jc w:val="center"/>
              <w:rPr>
                <w:color w:val="000000"/>
                <w:sz w:val="16"/>
                <w:szCs w:val="16"/>
                <w:lang w:eastAsia="en-US"/>
              </w:rPr>
            </w:pPr>
            <w:r w:rsidRPr="009B77EC">
              <w:rPr>
                <w:color w:val="000000"/>
                <w:sz w:val="16"/>
                <w:szCs w:val="16"/>
                <w:lang w:eastAsia="en-US"/>
              </w:rPr>
              <w:t>-1,3</w:t>
            </w:r>
          </w:p>
        </w:tc>
        <w:tc>
          <w:tcPr>
            <w:tcW w:w="804" w:type="dxa"/>
            <w:shd w:val="clear" w:color="auto" w:fill="auto"/>
            <w:noWrap/>
            <w:vAlign w:val="center"/>
          </w:tcPr>
          <w:p w:rsidR="0079325D" w:rsidRPr="009B77EC" w:rsidRDefault="0079325D" w:rsidP="00CD5BD1">
            <w:pPr>
              <w:jc w:val="center"/>
              <w:rPr>
                <w:color w:val="000000"/>
                <w:sz w:val="16"/>
                <w:szCs w:val="16"/>
                <w:lang w:eastAsia="en-US"/>
              </w:rPr>
            </w:pPr>
            <w:r w:rsidRPr="009B77EC">
              <w:rPr>
                <w:color w:val="000000"/>
                <w:sz w:val="16"/>
                <w:szCs w:val="16"/>
                <w:lang w:eastAsia="en-US"/>
              </w:rPr>
              <w:t>-0,4</w:t>
            </w:r>
          </w:p>
        </w:tc>
        <w:tc>
          <w:tcPr>
            <w:tcW w:w="886" w:type="dxa"/>
            <w:shd w:val="clear" w:color="auto" w:fill="auto"/>
            <w:noWrap/>
            <w:vAlign w:val="center"/>
          </w:tcPr>
          <w:p w:rsidR="0079325D" w:rsidRPr="009B77EC" w:rsidRDefault="0079325D" w:rsidP="00CD5BD1">
            <w:pPr>
              <w:jc w:val="center"/>
              <w:rPr>
                <w:color w:val="000000"/>
                <w:sz w:val="16"/>
                <w:szCs w:val="16"/>
                <w:lang w:eastAsia="en-US"/>
              </w:rPr>
            </w:pPr>
            <w:r w:rsidRPr="009B77EC">
              <w:rPr>
                <w:color w:val="000000"/>
                <w:sz w:val="16"/>
                <w:szCs w:val="16"/>
                <w:lang w:eastAsia="en-US"/>
              </w:rPr>
              <w:t>0,2</w:t>
            </w:r>
          </w:p>
        </w:tc>
      </w:tr>
      <w:tr w:rsidR="0079325D" w:rsidRPr="009B77EC" w:rsidTr="009B77EC">
        <w:trPr>
          <w:trHeight w:val="327"/>
          <w:jc w:val="center"/>
        </w:trPr>
        <w:tc>
          <w:tcPr>
            <w:tcW w:w="3274" w:type="dxa"/>
            <w:shd w:val="clear" w:color="auto" w:fill="auto"/>
            <w:noWrap/>
            <w:vAlign w:val="center"/>
          </w:tcPr>
          <w:p w:rsidR="0079325D" w:rsidRPr="009B77EC" w:rsidRDefault="0079325D" w:rsidP="00CD5BD1">
            <w:pPr>
              <w:rPr>
                <w:color w:val="000000"/>
                <w:sz w:val="16"/>
                <w:szCs w:val="16"/>
                <w:lang w:eastAsia="en-US"/>
              </w:rPr>
            </w:pPr>
            <w:r w:rsidRPr="009B77EC">
              <w:rPr>
                <w:color w:val="000000"/>
                <w:sz w:val="16"/>
                <w:szCs w:val="16"/>
                <w:lang w:eastAsia="en-US"/>
              </w:rPr>
              <w:t>Hrubý dlh VS</w:t>
            </w:r>
          </w:p>
        </w:tc>
        <w:tc>
          <w:tcPr>
            <w:tcW w:w="746" w:type="dxa"/>
            <w:shd w:val="clear" w:color="auto" w:fill="auto"/>
            <w:noWrap/>
            <w:vAlign w:val="center"/>
          </w:tcPr>
          <w:p w:rsidR="0079325D" w:rsidRPr="009B77EC" w:rsidRDefault="0079325D" w:rsidP="00CD5BD1">
            <w:pPr>
              <w:jc w:val="center"/>
              <w:rPr>
                <w:color w:val="000000"/>
                <w:sz w:val="16"/>
                <w:szCs w:val="16"/>
                <w:lang w:eastAsia="en-US"/>
              </w:rPr>
            </w:pPr>
            <w:r w:rsidRPr="009B77EC">
              <w:rPr>
                <w:color w:val="000000"/>
                <w:sz w:val="16"/>
                <w:szCs w:val="16"/>
                <w:lang w:eastAsia="en-US"/>
              </w:rPr>
              <w:t>53,9</w:t>
            </w:r>
          </w:p>
        </w:tc>
        <w:tc>
          <w:tcPr>
            <w:tcW w:w="804" w:type="dxa"/>
            <w:shd w:val="clear" w:color="auto" w:fill="auto"/>
            <w:noWrap/>
            <w:vAlign w:val="center"/>
          </w:tcPr>
          <w:p w:rsidR="0079325D" w:rsidRPr="009B77EC" w:rsidRDefault="0079325D" w:rsidP="00CD5BD1">
            <w:pPr>
              <w:jc w:val="center"/>
              <w:rPr>
                <w:color w:val="000000"/>
                <w:sz w:val="16"/>
                <w:szCs w:val="16"/>
                <w:lang w:eastAsia="en-US"/>
              </w:rPr>
            </w:pPr>
            <w:r w:rsidRPr="009B77EC">
              <w:rPr>
                <w:color w:val="000000"/>
                <w:sz w:val="16"/>
                <w:szCs w:val="16"/>
                <w:lang w:eastAsia="en-US"/>
              </w:rPr>
              <w:t>52,9</w:t>
            </w:r>
          </w:p>
        </w:tc>
        <w:tc>
          <w:tcPr>
            <w:tcW w:w="804" w:type="dxa"/>
            <w:shd w:val="clear" w:color="auto" w:fill="auto"/>
            <w:noWrap/>
            <w:vAlign w:val="center"/>
          </w:tcPr>
          <w:p w:rsidR="0079325D" w:rsidRPr="009B77EC" w:rsidRDefault="0079325D" w:rsidP="00CD5BD1">
            <w:pPr>
              <w:jc w:val="center"/>
              <w:rPr>
                <w:color w:val="000000"/>
                <w:sz w:val="16"/>
                <w:szCs w:val="16"/>
                <w:lang w:eastAsia="en-US"/>
              </w:rPr>
            </w:pPr>
            <w:r w:rsidRPr="009B77EC">
              <w:rPr>
                <w:color w:val="000000"/>
                <w:sz w:val="16"/>
                <w:szCs w:val="16"/>
                <w:lang w:eastAsia="en-US"/>
              </w:rPr>
              <w:t>52,5</w:t>
            </w:r>
          </w:p>
        </w:tc>
        <w:tc>
          <w:tcPr>
            <w:tcW w:w="804" w:type="dxa"/>
            <w:vAlign w:val="center"/>
          </w:tcPr>
          <w:p w:rsidR="0079325D" w:rsidRPr="009B77EC" w:rsidRDefault="00726121" w:rsidP="003000B9">
            <w:pPr>
              <w:jc w:val="center"/>
              <w:rPr>
                <w:color w:val="000000"/>
                <w:sz w:val="16"/>
                <w:szCs w:val="16"/>
                <w:lang w:eastAsia="en-US"/>
              </w:rPr>
            </w:pPr>
            <w:r w:rsidRPr="009B77EC">
              <w:rPr>
                <w:color w:val="000000"/>
                <w:sz w:val="16"/>
                <w:szCs w:val="16"/>
                <w:lang w:eastAsia="en-US"/>
              </w:rPr>
              <w:t>5</w:t>
            </w:r>
            <w:r w:rsidR="003000B9" w:rsidRPr="009B77EC">
              <w:rPr>
                <w:color w:val="000000"/>
                <w:sz w:val="16"/>
                <w:szCs w:val="16"/>
                <w:lang w:eastAsia="en-US"/>
              </w:rPr>
              <w:t>3</w:t>
            </w:r>
            <w:r w:rsidR="0079325D" w:rsidRPr="009B77EC">
              <w:rPr>
                <w:color w:val="000000"/>
                <w:sz w:val="16"/>
                <w:szCs w:val="16"/>
                <w:lang w:eastAsia="en-US"/>
              </w:rPr>
              <w:t>,</w:t>
            </w:r>
            <w:r w:rsidR="003000B9" w:rsidRPr="009B77EC">
              <w:rPr>
                <w:color w:val="000000"/>
                <w:sz w:val="16"/>
                <w:szCs w:val="16"/>
                <w:lang w:eastAsia="en-US"/>
              </w:rPr>
              <w:t>5</w:t>
            </w:r>
          </w:p>
        </w:tc>
        <w:tc>
          <w:tcPr>
            <w:tcW w:w="804" w:type="dxa"/>
            <w:shd w:val="clear" w:color="auto" w:fill="auto"/>
            <w:noWrap/>
            <w:vAlign w:val="center"/>
          </w:tcPr>
          <w:p w:rsidR="0079325D" w:rsidRPr="009B77EC" w:rsidRDefault="0079325D" w:rsidP="00CD5BD1">
            <w:pPr>
              <w:jc w:val="center"/>
              <w:rPr>
                <w:color w:val="000000"/>
                <w:sz w:val="16"/>
                <w:szCs w:val="16"/>
                <w:lang w:eastAsia="en-US"/>
              </w:rPr>
            </w:pPr>
            <w:r w:rsidRPr="009B77EC">
              <w:rPr>
                <w:color w:val="000000"/>
                <w:sz w:val="16"/>
                <w:szCs w:val="16"/>
                <w:lang w:eastAsia="en-US"/>
              </w:rPr>
              <w:t>52,</w:t>
            </w:r>
            <w:r w:rsidR="003000B9" w:rsidRPr="009B77EC">
              <w:rPr>
                <w:color w:val="000000"/>
                <w:sz w:val="16"/>
                <w:szCs w:val="16"/>
                <w:lang w:eastAsia="en-US"/>
              </w:rPr>
              <w:t>7</w:t>
            </w:r>
          </w:p>
        </w:tc>
        <w:tc>
          <w:tcPr>
            <w:tcW w:w="804" w:type="dxa"/>
            <w:shd w:val="clear" w:color="auto" w:fill="auto"/>
            <w:noWrap/>
            <w:vAlign w:val="center"/>
          </w:tcPr>
          <w:p w:rsidR="0079325D" w:rsidRPr="009B77EC" w:rsidRDefault="00726121" w:rsidP="003000B9">
            <w:pPr>
              <w:jc w:val="center"/>
              <w:rPr>
                <w:color w:val="000000"/>
                <w:sz w:val="16"/>
                <w:szCs w:val="16"/>
                <w:lang w:eastAsia="en-US"/>
              </w:rPr>
            </w:pPr>
            <w:r w:rsidRPr="009B77EC">
              <w:rPr>
                <w:color w:val="000000"/>
                <w:sz w:val="16"/>
                <w:szCs w:val="16"/>
                <w:lang w:eastAsia="en-US"/>
              </w:rPr>
              <w:t>5</w:t>
            </w:r>
            <w:r w:rsidR="003000B9" w:rsidRPr="009B77EC">
              <w:rPr>
                <w:color w:val="000000"/>
                <w:sz w:val="16"/>
                <w:szCs w:val="16"/>
                <w:lang w:eastAsia="en-US"/>
              </w:rPr>
              <w:t>1</w:t>
            </w:r>
            <w:r w:rsidR="0079325D" w:rsidRPr="009B77EC">
              <w:rPr>
                <w:color w:val="000000"/>
                <w:sz w:val="16"/>
                <w:szCs w:val="16"/>
                <w:lang w:eastAsia="en-US"/>
              </w:rPr>
              <w:t>,</w:t>
            </w:r>
            <w:r w:rsidR="003000B9" w:rsidRPr="009B77EC">
              <w:rPr>
                <w:color w:val="000000"/>
                <w:sz w:val="16"/>
                <w:szCs w:val="16"/>
                <w:lang w:eastAsia="en-US"/>
              </w:rPr>
              <w:t>4</w:t>
            </w:r>
          </w:p>
        </w:tc>
        <w:tc>
          <w:tcPr>
            <w:tcW w:w="886" w:type="dxa"/>
            <w:shd w:val="clear" w:color="auto" w:fill="auto"/>
            <w:noWrap/>
            <w:vAlign w:val="center"/>
          </w:tcPr>
          <w:p w:rsidR="0079325D" w:rsidRPr="009B77EC" w:rsidRDefault="0079325D" w:rsidP="003000B9">
            <w:pPr>
              <w:jc w:val="center"/>
              <w:rPr>
                <w:color w:val="000000"/>
                <w:sz w:val="16"/>
                <w:szCs w:val="16"/>
                <w:lang w:eastAsia="en-US"/>
              </w:rPr>
            </w:pPr>
            <w:r w:rsidRPr="009B77EC">
              <w:rPr>
                <w:color w:val="000000"/>
                <w:sz w:val="16"/>
                <w:szCs w:val="16"/>
                <w:lang w:eastAsia="en-US"/>
              </w:rPr>
              <w:t>4</w:t>
            </w:r>
            <w:r w:rsidR="003000B9" w:rsidRPr="009B77EC">
              <w:rPr>
                <w:color w:val="000000"/>
                <w:sz w:val="16"/>
                <w:szCs w:val="16"/>
                <w:lang w:eastAsia="en-US"/>
              </w:rPr>
              <w:t>9</w:t>
            </w:r>
            <w:r w:rsidRPr="009B77EC">
              <w:rPr>
                <w:color w:val="000000"/>
                <w:sz w:val="16"/>
                <w:szCs w:val="16"/>
                <w:lang w:eastAsia="en-US"/>
              </w:rPr>
              <w:t>,</w:t>
            </w:r>
            <w:r w:rsidR="003000B9" w:rsidRPr="009B77EC">
              <w:rPr>
                <w:color w:val="000000"/>
                <w:sz w:val="16"/>
                <w:szCs w:val="16"/>
                <w:lang w:eastAsia="en-US"/>
              </w:rPr>
              <w:t>1</w:t>
            </w:r>
          </w:p>
        </w:tc>
      </w:tr>
      <w:tr w:rsidR="0079325D" w:rsidRPr="009B77EC" w:rsidTr="009B77EC">
        <w:trPr>
          <w:trHeight w:val="327"/>
          <w:jc w:val="center"/>
        </w:trPr>
        <w:tc>
          <w:tcPr>
            <w:tcW w:w="3274" w:type="dxa"/>
            <w:shd w:val="clear" w:color="auto" w:fill="auto"/>
            <w:noWrap/>
            <w:vAlign w:val="center"/>
          </w:tcPr>
          <w:p w:rsidR="0079325D" w:rsidRPr="009B77EC" w:rsidRDefault="0079325D" w:rsidP="00CD5BD1">
            <w:pPr>
              <w:rPr>
                <w:color w:val="000000"/>
                <w:sz w:val="16"/>
                <w:szCs w:val="16"/>
                <w:lang w:eastAsia="en-US"/>
              </w:rPr>
            </w:pPr>
            <w:r w:rsidRPr="009B77EC">
              <w:rPr>
                <w:color w:val="000000"/>
                <w:sz w:val="16"/>
                <w:szCs w:val="16"/>
                <w:lang w:eastAsia="en-US"/>
              </w:rPr>
              <w:t>Štátny dlh (bez vplyvu EFSF a ESM)</w:t>
            </w:r>
          </w:p>
        </w:tc>
        <w:tc>
          <w:tcPr>
            <w:tcW w:w="746" w:type="dxa"/>
            <w:shd w:val="clear" w:color="auto" w:fill="auto"/>
            <w:noWrap/>
            <w:vAlign w:val="center"/>
          </w:tcPr>
          <w:p w:rsidR="0079325D" w:rsidRPr="009B77EC" w:rsidRDefault="0079325D" w:rsidP="00CD5BD1">
            <w:pPr>
              <w:jc w:val="center"/>
              <w:rPr>
                <w:color w:val="000000"/>
                <w:sz w:val="16"/>
                <w:szCs w:val="16"/>
                <w:lang w:eastAsia="en-US"/>
              </w:rPr>
            </w:pPr>
            <w:r w:rsidRPr="009B77EC">
              <w:rPr>
                <w:color w:val="000000"/>
                <w:sz w:val="16"/>
                <w:szCs w:val="16"/>
                <w:lang w:eastAsia="en-US"/>
              </w:rPr>
              <w:t>48,4</w:t>
            </w:r>
          </w:p>
        </w:tc>
        <w:tc>
          <w:tcPr>
            <w:tcW w:w="804" w:type="dxa"/>
            <w:shd w:val="clear" w:color="auto" w:fill="auto"/>
            <w:noWrap/>
            <w:vAlign w:val="center"/>
          </w:tcPr>
          <w:p w:rsidR="0079325D" w:rsidRPr="009B77EC" w:rsidRDefault="0079325D" w:rsidP="00CD5BD1">
            <w:pPr>
              <w:jc w:val="center"/>
              <w:rPr>
                <w:color w:val="000000"/>
                <w:sz w:val="16"/>
                <w:szCs w:val="16"/>
                <w:lang w:eastAsia="en-US"/>
              </w:rPr>
            </w:pPr>
            <w:r w:rsidRPr="009B77EC">
              <w:rPr>
                <w:color w:val="000000"/>
                <w:sz w:val="16"/>
                <w:szCs w:val="16"/>
                <w:lang w:eastAsia="en-US"/>
              </w:rPr>
              <w:t>47,8</w:t>
            </w:r>
          </w:p>
        </w:tc>
        <w:tc>
          <w:tcPr>
            <w:tcW w:w="804" w:type="dxa"/>
            <w:shd w:val="clear" w:color="auto" w:fill="auto"/>
            <w:noWrap/>
            <w:vAlign w:val="center"/>
          </w:tcPr>
          <w:p w:rsidR="0079325D" w:rsidRPr="009B77EC" w:rsidRDefault="0079325D" w:rsidP="00CD5BD1">
            <w:pPr>
              <w:jc w:val="center"/>
              <w:rPr>
                <w:color w:val="000000"/>
                <w:sz w:val="16"/>
                <w:szCs w:val="16"/>
                <w:lang w:eastAsia="en-US"/>
              </w:rPr>
            </w:pPr>
            <w:r w:rsidRPr="009B77EC">
              <w:rPr>
                <w:color w:val="000000"/>
                <w:sz w:val="16"/>
                <w:szCs w:val="16"/>
                <w:lang w:eastAsia="en-US"/>
              </w:rPr>
              <w:t>47,6</w:t>
            </w:r>
          </w:p>
        </w:tc>
        <w:tc>
          <w:tcPr>
            <w:tcW w:w="804" w:type="dxa"/>
            <w:vAlign w:val="center"/>
          </w:tcPr>
          <w:p w:rsidR="0079325D" w:rsidRPr="009B77EC" w:rsidRDefault="00726121" w:rsidP="003000B9">
            <w:pPr>
              <w:jc w:val="center"/>
              <w:rPr>
                <w:color w:val="000000"/>
                <w:sz w:val="16"/>
                <w:szCs w:val="16"/>
                <w:lang w:eastAsia="en-US"/>
              </w:rPr>
            </w:pPr>
            <w:r w:rsidRPr="009B77EC">
              <w:rPr>
                <w:color w:val="000000"/>
                <w:sz w:val="16"/>
                <w:szCs w:val="16"/>
                <w:lang w:eastAsia="en-US"/>
              </w:rPr>
              <w:t>4</w:t>
            </w:r>
            <w:r w:rsidR="003000B9" w:rsidRPr="009B77EC">
              <w:rPr>
                <w:color w:val="000000"/>
                <w:sz w:val="16"/>
                <w:szCs w:val="16"/>
                <w:lang w:eastAsia="en-US"/>
              </w:rPr>
              <w:t>8</w:t>
            </w:r>
            <w:r w:rsidR="0079325D" w:rsidRPr="009B77EC">
              <w:rPr>
                <w:color w:val="000000"/>
                <w:sz w:val="16"/>
                <w:szCs w:val="16"/>
                <w:lang w:eastAsia="en-US"/>
              </w:rPr>
              <w:t>,</w:t>
            </w:r>
            <w:r w:rsidR="003000B9" w:rsidRPr="009B77EC">
              <w:rPr>
                <w:color w:val="000000"/>
                <w:sz w:val="16"/>
                <w:szCs w:val="16"/>
                <w:lang w:eastAsia="en-US"/>
              </w:rPr>
              <w:t>5</w:t>
            </w:r>
          </w:p>
        </w:tc>
        <w:tc>
          <w:tcPr>
            <w:tcW w:w="804" w:type="dxa"/>
            <w:shd w:val="clear" w:color="auto" w:fill="auto"/>
            <w:noWrap/>
            <w:vAlign w:val="center"/>
          </w:tcPr>
          <w:p w:rsidR="0079325D" w:rsidRPr="009B77EC" w:rsidRDefault="0079325D" w:rsidP="003000B9">
            <w:pPr>
              <w:jc w:val="center"/>
              <w:rPr>
                <w:color w:val="000000"/>
                <w:sz w:val="16"/>
                <w:szCs w:val="16"/>
                <w:lang w:eastAsia="en-US"/>
              </w:rPr>
            </w:pPr>
            <w:r w:rsidRPr="009B77EC">
              <w:rPr>
                <w:color w:val="000000"/>
                <w:sz w:val="16"/>
                <w:szCs w:val="16"/>
                <w:lang w:eastAsia="en-US"/>
              </w:rPr>
              <w:t>4</w:t>
            </w:r>
            <w:r w:rsidR="003000B9" w:rsidRPr="009B77EC">
              <w:rPr>
                <w:color w:val="000000"/>
                <w:sz w:val="16"/>
                <w:szCs w:val="16"/>
                <w:lang w:eastAsia="en-US"/>
              </w:rPr>
              <w:t>8</w:t>
            </w:r>
            <w:r w:rsidRPr="009B77EC">
              <w:rPr>
                <w:color w:val="000000"/>
                <w:sz w:val="16"/>
                <w:szCs w:val="16"/>
                <w:lang w:eastAsia="en-US"/>
              </w:rPr>
              <w:t>,</w:t>
            </w:r>
            <w:r w:rsidR="003000B9" w:rsidRPr="009B77EC">
              <w:rPr>
                <w:color w:val="000000"/>
                <w:sz w:val="16"/>
                <w:szCs w:val="16"/>
                <w:lang w:eastAsia="en-US"/>
              </w:rPr>
              <w:t>0</w:t>
            </w:r>
          </w:p>
        </w:tc>
        <w:tc>
          <w:tcPr>
            <w:tcW w:w="804" w:type="dxa"/>
            <w:shd w:val="clear" w:color="auto" w:fill="auto"/>
            <w:noWrap/>
            <w:vAlign w:val="center"/>
          </w:tcPr>
          <w:p w:rsidR="0079325D" w:rsidRPr="009B77EC" w:rsidRDefault="0079325D" w:rsidP="003000B9">
            <w:pPr>
              <w:jc w:val="center"/>
              <w:rPr>
                <w:color w:val="000000"/>
                <w:sz w:val="16"/>
                <w:szCs w:val="16"/>
                <w:lang w:eastAsia="en-US"/>
              </w:rPr>
            </w:pPr>
            <w:r w:rsidRPr="009B77EC">
              <w:rPr>
                <w:color w:val="000000"/>
                <w:sz w:val="16"/>
                <w:szCs w:val="16"/>
                <w:lang w:eastAsia="en-US"/>
              </w:rPr>
              <w:t>4</w:t>
            </w:r>
            <w:r w:rsidR="003000B9" w:rsidRPr="009B77EC">
              <w:rPr>
                <w:color w:val="000000"/>
                <w:sz w:val="16"/>
                <w:szCs w:val="16"/>
                <w:lang w:eastAsia="en-US"/>
              </w:rPr>
              <w:t>7</w:t>
            </w:r>
            <w:r w:rsidRPr="009B77EC">
              <w:rPr>
                <w:color w:val="000000"/>
                <w:sz w:val="16"/>
                <w:szCs w:val="16"/>
                <w:lang w:eastAsia="en-US"/>
              </w:rPr>
              <w:t>,</w:t>
            </w:r>
            <w:r w:rsidR="003000B9" w:rsidRPr="009B77EC">
              <w:rPr>
                <w:color w:val="000000"/>
                <w:sz w:val="16"/>
                <w:szCs w:val="16"/>
                <w:lang w:eastAsia="en-US"/>
              </w:rPr>
              <w:t>1</w:t>
            </w:r>
          </w:p>
        </w:tc>
        <w:tc>
          <w:tcPr>
            <w:tcW w:w="886" w:type="dxa"/>
            <w:shd w:val="clear" w:color="auto" w:fill="auto"/>
            <w:noWrap/>
            <w:vAlign w:val="center"/>
          </w:tcPr>
          <w:p w:rsidR="0079325D" w:rsidRPr="009B77EC" w:rsidRDefault="0079325D" w:rsidP="003000B9">
            <w:pPr>
              <w:jc w:val="center"/>
              <w:rPr>
                <w:color w:val="000000"/>
                <w:sz w:val="16"/>
                <w:szCs w:val="16"/>
                <w:lang w:eastAsia="en-US"/>
              </w:rPr>
            </w:pPr>
            <w:r w:rsidRPr="009B77EC">
              <w:rPr>
                <w:color w:val="000000"/>
                <w:sz w:val="16"/>
                <w:szCs w:val="16"/>
                <w:lang w:eastAsia="en-US"/>
              </w:rPr>
              <w:t>4</w:t>
            </w:r>
            <w:r w:rsidR="003000B9" w:rsidRPr="009B77EC">
              <w:rPr>
                <w:color w:val="000000"/>
                <w:sz w:val="16"/>
                <w:szCs w:val="16"/>
                <w:lang w:eastAsia="en-US"/>
              </w:rPr>
              <w:t>5</w:t>
            </w:r>
            <w:r w:rsidRPr="009B77EC">
              <w:rPr>
                <w:color w:val="000000"/>
                <w:sz w:val="16"/>
                <w:szCs w:val="16"/>
                <w:lang w:eastAsia="en-US"/>
              </w:rPr>
              <w:t>,</w:t>
            </w:r>
            <w:r w:rsidR="003000B9" w:rsidRPr="009B77EC">
              <w:rPr>
                <w:color w:val="000000"/>
                <w:sz w:val="16"/>
                <w:szCs w:val="16"/>
                <w:lang w:eastAsia="en-US"/>
              </w:rPr>
              <w:t>1</w:t>
            </w:r>
          </w:p>
        </w:tc>
      </w:tr>
      <w:tr w:rsidR="0079325D" w:rsidRPr="009B77EC" w:rsidTr="009B77EC">
        <w:trPr>
          <w:trHeight w:val="52"/>
          <w:jc w:val="center"/>
        </w:trPr>
        <w:tc>
          <w:tcPr>
            <w:tcW w:w="8926" w:type="dxa"/>
            <w:gridSpan w:val="8"/>
            <w:tcBorders>
              <w:top w:val="single" w:sz="4" w:space="0" w:color="auto"/>
              <w:left w:val="nil"/>
              <w:bottom w:val="nil"/>
              <w:right w:val="nil"/>
            </w:tcBorders>
            <w:vAlign w:val="center"/>
          </w:tcPr>
          <w:p w:rsidR="0079325D" w:rsidRPr="009B77EC" w:rsidRDefault="0079325D" w:rsidP="00CD5BD1">
            <w:pPr>
              <w:jc w:val="right"/>
              <w:rPr>
                <w:i/>
                <w:iCs/>
                <w:color w:val="000000"/>
                <w:sz w:val="16"/>
                <w:szCs w:val="16"/>
                <w:lang w:eastAsia="en-US"/>
              </w:rPr>
            </w:pPr>
            <w:r w:rsidRPr="009B77EC">
              <w:rPr>
                <w:i/>
                <w:iCs/>
                <w:color w:val="000000"/>
                <w:sz w:val="16"/>
                <w:szCs w:val="16"/>
                <w:lang w:eastAsia="en-US"/>
              </w:rPr>
              <w:t>Zdroj: MF SR</w:t>
            </w:r>
          </w:p>
        </w:tc>
      </w:tr>
    </w:tbl>
    <w:p w:rsidR="00B6701C" w:rsidRPr="009B77EC" w:rsidRDefault="00B6701C" w:rsidP="009B77EC">
      <w:pPr>
        <w:spacing w:before="240" w:after="120"/>
        <w:ind w:firstLine="708"/>
        <w:jc w:val="both"/>
        <w:rPr>
          <w:szCs w:val="22"/>
        </w:rPr>
      </w:pPr>
      <w:r w:rsidRPr="009B77EC">
        <w:rPr>
          <w:szCs w:val="22"/>
        </w:rPr>
        <w:t xml:space="preserve">Predpokladaná výška hrubého dlhu na rok 2016 </w:t>
      </w:r>
      <w:r w:rsidR="003B5741" w:rsidRPr="009B77EC">
        <w:rPr>
          <w:szCs w:val="22"/>
        </w:rPr>
        <w:t>sa nachádza</w:t>
      </w:r>
      <w:r w:rsidRPr="009B77EC">
        <w:rPr>
          <w:szCs w:val="22"/>
        </w:rPr>
        <w:t xml:space="preserve"> </w:t>
      </w:r>
      <w:r w:rsidR="00726121" w:rsidRPr="009B77EC">
        <w:rPr>
          <w:szCs w:val="22"/>
        </w:rPr>
        <w:t>na</w:t>
      </w:r>
      <w:r w:rsidRPr="009B77EC">
        <w:rPr>
          <w:szCs w:val="22"/>
        </w:rPr>
        <w:t xml:space="preserve"> úrov</w:t>
      </w:r>
      <w:r w:rsidR="00726121" w:rsidRPr="009B77EC">
        <w:rPr>
          <w:szCs w:val="22"/>
        </w:rPr>
        <w:t>ni</w:t>
      </w:r>
      <w:r w:rsidRPr="009B77EC">
        <w:rPr>
          <w:szCs w:val="22"/>
        </w:rPr>
        <w:t xml:space="preserve"> 5</w:t>
      </w:r>
      <w:r w:rsidR="003000B9" w:rsidRPr="009B77EC">
        <w:rPr>
          <w:szCs w:val="22"/>
        </w:rPr>
        <w:t>3</w:t>
      </w:r>
      <w:r w:rsidR="00726121" w:rsidRPr="009B77EC">
        <w:rPr>
          <w:szCs w:val="22"/>
        </w:rPr>
        <w:t>,</w:t>
      </w:r>
      <w:r w:rsidR="003000B9" w:rsidRPr="009B77EC">
        <w:rPr>
          <w:szCs w:val="22"/>
        </w:rPr>
        <w:t>5</w:t>
      </w:r>
      <w:r w:rsidRPr="009B77EC">
        <w:rPr>
          <w:szCs w:val="22"/>
        </w:rPr>
        <w:t xml:space="preserve"> % HDP</w:t>
      </w:r>
      <w:r w:rsidR="002E7333" w:rsidRPr="009B77EC">
        <w:rPr>
          <w:rStyle w:val="Odkaznapoznmkupodiarou"/>
          <w:szCs w:val="22"/>
        </w:rPr>
        <w:footnoteReference w:id="4"/>
      </w:r>
      <w:r w:rsidRPr="009B77EC">
        <w:rPr>
          <w:szCs w:val="22"/>
        </w:rPr>
        <w:t xml:space="preserve">. </w:t>
      </w:r>
      <w:r w:rsidR="002E7333" w:rsidRPr="009B77EC">
        <w:rPr>
          <w:szCs w:val="22"/>
        </w:rPr>
        <w:t xml:space="preserve">Dôvodom medziročného nárastu hrubého dlhu je potreba zabezpečenia dostatočnej úrovne hotovostnej rezervy na financovanie </w:t>
      </w:r>
      <w:r w:rsidR="00CD5BD1" w:rsidRPr="009B77EC">
        <w:rPr>
          <w:szCs w:val="22"/>
        </w:rPr>
        <w:t xml:space="preserve">splatných </w:t>
      </w:r>
      <w:r w:rsidR="002E7333" w:rsidRPr="009B77EC">
        <w:rPr>
          <w:szCs w:val="22"/>
        </w:rPr>
        <w:t xml:space="preserve">záväzkov štátu </w:t>
      </w:r>
      <w:r w:rsidR="00CD5BD1" w:rsidRPr="009B77EC">
        <w:rPr>
          <w:szCs w:val="22"/>
        </w:rPr>
        <w:t>na začiatku roka</w:t>
      </w:r>
      <w:r w:rsidR="002E7333" w:rsidRPr="009B77EC">
        <w:rPr>
          <w:szCs w:val="22"/>
        </w:rPr>
        <w:t xml:space="preserve"> 2017.</w:t>
      </w:r>
      <w:r w:rsidR="00CD5BD1" w:rsidRPr="009B77EC">
        <w:rPr>
          <w:szCs w:val="22"/>
        </w:rPr>
        <w:t xml:space="preserve"> </w:t>
      </w:r>
      <w:r w:rsidRPr="009B77EC">
        <w:rPr>
          <w:szCs w:val="22"/>
        </w:rPr>
        <w:t>Od roku 2017 sa predpokladá dosahovanie primárneho prebytku</w:t>
      </w:r>
      <w:r w:rsidR="00BC08D9" w:rsidRPr="009B77EC">
        <w:rPr>
          <w:rStyle w:val="Odkaznapoznmkupodiarou"/>
          <w:szCs w:val="22"/>
        </w:rPr>
        <w:footnoteReference w:id="5"/>
      </w:r>
      <w:r w:rsidRPr="009B77EC">
        <w:rPr>
          <w:szCs w:val="22"/>
        </w:rPr>
        <w:t>, ktorý spolu s prognózou akcelerujúceho rastu HDP a zrýchľovaním inflácie prispeje k výraznejšiemu poklesu dlhu. Koncom roka 2019 sa prognózu</w:t>
      </w:r>
      <w:r w:rsidR="00726121" w:rsidRPr="009B77EC">
        <w:rPr>
          <w:szCs w:val="22"/>
        </w:rPr>
        <w:t>je hrubý dlh verejnej správy vo výške</w:t>
      </w:r>
      <w:r w:rsidRPr="009B77EC">
        <w:rPr>
          <w:szCs w:val="22"/>
        </w:rPr>
        <w:t xml:space="preserve"> 4</w:t>
      </w:r>
      <w:r w:rsidR="003000B9" w:rsidRPr="009B77EC">
        <w:rPr>
          <w:szCs w:val="22"/>
        </w:rPr>
        <w:t>9,1</w:t>
      </w:r>
      <w:r w:rsidR="00F345F6" w:rsidRPr="009B77EC">
        <w:rPr>
          <w:szCs w:val="22"/>
        </w:rPr>
        <w:t> </w:t>
      </w:r>
      <w:r w:rsidR="00726121" w:rsidRPr="009B77EC">
        <w:rPr>
          <w:szCs w:val="22"/>
        </w:rPr>
        <w:t>% HDP</w:t>
      </w:r>
      <w:r w:rsidR="009F6780">
        <w:rPr>
          <w:szCs w:val="22"/>
        </w:rPr>
        <w:t xml:space="preserve">. </w:t>
      </w:r>
      <w:r w:rsidRPr="009B77EC">
        <w:rPr>
          <w:szCs w:val="22"/>
        </w:rPr>
        <w:t>K zmene dlhu verejnej správy prispieva</w:t>
      </w:r>
      <w:r w:rsidR="002E7333" w:rsidRPr="009B77EC">
        <w:rPr>
          <w:szCs w:val="22"/>
        </w:rPr>
        <w:t xml:space="preserve"> vo všeobecnosti</w:t>
      </w:r>
      <w:r w:rsidRPr="009B77EC">
        <w:rPr>
          <w:szCs w:val="22"/>
        </w:rPr>
        <w:t xml:space="preserve"> najmä výška hotovostného deficitu štátneho rozpočtu, ktorý je potrebné financovať. </w:t>
      </w:r>
      <w:r w:rsidR="00BC08D9" w:rsidRPr="009B77EC">
        <w:rPr>
          <w:szCs w:val="22"/>
        </w:rPr>
        <w:t>Dosahovanie prebytku primárneho salda, aj v súvislosti s lepšími hotovostnými deficitmi,</w:t>
      </w:r>
      <w:r w:rsidRPr="009B77EC">
        <w:rPr>
          <w:szCs w:val="22"/>
        </w:rPr>
        <w:t xml:space="preserve"> sa očakáva najmä v nasledujúcich rokoch</w:t>
      </w:r>
      <w:r w:rsidR="00BC08D9" w:rsidRPr="009B77EC">
        <w:rPr>
          <w:szCs w:val="22"/>
        </w:rPr>
        <w:t xml:space="preserve">. Pozitívny vývoj bude </w:t>
      </w:r>
      <w:r w:rsidRPr="009B77EC">
        <w:rPr>
          <w:szCs w:val="22"/>
        </w:rPr>
        <w:t>dôsled</w:t>
      </w:r>
      <w:r w:rsidR="00BC08D9" w:rsidRPr="009B77EC">
        <w:rPr>
          <w:szCs w:val="22"/>
        </w:rPr>
        <w:t>kom</w:t>
      </w:r>
      <w:r w:rsidRPr="009B77EC">
        <w:rPr>
          <w:szCs w:val="22"/>
        </w:rPr>
        <w:t xml:space="preserve"> pokračujúcej konsolidácie verejných financií smerom k dosiahnutiu prebytkového hospodárenia verejnej správy. Z medzinárodných záväzkov Slovenska voči Európskemu nástroju finančnej stability (EFSF) a Európskemu mechanizmu pre stabilitu (ESM) sa pre roky 2017 až 2019 nepredpokladajú ďalšie vplyvy na verejný dlh.</w:t>
      </w:r>
    </w:p>
    <w:p w:rsidR="00067333" w:rsidRPr="009B77EC" w:rsidRDefault="00B6701C" w:rsidP="009B77EC">
      <w:pPr>
        <w:spacing w:before="240" w:after="120"/>
        <w:ind w:firstLine="708"/>
        <w:jc w:val="both"/>
        <w:rPr>
          <w:szCs w:val="22"/>
        </w:rPr>
      </w:pPr>
      <w:r w:rsidRPr="009B77EC">
        <w:rPr>
          <w:szCs w:val="22"/>
        </w:rPr>
        <w:t>Nad rámec hotovostných zmien dlhu bude predstavovať najvýznamnejší vplyv na pokles verejného dlhu od roku 2016 akcelerujúci rast ekonomiky</w:t>
      </w:r>
      <w:r w:rsidR="00E66AB7" w:rsidRPr="009B77EC">
        <w:rPr>
          <w:szCs w:val="22"/>
        </w:rPr>
        <w:t xml:space="preserve"> a postupný návrat inflácie</w:t>
      </w:r>
      <w:r w:rsidR="001D4A83" w:rsidRPr="009B77EC">
        <w:rPr>
          <w:szCs w:val="22"/>
        </w:rPr>
        <w:t>.</w:t>
      </w:r>
      <w:r w:rsidRPr="009B77EC">
        <w:rPr>
          <w:szCs w:val="22"/>
        </w:rPr>
        <w:t xml:space="preserve"> </w:t>
      </w:r>
      <w:r w:rsidR="001D4A83" w:rsidRPr="009B77EC">
        <w:rPr>
          <w:szCs w:val="22"/>
        </w:rPr>
        <w:t>O</w:t>
      </w:r>
      <w:r w:rsidRPr="009B77EC">
        <w:rPr>
          <w:szCs w:val="22"/>
        </w:rPr>
        <w:t xml:space="preserve">d roku 2017 </w:t>
      </w:r>
      <w:r w:rsidR="001D4A83" w:rsidRPr="009B77EC">
        <w:rPr>
          <w:szCs w:val="22"/>
        </w:rPr>
        <w:t>sa bude priaznivo vyvíjať aj</w:t>
      </w:r>
      <w:r w:rsidRPr="009B77EC">
        <w:rPr>
          <w:szCs w:val="22"/>
        </w:rPr>
        <w:t xml:space="preserve"> primárneho sald</w:t>
      </w:r>
      <w:r w:rsidR="001D4A83" w:rsidRPr="009B77EC">
        <w:rPr>
          <w:szCs w:val="22"/>
        </w:rPr>
        <w:t>o hospodárenia</w:t>
      </w:r>
      <w:r w:rsidRPr="009B77EC">
        <w:rPr>
          <w:szCs w:val="22"/>
        </w:rPr>
        <w:t xml:space="preserve"> verejnej správy. </w:t>
      </w:r>
    </w:p>
    <w:p w:rsidR="00067333" w:rsidRPr="009B77EC" w:rsidRDefault="00067333" w:rsidP="00303C58">
      <w:pPr>
        <w:rPr>
          <w:sz w:val="22"/>
          <w:szCs w:val="22"/>
        </w:rPr>
      </w:pPr>
      <w:r w:rsidRPr="009B77EC">
        <w:rPr>
          <w:sz w:val="22"/>
          <w:szCs w:val="22"/>
        </w:rPr>
        <w:br w:type="page"/>
      </w:r>
    </w:p>
    <w:p w:rsidR="00EA74CD" w:rsidRPr="009B77EC" w:rsidRDefault="00EA74CD" w:rsidP="009B77EC">
      <w:pPr>
        <w:pStyle w:val="Nadpis1"/>
        <w:numPr>
          <w:ilvl w:val="0"/>
          <w:numId w:val="9"/>
        </w:numPr>
        <w:spacing w:before="0" w:after="0"/>
        <w:ind w:left="357" w:hanging="357"/>
        <w:rPr>
          <w:rFonts w:ascii="Times New Roman" w:hAnsi="Times New Roman" w:cs="Times New Roman"/>
          <w:sz w:val="28"/>
        </w:rPr>
      </w:pPr>
      <w:bookmarkStart w:id="26" w:name="_Toc463036707"/>
      <w:bookmarkStart w:id="27" w:name="_Toc394471516"/>
      <w:bookmarkStart w:id="28" w:name="_Toc422906270"/>
      <w:r w:rsidRPr="009B77EC">
        <w:rPr>
          <w:rFonts w:ascii="Times New Roman" w:hAnsi="Times New Roman" w:cs="Times New Roman"/>
          <w:sz w:val="28"/>
        </w:rPr>
        <w:lastRenderedPageBreak/>
        <w:t xml:space="preserve">Zhodnotenie plnenia Stratégie riadenia štátneho dlhu </w:t>
      </w:r>
      <w:r w:rsidR="00391339" w:rsidRPr="009B77EC">
        <w:rPr>
          <w:rFonts w:ascii="Times New Roman" w:hAnsi="Times New Roman" w:cs="Times New Roman"/>
          <w:sz w:val="28"/>
        </w:rPr>
        <w:t>k 30.</w:t>
      </w:r>
      <w:r w:rsidR="009B77EC">
        <w:rPr>
          <w:rFonts w:ascii="Times New Roman" w:hAnsi="Times New Roman" w:cs="Times New Roman"/>
          <w:sz w:val="28"/>
        </w:rPr>
        <w:t xml:space="preserve"> </w:t>
      </w:r>
      <w:r w:rsidR="00391339" w:rsidRPr="009B77EC">
        <w:rPr>
          <w:rFonts w:ascii="Times New Roman" w:hAnsi="Times New Roman" w:cs="Times New Roman"/>
          <w:sz w:val="28"/>
        </w:rPr>
        <w:t>9.</w:t>
      </w:r>
      <w:r w:rsidR="008A0FB7" w:rsidRPr="009B77EC">
        <w:rPr>
          <w:rFonts w:ascii="Times New Roman" w:hAnsi="Times New Roman" w:cs="Times New Roman"/>
          <w:sz w:val="28"/>
        </w:rPr>
        <w:t xml:space="preserve"> 2016</w:t>
      </w:r>
      <w:bookmarkEnd w:id="26"/>
    </w:p>
    <w:p w:rsidR="00191554" w:rsidRPr="009B77EC" w:rsidRDefault="00191554" w:rsidP="009B77EC">
      <w:pPr>
        <w:rPr>
          <w:sz w:val="28"/>
        </w:rPr>
      </w:pPr>
    </w:p>
    <w:p w:rsidR="00191554" w:rsidRPr="009B77EC" w:rsidRDefault="00191554" w:rsidP="009B77EC">
      <w:pPr>
        <w:spacing w:after="120"/>
        <w:ind w:firstLine="708"/>
        <w:jc w:val="both"/>
        <w:rPr>
          <w:bCs/>
          <w:i/>
          <w:iCs/>
          <w:szCs w:val="22"/>
        </w:rPr>
      </w:pPr>
      <w:r w:rsidRPr="009B77EC">
        <w:rPr>
          <w:szCs w:val="22"/>
        </w:rPr>
        <w:t>Vývoj na finančných trhoch a v riadení dlhu v rokoch 2015 a 2016 ukazuje, že ciele nastavené v aktuálnej Stratégii na roky 2015 až 2018 boli nastavené správne. Priebežne sa darí plniť všetky stanovené ciele na požadovaných úrovniach.</w:t>
      </w:r>
    </w:p>
    <w:p w:rsidR="00191554" w:rsidRPr="009B77EC" w:rsidRDefault="00191554" w:rsidP="009B77EC">
      <w:pPr>
        <w:spacing w:before="360" w:after="240"/>
        <w:ind w:firstLine="708"/>
        <w:rPr>
          <w:szCs w:val="22"/>
        </w:rPr>
      </w:pPr>
      <w:r w:rsidRPr="009B77EC">
        <w:rPr>
          <w:szCs w:val="22"/>
        </w:rPr>
        <w:t>Plnenie parciálnych cieľov:</w:t>
      </w:r>
    </w:p>
    <w:p w:rsidR="00191554" w:rsidRPr="009B77EC" w:rsidRDefault="00191554" w:rsidP="009B77EC">
      <w:pPr>
        <w:spacing w:before="240" w:after="120"/>
        <w:rPr>
          <w:szCs w:val="22"/>
          <w:u w:val="single"/>
        </w:rPr>
      </w:pPr>
      <w:r w:rsidRPr="009B77EC">
        <w:rPr>
          <w:szCs w:val="22"/>
          <w:u w:val="single"/>
        </w:rPr>
        <w:t xml:space="preserve">1 - Štandardizovanie vlastností nových emisií cenných papierov </w:t>
      </w:r>
    </w:p>
    <w:p w:rsidR="00191554" w:rsidRPr="009B77EC" w:rsidRDefault="00191554" w:rsidP="009B77EC">
      <w:pPr>
        <w:spacing w:after="120"/>
        <w:ind w:firstLine="708"/>
        <w:jc w:val="both"/>
        <w:rPr>
          <w:szCs w:val="22"/>
        </w:rPr>
      </w:pPr>
      <w:r w:rsidRPr="009B77EC">
        <w:rPr>
          <w:szCs w:val="22"/>
        </w:rPr>
        <w:t>V roku 2015 bola na domácom trhu otvorená 1 nová línia dlhopisov 12-ročného dlhopisu so splatnosťou v roku 2027. Otvorenie bolo uskutočnené pomocou syndikátu bánk.</w:t>
      </w:r>
      <w:r w:rsidRPr="009B77EC">
        <w:rPr>
          <w:color w:val="FF0000"/>
          <w:szCs w:val="22"/>
        </w:rPr>
        <w:t xml:space="preserve"> </w:t>
      </w:r>
      <w:r w:rsidRPr="009B77EC">
        <w:rPr>
          <w:szCs w:val="22"/>
        </w:rPr>
        <w:t>V uvedenom roku boli splatené 3 emisie, z toho jedna emisia v EUR registrovaná v zahraničí, jedna emisia v EUR registrovaná na Slovensku a jedna emisia denominovaná v českých korunách. K 31.12.2015 malo MF SR „živých“ celkovo 29 emisií (z toho 13 emisií registrovaných v zahraničí). Novootvorené domáce benchmarkové emisie majú obmedzenú maximálnu menovitú hodnotu na štandardných 3,0 mld. eur, nové ostatné emisie majú obvykle maximálnu menovitú hodnotu 1,5 mld. eur. Aj v roku 2015 ARDAL vo väčšom rozsahu realizovala spätné nákupy štátnych cenných papierov najmä v obdobiach na konci roka, kedy je potrebné upraviť veľkosť dlhu kvôli zákonu o rozpočtovej zodpovednosti, kde sa berie do úvahy iba hrubý dlh. Spätné nákupy dlhopisov uľahčujú nárazové splácanie veľkých emisií a mierne znižujú náklady na správu hotovostnej rezervy.</w:t>
      </w:r>
    </w:p>
    <w:p w:rsidR="00191554" w:rsidRPr="009B77EC" w:rsidRDefault="00191554" w:rsidP="009B77EC">
      <w:pPr>
        <w:spacing w:after="120"/>
        <w:ind w:firstLine="708"/>
        <w:jc w:val="both"/>
        <w:rPr>
          <w:szCs w:val="22"/>
        </w:rPr>
      </w:pPr>
      <w:r w:rsidRPr="009B77EC">
        <w:rPr>
          <w:szCs w:val="22"/>
        </w:rPr>
        <w:t>Počas prvých 9 mesiacov roka 2016 boli na domácom trhu otvorené dve nové línie dlhopisov – 15-ročný dlhopis so splatnosťou v roku 2031 prostredníctvom syndik</w:t>
      </w:r>
      <w:r w:rsidR="001D4A83" w:rsidRPr="009B77EC">
        <w:rPr>
          <w:szCs w:val="22"/>
        </w:rPr>
        <w:t>ovanej emisie</w:t>
      </w:r>
      <w:r w:rsidRPr="009B77EC">
        <w:rPr>
          <w:szCs w:val="22"/>
        </w:rPr>
        <w:t xml:space="preserve"> a 7,5-ročný dlhopis so splatnosťou v roku 2023 prostredníctvom domácej aukcie.</w:t>
      </w:r>
    </w:p>
    <w:p w:rsidR="00191554" w:rsidRPr="009B77EC" w:rsidRDefault="00191554" w:rsidP="009B77EC">
      <w:pPr>
        <w:ind w:firstLine="708"/>
        <w:jc w:val="both"/>
        <w:rPr>
          <w:szCs w:val="22"/>
        </w:rPr>
      </w:pPr>
      <w:r w:rsidRPr="009B77EC">
        <w:rPr>
          <w:szCs w:val="22"/>
        </w:rPr>
        <w:t>Všetky verejne obchodovateľné emitované štátne cenné papiere (denominované v eur) spĺňajú podmienku akceptovateľnosti aktív ECB, takže môžu byť použité v priamych operáciách ECB / NBS alebo ako zábezpeka pri operáciách súvisiacich s výkonom menovej politiky.</w:t>
      </w:r>
    </w:p>
    <w:p w:rsidR="00191554" w:rsidRPr="009B77EC" w:rsidRDefault="00191554" w:rsidP="00191554">
      <w:pPr>
        <w:spacing w:before="240" w:after="120"/>
        <w:jc w:val="center"/>
        <w:rPr>
          <w:b/>
          <w:sz w:val="20"/>
          <w:szCs w:val="22"/>
        </w:rPr>
      </w:pPr>
      <w:r w:rsidRPr="009B77EC">
        <w:rPr>
          <w:b/>
          <w:sz w:val="20"/>
          <w:szCs w:val="22"/>
        </w:rPr>
        <w:t>Dopyt a akceptovaný dopyt v domácich aukciách ŠD (mld. eur) a úroková sadzba z aukcií (% p. a.)</w:t>
      </w:r>
    </w:p>
    <w:p w:rsidR="00191554" w:rsidRPr="009B77EC" w:rsidRDefault="00191554" w:rsidP="00191554">
      <w:pPr>
        <w:jc w:val="both"/>
        <w:rPr>
          <w:sz w:val="22"/>
          <w:szCs w:val="22"/>
        </w:rPr>
      </w:pPr>
      <w:r w:rsidRPr="009B77EC">
        <w:rPr>
          <w:noProof/>
        </w:rPr>
        <w:drawing>
          <wp:inline distT="0" distB="0" distL="0" distR="0" wp14:anchorId="6ACE4E95" wp14:editId="07A989AB">
            <wp:extent cx="5762625" cy="2638425"/>
            <wp:effectExtent l="0" t="0" r="9525" b="9525"/>
            <wp:docPr id="2" name="Graf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91554" w:rsidRPr="009B77EC" w:rsidRDefault="00191554" w:rsidP="00191554">
      <w:pPr>
        <w:spacing w:after="120"/>
        <w:jc w:val="both"/>
        <w:rPr>
          <w:i/>
          <w:sz w:val="16"/>
          <w:szCs w:val="16"/>
        </w:rPr>
      </w:pPr>
      <w:r w:rsidRPr="009B77EC">
        <w:rPr>
          <w:i/>
          <w:sz w:val="16"/>
          <w:szCs w:val="16"/>
        </w:rPr>
        <w:tab/>
      </w:r>
      <w:r w:rsidRPr="009B77EC">
        <w:rPr>
          <w:i/>
          <w:sz w:val="16"/>
          <w:szCs w:val="16"/>
        </w:rPr>
        <w:tab/>
      </w:r>
      <w:r w:rsidRPr="009B77EC">
        <w:rPr>
          <w:i/>
          <w:sz w:val="16"/>
          <w:szCs w:val="16"/>
        </w:rPr>
        <w:tab/>
      </w:r>
      <w:r w:rsidRPr="009B77EC">
        <w:rPr>
          <w:i/>
          <w:sz w:val="16"/>
          <w:szCs w:val="16"/>
        </w:rPr>
        <w:tab/>
      </w:r>
      <w:r w:rsidRPr="009B77EC">
        <w:rPr>
          <w:i/>
          <w:sz w:val="16"/>
          <w:szCs w:val="16"/>
        </w:rPr>
        <w:tab/>
      </w:r>
      <w:r w:rsidRPr="009B77EC">
        <w:rPr>
          <w:i/>
          <w:sz w:val="16"/>
          <w:szCs w:val="16"/>
        </w:rPr>
        <w:tab/>
      </w:r>
      <w:r w:rsidRPr="009B77EC">
        <w:rPr>
          <w:i/>
          <w:sz w:val="16"/>
          <w:szCs w:val="16"/>
        </w:rPr>
        <w:tab/>
      </w:r>
      <w:r w:rsidRPr="009B77EC">
        <w:rPr>
          <w:i/>
          <w:sz w:val="16"/>
          <w:szCs w:val="16"/>
        </w:rPr>
        <w:tab/>
      </w:r>
      <w:r w:rsidRPr="009B77EC">
        <w:rPr>
          <w:i/>
          <w:sz w:val="16"/>
          <w:szCs w:val="16"/>
        </w:rPr>
        <w:tab/>
      </w:r>
      <w:r w:rsidRPr="009B77EC">
        <w:rPr>
          <w:i/>
          <w:sz w:val="16"/>
          <w:szCs w:val="16"/>
        </w:rPr>
        <w:tab/>
      </w:r>
      <w:r w:rsidRPr="009B77EC">
        <w:rPr>
          <w:i/>
          <w:sz w:val="16"/>
          <w:szCs w:val="16"/>
        </w:rPr>
        <w:tab/>
        <w:t>Zdroj: ARDAL</w:t>
      </w:r>
    </w:p>
    <w:p w:rsidR="00191554" w:rsidRPr="009B77EC" w:rsidRDefault="00191554" w:rsidP="00191554">
      <w:pPr>
        <w:spacing w:before="240" w:after="120"/>
        <w:rPr>
          <w:sz w:val="22"/>
          <w:szCs w:val="22"/>
          <w:u w:val="single"/>
        </w:rPr>
      </w:pPr>
    </w:p>
    <w:p w:rsidR="00191554" w:rsidRPr="009B77EC" w:rsidRDefault="00191554" w:rsidP="00191554">
      <w:pPr>
        <w:spacing w:before="240" w:after="120"/>
        <w:rPr>
          <w:sz w:val="22"/>
          <w:szCs w:val="22"/>
          <w:u w:val="single"/>
        </w:rPr>
      </w:pPr>
    </w:p>
    <w:p w:rsidR="00191554" w:rsidRPr="009B77EC" w:rsidRDefault="00191554" w:rsidP="00191554">
      <w:pPr>
        <w:spacing w:before="240" w:after="120"/>
        <w:rPr>
          <w:sz w:val="22"/>
          <w:szCs w:val="22"/>
          <w:u w:val="single"/>
        </w:rPr>
      </w:pPr>
    </w:p>
    <w:p w:rsidR="00191554" w:rsidRPr="009B77EC" w:rsidRDefault="00191554" w:rsidP="00191554">
      <w:pPr>
        <w:spacing w:before="240" w:after="120"/>
        <w:rPr>
          <w:szCs w:val="22"/>
          <w:u w:val="single"/>
        </w:rPr>
      </w:pPr>
      <w:r w:rsidRPr="009B77EC">
        <w:rPr>
          <w:szCs w:val="22"/>
          <w:u w:val="single"/>
        </w:rPr>
        <w:t>2 - Optimalizovanie štruktúry neobchodovateľného dlhu</w:t>
      </w:r>
    </w:p>
    <w:p w:rsidR="00191554" w:rsidRPr="009B77EC" w:rsidRDefault="00191554" w:rsidP="009B77EC">
      <w:pPr>
        <w:spacing w:before="240" w:after="120"/>
        <w:ind w:firstLine="708"/>
        <w:jc w:val="both"/>
        <w:rPr>
          <w:szCs w:val="22"/>
        </w:rPr>
      </w:pPr>
      <w:r w:rsidRPr="009B77EC">
        <w:rPr>
          <w:szCs w:val="22"/>
        </w:rPr>
        <w:t>V minulosti bola ukončená intenzívna fáza optimalizácie štruktúry neobchodovateľného dlhu. Všetky úvery, pri ktorých bolo možné predčasné splatenie za finančne priaznivých alebo neutrálnych podmienok, boli predčasne splatené a neobchodovateľný dlh bol nahradený obchodovateľným dlhom (dlhopismi). Nové úvery (okrem realizovaných záruk) boli schvaľované len v prípade ich ekonomickej výhodnosti a „pridanej hodnoty“ vo forme auditu oprávnenosti výdavkov na schválený projekt. V roku 2015 boli čerpané úvery od EIB a CEB v celkovej hodnote 395 mil. EUR. Pri všetkých úveroch boli podmienky ich čerpania výhodnejšie ako emisia cenných papierov. V prvej polovici roka 2016 boli čerpané úvery od CEB v celkovej hodnote 225 mil. EUR a v septembri 2016 bol prijatý úver v hodnote 105 mil</w:t>
      </w:r>
      <w:r w:rsidR="009B77EC">
        <w:rPr>
          <w:szCs w:val="22"/>
        </w:rPr>
        <w:t>.</w:t>
      </w:r>
      <w:r w:rsidRPr="009B77EC">
        <w:rPr>
          <w:szCs w:val="22"/>
        </w:rPr>
        <w:t xml:space="preserve"> EUR od EIB.</w:t>
      </w:r>
    </w:p>
    <w:p w:rsidR="00191554" w:rsidRPr="009B77EC" w:rsidRDefault="00191554" w:rsidP="00191554">
      <w:pPr>
        <w:spacing w:before="240" w:after="120"/>
        <w:rPr>
          <w:szCs w:val="22"/>
          <w:u w:val="single"/>
        </w:rPr>
      </w:pPr>
      <w:r w:rsidRPr="009B77EC">
        <w:rPr>
          <w:szCs w:val="22"/>
          <w:u w:val="single"/>
        </w:rPr>
        <w:t xml:space="preserve">3 - Dodržiavanie parametrov refinančného, úrokového a cudzomenového rizika štátneho dlhu </w:t>
      </w:r>
    </w:p>
    <w:p w:rsidR="00191554" w:rsidRDefault="00191554" w:rsidP="009B77EC">
      <w:pPr>
        <w:spacing w:before="240" w:after="120"/>
        <w:ind w:firstLine="708"/>
        <w:jc w:val="both"/>
        <w:rPr>
          <w:szCs w:val="22"/>
        </w:rPr>
      </w:pPr>
      <w:r w:rsidRPr="009B77EC">
        <w:rPr>
          <w:szCs w:val="22"/>
        </w:rPr>
        <w:t xml:space="preserve">Pre obdobie minulej Stratégie boli pre sledovanie refinančného a úrokového rizika stanovené optimálne hodnoty parametrov, v blízkosti ktorých je potrebné udržiavať stav portfólia. Hodnotu splatných aj preceňovaných finančných záväzkov štátu v prvom roku udržiavať blízko úrovne 25 % celkových finančných záväzkov a hodnotu splatných aj preceňovaných finančných záväzkov štátu kumulatívne za päť rokov udržiavať blízko úrovne 65 % celkových finančných záväzkov. Od začiatku roka 2015 platí nová stratégia riadenia dlhu pre roky 2015 až 2018, ktorá mierne modifikuje kvantitatívne primárne ciele riadenia rizika. Pre refinančné riziko je strategickým zámerom udržiavanie hodnoty finančných záväzkov štátu splatných kumulatívne za prvý rok blízko úrovne 20 % z celkových finančných záväzkov, za päť rokov je strategickým zámerom hodnota 55 %. Pre riziko z precenenia je zámerom udržiavanie hodnoty preceňovaných finančných záväzkov štátu za prvý rok blízko úrovne </w:t>
      </w:r>
      <w:r w:rsidR="009B77EC">
        <w:rPr>
          <w:szCs w:val="22"/>
        </w:rPr>
        <w:br/>
      </w:r>
      <w:r w:rsidRPr="009B77EC">
        <w:rPr>
          <w:szCs w:val="22"/>
        </w:rPr>
        <w:t>25 % z celkových finančných záväzkov štátu, za päť rokov je zámerom 55 %. Dodržiavanie uvedených cieľov posúva portfólio štátu oproti uplynulému obdobiu do oblasti menšieho rizika v zmysle refinancovania a zmeny úrokových sadzieb.</w:t>
      </w:r>
    </w:p>
    <w:p w:rsidR="009B77EC" w:rsidRDefault="009B77EC" w:rsidP="009B77EC">
      <w:pPr>
        <w:spacing w:before="240" w:after="120"/>
        <w:ind w:firstLine="708"/>
        <w:jc w:val="both"/>
        <w:rPr>
          <w:szCs w:val="22"/>
        </w:rPr>
      </w:pPr>
    </w:p>
    <w:p w:rsidR="009B77EC" w:rsidRDefault="009B77EC" w:rsidP="009B77EC">
      <w:pPr>
        <w:spacing w:before="240" w:after="120"/>
        <w:ind w:firstLine="708"/>
        <w:jc w:val="both"/>
        <w:rPr>
          <w:szCs w:val="22"/>
        </w:rPr>
      </w:pPr>
    </w:p>
    <w:p w:rsidR="009B77EC" w:rsidRDefault="009B77EC" w:rsidP="009B77EC">
      <w:pPr>
        <w:spacing w:before="240" w:after="120"/>
        <w:ind w:firstLine="708"/>
        <w:jc w:val="both"/>
        <w:rPr>
          <w:szCs w:val="22"/>
        </w:rPr>
      </w:pPr>
    </w:p>
    <w:p w:rsidR="009B77EC" w:rsidRDefault="009B77EC" w:rsidP="009B77EC">
      <w:pPr>
        <w:spacing w:before="240" w:after="120"/>
        <w:ind w:firstLine="708"/>
        <w:jc w:val="both"/>
        <w:rPr>
          <w:szCs w:val="22"/>
        </w:rPr>
      </w:pPr>
    </w:p>
    <w:p w:rsidR="009B77EC" w:rsidRDefault="009B77EC" w:rsidP="009B77EC">
      <w:pPr>
        <w:spacing w:before="240" w:after="120"/>
        <w:ind w:firstLine="708"/>
        <w:jc w:val="both"/>
        <w:rPr>
          <w:szCs w:val="22"/>
        </w:rPr>
      </w:pPr>
    </w:p>
    <w:p w:rsidR="009B77EC" w:rsidRDefault="009B77EC" w:rsidP="009B77EC">
      <w:pPr>
        <w:spacing w:before="240" w:after="120"/>
        <w:ind w:firstLine="708"/>
        <w:jc w:val="both"/>
        <w:rPr>
          <w:szCs w:val="22"/>
        </w:rPr>
      </w:pPr>
    </w:p>
    <w:p w:rsidR="009B77EC" w:rsidRDefault="009B77EC" w:rsidP="009B77EC">
      <w:pPr>
        <w:spacing w:before="240" w:after="120"/>
        <w:ind w:firstLine="708"/>
        <w:jc w:val="both"/>
        <w:rPr>
          <w:szCs w:val="22"/>
        </w:rPr>
      </w:pPr>
    </w:p>
    <w:p w:rsidR="009B77EC" w:rsidRDefault="009B77EC" w:rsidP="009B77EC">
      <w:pPr>
        <w:spacing w:before="240" w:after="120"/>
        <w:ind w:firstLine="708"/>
        <w:jc w:val="both"/>
        <w:rPr>
          <w:szCs w:val="22"/>
        </w:rPr>
      </w:pPr>
    </w:p>
    <w:p w:rsidR="009B77EC" w:rsidRDefault="009B77EC" w:rsidP="009B77EC">
      <w:pPr>
        <w:spacing w:before="240" w:after="120"/>
        <w:ind w:firstLine="708"/>
        <w:jc w:val="both"/>
        <w:rPr>
          <w:szCs w:val="22"/>
        </w:rPr>
      </w:pPr>
    </w:p>
    <w:p w:rsidR="009B77EC" w:rsidRDefault="009B77EC" w:rsidP="009B77EC">
      <w:pPr>
        <w:spacing w:before="240" w:after="120"/>
        <w:ind w:firstLine="708"/>
        <w:jc w:val="both"/>
        <w:rPr>
          <w:szCs w:val="22"/>
        </w:rPr>
      </w:pPr>
    </w:p>
    <w:p w:rsidR="009B77EC" w:rsidRDefault="009B77EC" w:rsidP="009B77EC">
      <w:pPr>
        <w:spacing w:before="240" w:after="120"/>
        <w:ind w:firstLine="708"/>
        <w:jc w:val="both"/>
        <w:rPr>
          <w:szCs w:val="22"/>
        </w:rPr>
      </w:pPr>
    </w:p>
    <w:p w:rsidR="009B77EC" w:rsidRPr="009B77EC" w:rsidRDefault="009B77EC" w:rsidP="009B77EC">
      <w:pPr>
        <w:spacing w:before="240" w:after="120"/>
        <w:ind w:firstLine="708"/>
        <w:jc w:val="both"/>
        <w:rPr>
          <w:sz w:val="22"/>
          <w:szCs w:val="22"/>
        </w:rPr>
      </w:pPr>
    </w:p>
    <w:tbl>
      <w:tblPr>
        <w:tblW w:w="8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2"/>
        <w:gridCol w:w="960"/>
        <w:gridCol w:w="909"/>
        <w:gridCol w:w="1330"/>
        <w:gridCol w:w="1330"/>
        <w:gridCol w:w="1287"/>
        <w:gridCol w:w="1287"/>
      </w:tblGrid>
      <w:tr w:rsidR="00191554" w:rsidRPr="009B77EC" w:rsidTr="009B77EC">
        <w:trPr>
          <w:trHeight w:val="205"/>
          <w:jc w:val="center"/>
        </w:trPr>
        <w:tc>
          <w:tcPr>
            <w:tcW w:w="8115" w:type="dxa"/>
            <w:gridSpan w:val="7"/>
            <w:shd w:val="clear" w:color="auto" w:fill="A6A6A6" w:themeFill="background1" w:themeFillShade="A6"/>
            <w:noWrap/>
            <w:vAlign w:val="center"/>
          </w:tcPr>
          <w:p w:rsidR="00191554" w:rsidRPr="009B77EC" w:rsidRDefault="00191554" w:rsidP="00CD5BD1">
            <w:pPr>
              <w:jc w:val="center"/>
              <w:rPr>
                <w:b/>
                <w:bCs/>
                <w:sz w:val="20"/>
                <w:szCs w:val="20"/>
              </w:rPr>
            </w:pPr>
            <w:r w:rsidRPr="009B77EC">
              <w:rPr>
                <w:b/>
                <w:bCs/>
                <w:sz w:val="20"/>
                <w:szCs w:val="20"/>
              </w:rPr>
              <w:t>Ukazovatele refinančného rizika a rizika z precenia</w:t>
            </w:r>
          </w:p>
        </w:tc>
      </w:tr>
      <w:tr w:rsidR="00191554" w:rsidRPr="009B77EC" w:rsidTr="009B77EC">
        <w:trPr>
          <w:trHeight w:val="575"/>
          <w:jc w:val="center"/>
        </w:trPr>
        <w:tc>
          <w:tcPr>
            <w:tcW w:w="1012" w:type="dxa"/>
            <w:shd w:val="clear" w:color="auto" w:fill="BFBFBF" w:themeFill="background1" w:themeFillShade="BF"/>
            <w:noWrap/>
            <w:vAlign w:val="bottom"/>
          </w:tcPr>
          <w:p w:rsidR="00191554" w:rsidRPr="009B77EC" w:rsidRDefault="00191554" w:rsidP="00CD5BD1">
            <w:pPr>
              <w:jc w:val="center"/>
              <w:rPr>
                <w:b/>
                <w:bCs/>
                <w:sz w:val="18"/>
                <w:szCs w:val="18"/>
              </w:rPr>
            </w:pPr>
            <w:r w:rsidRPr="009B77EC">
              <w:rPr>
                <w:b/>
                <w:bCs/>
                <w:sz w:val="18"/>
                <w:szCs w:val="18"/>
              </w:rPr>
              <w:t> </w:t>
            </w:r>
          </w:p>
        </w:tc>
        <w:tc>
          <w:tcPr>
            <w:tcW w:w="960" w:type="dxa"/>
            <w:shd w:val="clear" w:color="auto" w:fill="BFBFBF" w:themeFill="background1" w:themeFillShade="BF"/>
            <w:vAlign w:val="bottom"/>
          </w:tcPr>
          <w:p w:rsidR="00191554" w:rsidRPr="009B77EC" w:rsidRDefault="00191554" w:rsidP="00CD5BD1">
            <w:pPr>
              <w:jc w:val="center"/>
              <w:rPr>
                <w:b/>
                <w:bCs/>
                <w:sz w:val="18"/>
                <w:szCs w:val="18"/>
              </w:rPr>
            </w:pPr>
            <w:r w:rsidRPr="009B77EC">
              <w:rPr>
                <w:b/>
                <w:bCs/>
                <w:sz w:val="18"/>
                <w:szCs w:val="18"/>
              </w:rPr>
              <w:t>Priemerná splatnosť*</w:t>
            </w:r>
          </w:p>
          <w:p w:rsidR="00191554" w:rsidRPr="009B77EC" w:rsidRDefault="00191554" w:rsidP="00CD5BD1">
            <w:pPr>
              <w:jc w:val="center"/>
              <w:rPr>
                <w:b/>
                <w:bCs/>
                <w:sz w:val="18"/>
                <w:szCs w:val="18"/>
                <w:lang w:val="en-US"/>
              </w:rPr>
            </w:pPr>
            <w:r w:rsidRPr="009B77EC">
              <w:rPr>
                <w:b/>
                <w:bCs/>
                <w:sz w:val="18"/>
                <w:szCs w:val="18"/>
                <w:lang w:val="en-US"/>
              </w:rPr>
              <w:t>[rok]</w:t>
            </w:r>
          </w:p>
        </w:tc>
        <w:tc>
          <w:tcPr>
            <w:tcW w:w="909" w:type="dxa"/>
            <w:shd w:val="clear" w:color="auto" w:fill="BFBFBF" w:themeFill="background1" w:themeFillShade="BF"/>
            <w:vAlign w:val="bottom"/>
          </w:tcPr>
          <w:p w:rsidR="00191554" w:rsidRPr="009B77EC" w:rsidRDefault="00191554" w:rsidP="00CD5BD1">
            <w:pPr>
              <w:jc w:val="center"/>
              <w:rPr>
                <w:b/>
                <w:bCs/>
                <w:sz w:val="18"/>
                <w:szCs w:val="18"/>
              </w:rPr>
            </w:pPr>
            <w:r w:rsidRPr="009B77EC">
              <w:rPr>
                <w:b/>
                <w:bCs/>
                <w:sz w:val="18"/>
                <w:szCs w:val="18"/>
              </w:rPr>
              <w:t>Durácia*</w:t>
            </w:r>
          </w:p>
          <w:p w:rsidR="00191554" w:rsidRPr="009B77EC" w:rsidRDefault="00191554" w:rsidP="00CD5BD1">
            <w:pPr>
              <w:jc w:val="center"/>
              <w:rPr>
                <w:b/>
                <w:bCs/>
                <w:sz w:val="18"/>
                <w:szCs w:val="18"/>
              </w:rPr>
            </w:pPr>
            <w:r w:rsidRPr="009B77EC">
              <w:rPr>
                <w:b/>
                <w:bCs/>
                <w:sz w:val="18"/>
                <w:szCs w:val="18"/>
                <w:lang w:val="en-US"/>
              </w:rPr>
              <w:t>[rok]</w:t>
            </w:r>
          </w:p>
        </w:tc>
        <w:tc>
          <w:tcPr>
            <w:tcW w:w="1330" w:type="dxa"/>
            <w:shd w:val="clear" w:color="auto" w:fill="BFBFBF" w:themeFill="background1" w:themeFillShade="BF"/>
            <w:vAlign w:val="bottom"/>
          </w:tcPr>
          <w:p w:rsidR="00191554" w:rsidRPr="009B77EC" w:rsidRDefault="00191554" w:rsidP="00CD5BD1">
            <w:pPr>
              <w:jc w:val="center"/>
              <w:rPr>
                <w:b/>
                <w:bCs/>
                <w:sz w:val="18"/>
                <w:szCs w:val="18"/>
              </w:rPr>
            </w:pPr>
            <w:r w:rsidRPr="009B77EC">
              <w:rPr>
                <w:b/>
                <w:bCs/>
                <w:sz w:val="18"/>
                <w:szCs w:val="18"/>
              </w:rPr>
              <w:t>Refinancovanie</w:t>
            </w:r>
          </w:p>
          <w:p w:rsidR="00191554" w:rsidRPr="009B77EC" w:rsidRDefault="00191554" w:rsidP="00CD5BD1">
            <w:pPr>
              <w:jc w:val="center"/>
              <w:rPr>
                <w:b/>
                <w:bCs/>
                <w:sz w:val="18"/>
                <w:szCs w:val="18"/>
              </w:rPr>
            </w:pPr>
            <w:r w:rsidRPr="009B77EC">
              <w:rPr>
                <w:b/>
                <w:bCs/>
                <w:sz w:val="18"/>
                <w:szCs w:val="18"/>
              </w:rPr>
              <w:t>v 1 roku**</w:t>
            </w:r>
          </w:p>
          <w:p w:rsidR="00191554" w:rsidRPr="009B77EC" w:rsidRDefault="00191554" w:rsidP="00CD5BD1">
            <w:pPr>
              <w:jc w:val="center"/>
              <w:rPr>
                <w:b/>
                <w:bCs/>
                <w:sz w:val="18"/>
                <w:szCs w:val="18"/>
              </w:rPr>
            </w:pPr>
            <w:r w:rsidRPr="009B77EC">
              <w:rPr>
                <w:b/>
                <w:bCs/>
                <w:sz w:val="18"/>
                <w:szCs w:val="18"/>
              </w:rPr>
              <w:t>(opt. 25 %)</w:t>
            </w:r>
          </w:p>
          <w:p w:rsidR="00191554" w:rsidRPr="009B77EC" w:rsidRDefault="00191554" w:rsidP="00CD5BD1">
            <w:pPr>
              <w:jc w:val="center"/>
              <w:rPr>
                <w:b/>
                <w:bCs/>
                <w:sz w:val="18"/>
                <w:szCs w:val="18"/>
              </w:rPr>
            </w:pPr>
            <w:r w:rsidRPr="009B77EC">
              <w:rPr>
                <w:b/>
                <w:bCs/>
                <w:sz w:val="18"/>
                <w:szCs w:val="18"/>
              </w:rPr>
              <w:t>[%]</w:t>
            </w:r>
          </w:p>
        </w:tc>
        <w:tc>
          <w:tcPr>
            <w:tcW w:w="1330" w:type="dxa"/>
            <w:shd w:val="clear" w:color="auto" w:fill="BFBFBF" w:themeFill="background1" w:themeFillShade="BF"/>
            <w:vAlign w:val="bottom"/>
          </w:tcPr>
          <w:p w:rsidR="00191554" w:rsidRPr="009B77EC" w:rsidRDefault="00191554" w:rsidP="00CD5BD1">
            <w:pPr>
              <w:jc w:val="center"/>
              <w:rPr>
                <w:b/>
                <w:bCs/>
                <w:sz w:val="18"/>
                <w:szCs w:val="18"/>
              </w:rPr>
            </w:pPr>
            <w:r w:rsidRPr="009B77EC">
              <w:rPr>
                <w:b/>
                <w:bCs/>
                <w:sz w:val="18"/>
                <w:szCs w:val="18"/>
              </w:rPr>
              <w:t>Refinancovanie</w:t>
            </w:r>
          </w:p>
          <w:p w:rsidR="00191554" w:rsidRPr="009B77EC" w:rsidRDefault="00191554" w:rsidP="00CD5BD1">
            <w:pPr>
              <w:jc w:val="center"/>
              <w:rPr>
                <w:b/>
                <w:bCs/>
                <w:sz w:val="18"/>
                <w:szCs w:val="18"/>
              </w:rPr>
            </w:pPr>
            <w:r w:rsidRPr="009B77EC">
              <w:rPr>
                <w:b/>
                <w:bCs/>
                <w:sz w:val="18"/>
                <w:szCs w:val="18"/>
              </w:rPr>
              <w:t>v 5 rokoch**</w:t>
            </w:r>
          </w:p>
          <w:p w:rsidR="00191554" w:rsidRPr="009B77EC" w:rsidRDefault="00191554" w:rsidP="00CD5BD1">
            <w:pPr>
              <w:jc w:val="center"/>
              <w:rPr>
                <w:b/>
                <w:bCs/>
                <w:sz w:val="18"/>
                <w:szCs w:val="18"/>
              </w:rPr>
            </w:pPr>
            <w:r w:rsidRPr="009B77EC">
              <w:rPr>
                <w:b/>
                <w:bCs/>
                <w:sz w:val="18"/>
                <w:szCs w:val="18"/>
              </w:rPr>
              <w:t>(opt. 60 %)</w:t>
            </w:r>
          </w:p>
          <w:p w:rsidR="00191554" w:rsidRPr="009B77EC" w:rsidRDefault="00191554" w:rsidP="00CD5BD1">
            <w:pPr>
              <w:jc w:val="center"/>
              <w:rPr>
                <w:b/>
                <w:bCs/>
                <w:sz w:val="18"/>
                <w:szCs w:val="18"/>
              </w:rPr>
            </w:pPr>
            <w:r w:rsidRPr="009B77EC">
              <w:rPr>
                <w:b/>
                <w:bCs/>
                <w:sz w:val="18"/>
                <w:szCs w:val="18"/>
              </w:rPr>
              <w:t>[%]</w:t>
            </w:r>
          </w:p>
        </w:tc>
        <w:tc>
          <w:tcPr>
            <w:tcW w:w="1287" w:type="dxa"/>
            <w:shd w:val="clear" w:color="auto" w:fill="BFBFBF" w:themeFill="background1" w:themeFillShade="BF"/>
            <w:vAlign w:val="bottom"/>
          </w:tcPr>
          <w:p w:rsidR="00191554" w:rsidRPr="009B77EC" w:rsidRDefault="00191554" w:rsidP="00CD5BD1">
            <w:pPr>
              <w:jc w:val="center"/>
              <w:rPr>
                <w:b/>
                <w:bCs/>
                <w:sz w:val="18"/>
                <w:szCs w:val="18"/>
              </w:rPr>
            </w:pPr>
            <w:r w:rsidRPr="009B77EC">
              <w:rPr>
                <w:b/>
                <w:bCs/>
                <w:sz w:val="18"/>
                <w:szCs w:val="18"/>
              </w:rPr>
              <w:t>Zmena úroku</w:t>
            </w:r>
          </w:p>
          <w:p w:rsidR="00191554" w:rsidRPr="009B77EC" w:rsidRDefault="00191554" w:rsidP="00CD5BD1">
            <w:pPr>
              <w:jc w:val="center"/>
              <w:rPr>
                <w:b/>
                <w:bCs/>
                <w:sz w:val="18"/>
                <w:szCs w:val="18"/>
              </w:rPr>
            </w:pPr>
            <w:r w:rsidRPr="009B77EC">
              <w:rPr>
                <w:b/>
                <w:bCs/>
                <w:sz w:val="18"/>
                <w:szCs w:val="18"/>
              </w:rPr>
              <w:t>v 1 roku**</w:t>
            </w:r>
          </w:p>
          <w:p w:rsidR="00191554" w:rsidRPr="009B77EC" w:rsidRDefault="00191554" w:rsidP="00CD5BD1">
            <w:pPr>
              <w:jc w:val="center"/>
              <w:rPr>
                <w:b/>
                <w:bCs/>
                <w:sz w:val="18"/>
                <w:szCs w:val="18"/>
              </w:rPr>
            </w:pPr>
            <w:r w:rsidRPr="009B77EC">
              <w:rPr>
                <w:b/>
                <w:bCs/>
                <w:sz w:val="18"/>
                <w:szCs w:val="18"/>
              </w:rPr>
              <w:t>(opt. 25 %)</w:t>
            </w:r>
          </w:p>
          <w:p w:rsidR="00191554" w:rsidRPr="009B77EC" w:rsidRDefault="00191554" w:rsidP="00CD5BD1">
            <w:pPr>
              <w:jc w:val="center"/>
              <w:rPr>
                <w:b/>
                <w:bCs/>
                <w:sz w:val="18"/>
                <w:szCs w:val="18"/>
              </w:rPr>
            </w:pPr>
            <w:r w:rsidRPr="009B77EC">
              <w:rPr>
                <w:b/>
                <w:bCs/>
                <w:sz w:val="18"/>
                <w:szCs w:val="18"/>
              </w:rPr>
              <w:t>[%]</w:t>
            </w:r>
          </w:p>
        </w:tc>
        <w:tc>
          <w:tcPr>
            <w:tcW w:w="1287" w:type="dxa"/>
            <w:shd w:val="clear" w:color="auto" w:fill="BFBFBF" w:themeFill="background1" w:themeFillShade="BF"/>
            <w:vAlign w:val="bottom"/>
          </w:tcPr>
          <w:p w:rsidR="00191554" w:rsidRPr="009B77EC" w:rsidRDefault="00191554" w:rsidP="00CD5BD1">
            <w:pPr>
              <w:jc w:val="center"/>
              <w:rPr>
                <w:b/>
                <w:bCs/>
                <w:sz w:val="18"/>
                <w:szCs w:val="18"/>
              </w:rPr>
            </w:pPr>
            <w:r w:rsidRPr="009B77EC">
              <w:rPr>
                <w:b/>
                <w:bCs/>
                <w:sz w:val="18"/>
                <w:szCs w:val="18"/>
              </w:rPr>
              <w:t>Zmena úroku</w:t>
            </w:r>
          </w:p>
          <w:p w:rsidR="00191554" w:rsidRPr="009B77EC" w:rsidRDefault="00191554" w:rsidP="00CD5BD1">
            <w:pPr>
              <w:jc w:val="center"/>
              <w:rPr>
                <w:b/>
                <w:bCs/>
                <w:sz w:val="18"/>
                <w:szCs w:val="18"/>
              </w:rPr>
            </w:pPr>
            <w:r w:rsidRPr="009B77EC">
              <w:rPr>
                <w:b/>
                <w:bCs/>
                <w:sz w:val="18"/>
                <w:szCs w:val="18"/>
              </w:rPr>
              <w:t>v 5 rokoch**</w:t>
            </w:r>
          </w:p>
          <w:p w:rsidR="00191554" w:rsidRPr="009B77EC" w:rsidRDefault="00191554" w:rsidP="00CD5BD1">
            <w:pPr>
              <w:jc w:val="center"/>
              <w:rPr>
                <w:b/>
                <w:bCs/>
                <w:sz w:val="18"/>
                <w:szCs w:val="18"/>
              </w:rPr>
            </w:pPr>
            <w:r w:rsidRPr="009B77EC">
              <w:rPr>
                <w:b/>
                <w:bCs/>
                <w:sz w:val="18"/>
                <w:szCs w:val="18"/>
              </w:rPr>
              <w:t>(opt. 65 %)</w:t>
            </w:r>
          </w:p>
          <w:p w:rsidR="00191554" w:rsidRPr="009B77EC" w:rsidRDefault="00191554" w:rsidP="00CD5BD1">
            <w:pPr>
              <w:jc w:val="center"/>
              <w:rPr>
                <w:b/>
                <w:bCs/>
                <w:sz w:val="18"/>
                <w:szCs w:val="18"/>
              </w:rPr>
            </w:pPr>
            <w:r w:rsidRPr="009B77EC">
              <w:rPr>
                <w:b/>
                <w:bCs/>
                <w:sz w:val="18"/>
                <w:szCs w:val="18"/>
              </w:rPr>
              <w:t>[%]</w:t>
            </w:r>
          </w:p>
        </w:tc>
      </w:tr>
      <w:tr w:rsidR="00191554" w:rsidRPr="009B77EC" w:rsidTr="00CD5BD1">
        <w:trPr>
          <w:trHeight w:hRule="exact" w:val="202"/>
          <w:jc w:val="center"/>
        </w:trPr>
        <w:tc>
          <w:tcPr>
            <w:tcW w:w="1012" w:type="dxa"/>
            <w:shd w:val="clear" w:color="000000" w:fill="FFFFFF"/>
            <w:noWrap/>
            <w:vAlign w:val="bottom"/>
          </w:tcPr>
          <w:p w:rsidR="00191554" w:rsidRPr="009B77EC" w:rsidRDefault="00191554" w:rsidP="00CD5BD1">
            <w:pPr>
              <w:jc w:val="center"/>
              <w:rPr>
                <w:sz w:val="18"/>
                <w:szCs w:val="18"/>
              </w:rPr>
            </w:pPr>
            <w:r w:rsidRPr="009B77EC">
              <w:rPr>
                <w:sz w:val="18"/>
                <w:szCs w:val="18"/>
              </w:rPr>
              <w:t>1Q 2011</w:t>
            </w:r>
          </w:p>
        </w:tc>
        <w:tc>
          <w:tcPr>
            <w:tcW w:w="960"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5,67</w:t>
            </w:r>
          </w:p>
        </w:tc>
        <w:tc>
          <w:tcPr>
            <w:tcW w:w="909"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4,65</w:t>
            </w:r>
          </w:p>
        </w:tc>
        <w:tc>
          <w:tcPr>
            <w:tcW w:w="1330"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16,09</w:t>
            </w:r>
          </w:p>
        </w:tc>
        <w:tc>
          <w:tcPr>
            <w:tcW w:w="1330"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61,44</w:t>
            </w:r>
          </w:p>
        </w:tc>
        <w:tc>
          <w:tcPr>
            <w:tcW w:w="1287"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25,27</w:t>
            </w:r>
          </w:p>
        </w:tc>
        <w:tc>
          <w:tcPr>
            <w:tcW w:w="1287"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61,49</w:t>
            </w:r>
          </w:p>
        </w:tc>
      </w:tr>
      <w:tr w:rsidR="00191554" w:rsidRPr="009B77EC" w:rsidTr="00CD5BD1">
        <w:trPr>
          <w:trHeight w:hRule="exact" w:val="202"/>
          <w:jc w:val="center"/>
        </w:trPr>
        <w:tc>
          <w:tcPr>
            <w:tcW w:w="1012" w:type="dxa"/>
            <w:shd w:val="clear" w:color="000000" w:fill="FFFFFF"/>
            <w:noWrap/>
            <w:vAlign w:val="bottom"/>
          </w:tcPr>
          <w:p w:rsidR="00191554" w:rsidRPr="009B77EC" w:rsidRDefault="00191554" w:rsidP="00CD5BD1">
            <w:pPr>
              <w:jc w:val="center"/>
              <w:rPr>
                <w:sz w:val="18"/>
                <w:szCs w:val="18"/>
              </w:rPr>
            </w:pPr>
            <w:r w:rsidRPr="009B77EC">
              <w:rPr>
                <w:sz w:val="18"/>
                <w:szCs w:val="18"/>
              </w:rPr>
              <w:t>2Q 2011</w:t>
            </w:r>
          </w:p>
        </w:tc>
        <w:tc>
          <w:tcPr>
            <w:tcW w:w="960"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5,75</w:t>
            </w:r>
          </w:p>
        </w:tc>
        <w:tc>
          <w:tcPr>
            <w:tcW w:w="909"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4,77</w:t>
            </w:r>
          </w:p>
        </w:tc>
        <w:tc>
          <w:tcPr>
            <w:tcW w:w="1330"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16,52</w:t>
            </w:r>
          </w:p>
        </w:tc>
        <w:tc>
          <w:tcPr>
            <w:tcW w:w="1330"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59,30</w:t>
            </w:r>
          </w:p>
        </w:tc>
        <w:tc>
          <w:tcPr>
            <w:tcW w:w="1287"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26,78</w:t>
            </w:r>
          </w:p>
        </w:tc>
        <w:tc>
          <w:tcPr>
            <w:tcW w:w="1287"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59,34</w:t>
            </w:r>
          </w:p>
        </w:tc>
      </w:tr>
      <w:tr w:rsidR="00191554" w:rsidRPr="009B77EC" w:rsidTr="00CD5BD1">
        <w:trPr>
          <w:trHeight w:hRule="exact" w:val="202"/>
          <w:jc w:val="center"/>
        </w:trPr>
        <w:tc>
          <w:tcPr>
            <w:tcW w:w="1012" w:type="dxa"/>
            <w:shd w:val="clear" w:color="000000" w:fill="FFFFFF"/>
            <w:noWrap/>
            <w:vAlign w:val="bottom"/>
          </w:tcPr>
          <w:p w:rsidR="00191554" w:rsidRPr="009B77EC" w:rsidRDefault="00191554" w:rsidP="00CD5BD1">
            <w:pPr>
              <w:jc w:val="center"/>
              <w:rPr>
                <w:sz w:val="18"/>
                <w:szCs w:val="18"/>
              </w:rPr>
            </w:pPr>
            <w:r w:rsidRPr="009B77EC">
              <w:rPr>
                <w:sz w:val="18"/>
                <w:szCs w:val="18"/>
              </w:rPr>
              <w:t>3Q 2011</w:t>
            </w:r>
          </w:p>
        </w:tc>
        <w:tc>
          <w:tcPr>
            <w:tcW w:w="960"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5,39</w:t>
            </w:r>
          </w:p>
        </w:tc>
        <w:tc>
          <w:tcPr>
            <w:tcW w:w="909"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4,51</w:t>
            </w:r>
          </w:p>
        </w:tc>
        <w:tc>
          <w:tcPr>
            <w:tcW w:w="1330"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16,47</w:t>
            </w:r>
          </w:p>
        </w:tc>
        <w:tc>
          <w:tcPr>
            <w:tcW w:w="1330"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59,54</w:t>
            </w:r>
          </w:p>
        </w:tc>
        <w:tc>
          <w:tcPr>
            <w:tcW w:w="1287"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27,31</w:t>
            </w:r>
          </w:p>
        </w:tc>
        <w:tc>
          <w:tcPr>
            <w:tcW w:w="1287"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59,59</w:t>
            </w:r>
          </w:p>
        </w:tc>
      </w:tr>
      <w:tr w:rsidR="00191554" w:rsidRPr="009B77EC" w:rsidTr="00CD5BD1">
        <w:trPr>
          <w:trHeight w:hRule="exact" w:val="202"/>
          <w:jc w:val="center"/>
        </w:trPr>
        <w:tc>
          <w:tcPr>
            <w:tcW w:w="1012" w:type="dxa"/>
            <w:shd w:val="clear" w:color="000000" w:fill="FFFFFF"/>
            <w:noWrap/>
            <w:vAlign w:val="bottom"/>
          </w:tcPr>
          <w:p w:rsidR="00191554" w:rsidRPr="009B77EC" w:rsidRDefault="00191554" w:rsidP="00CD5BD1">
            <w:pPr>
              <w:jc w:val="center"/>
              <w:rPr>
                <w:sz w:val="18"/>
                <w:szCs w:val="18"/>
              </w:rPr>
            </w:pPr>
            <w:r w:rsidRPr="009B77EC">
              <w:rPr>
                <w:sz w:val="18"/>
                <w:szCs w:val="18"/>
              </w:rPr>
              <w:t>4Q 2011</w:t>
            </w:r>
          </w:p>
        </w:tc>
        <w:tc>
          <w:tcPr>
            <w:tcW w:w="960"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5,15</w:t>
            </w:r>
          </w:p>
        </w:tc>
        <w:tc>
          <w:tcPr>
            <w:tcW w:w="909"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4,33</w:t>
            </w:r>
          </w:p>
        </w:tc>
        <w:tc>
          <w:tcPr>
            <w:tcW w:w="1330"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17,29</w:t>
            </w:r>
          </w:p>
        </w:tc>
        <w:tc>
          <w:tcPr>
            <w:tcW w:w="1330"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59,60</w:t>
            </w:r>
          </w:p>
        </w:tc>
        <w:tc>
          <w:tcPr>
            <w:tcW w:w="1287"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27,72</w:t>
            </w:r>
          </w:p>
        </w:tc>
        <w:tc>
          <w:tcPr>
            <w:tcW w:w="1287"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59,64</w:t>
            </w:r>
          </w:p>
        </w:tc>
      </w:tr>
      <w:tr w:rsidR="00191554" w:rsidRPr="009B77EC" w:rsidTr="00CD5BD1">
        <w:trPr>
          <w:trHeight w:hRule="exact" w:val="202"/>
          <w:jc w:val="center"/>
        </w:trPr>
        <w:tc>
          <w:tcPr>
            <w:tcW w:w="1012" w:type="dxa"/>
            <w:shd w:val="clear" w:color="000000" w:fill="FFFFFF"/>
            <w:noWrap/>
            <w:vAlign w:val="bottom"/>
          </w:tcPr>
          <w:p w:rsidR="00191554" w:rsidRPr="009B77EC" w:rsidRDefault="00191554" w:rsidP="00CD5BD1">
            <w:pPr>
              <w:jc w:val="center"/>
              <w:rPr>
                <w:sz w:val="18"/>
                <w:szCs w:val="18"/>
              </w:rPr>
            </w:pPr>
            <w:r w:rsidRPr="009B77EC">
              <w:rPr>
                <w:sz w:val="18"/>
                <w:szCs w:val="18"/>
              </w:rPr>
              <w:t>1Q 2012</w:t>
            </w:r>
          </w:p>
        </w:tc>
        <w:tc>
          <w:tcPr>
            <w:tcW w:w="960"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4,95</w:t>
            </w:r>
          </w:p>
        </w:tc>
        <w:tc>
          <w:tcPr>
            <w:tcW w:w="909"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4,19</w:t>
            </w:r>
          </w:p>
        </w:tc>
        <w:tc>
          <w:tcPr>
            <w:tcW w:w="1330"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18,11</w:t>
            </w:r>
          </w:p>
        </w:tc>
        <w:tc>
          <w:tcPr>
            <w:tcW w:w="1330"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61,11</w:t>
            </w:r>
          </w:p>
        </w:tc>
        <w:tc>
          <w:tcPr>
            <w:tcW w:w="1287"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29,89</w:t>
            </w:r>
          </w:p>
        </w:tc>
        <w:tc>
          <w:tcPr>
            <w:tcW w:w="1287"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61,15</w:t>
            </w:r>
          </w:p>
        </w:tc>
      </w:tr>
      <w:tr w:rsidR="00191554" w:rsidRPr="009B77EC" w:rsidTr="00CD5BD1">
        <w:trPr>
          <w:trHeight w:hRule="exact" w:val="202"/>
          <w:jc w:val="center"/>
        </w:trPr>
        <w:tc>
          <w:tcPr>
            <w:tcW w:w="1012" w:type="dxa"/>
            <w:shd w:val="clear" w:color="000000" w:fill="FFFFFF"/>
            <w:noWrap/>
            <w:vAlign w:val="bottom"/>
          </w:tcPr>
          <w:p w:rsidR="00191554" w:rsidRPr="009B77EC" w:rsidRDefault="00191554" w:rsidP="00CD5BD1">
            <w:pPr>
              <w:jc w:val="center"/>
              <w:rPr>
                <w:sz w:val="18"/>
                <w:szCs w:val="18"/>
              </w:rPr>
            </w:pPr>
            <w:r w:rsidRPr="009B77EC">
              <w:rPr>
                <w:sz w:val="18"/>
                <w:szCs w:val="18"/>
              </w:rPr>
              <w:t>2Q 2012</w:t>
            </w:r>
          </w:p>
        </w:tc>
        <w:tc>
          <w:tcPr>
            <w:tcW w:w="960"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5,20</w:t>
            </w:r>
          </w:p>
        </w:tc>
        <w:tc>
          <w:tcPr>
            <w:tcW w:w="909"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4,47</w:t>
            </w:r>
          </w:p>
        </w:tc>
        <w:tc>
          <w:tcPr>
            <w:tcW w:w="1330"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10,94</w:t>
            </w:r>
          </w:p>
        </w:tc>
        <w:tc>
          <w:tcPr>
            <w:tcW w:w="1330"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62,42</w:t>
            </w:r>
          </w:p>
        </w:tc>
        <w:tc>
          <w:tcPr>
            <w:tcW w:w="1287"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23,49</w:t>
            </w:r>
          </w:p>
        </w:tc>
        <w:tc>
          <w:tcPr>
            <w:tcW w:w="1287"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62,46</w:t>
            </w:r>
          </w:p>
        </w:tc>
      </w:tr>
      <w:tr w:rsidR="00191554" w:rsidRPr="009B77EC" w:rsidTr="00CD5BD1">
        <w:trPr>
          <w:trHeight w:hRule="exact" w:val="202"/>
          <w:jc w:val="center"/>
        </w:trPr>
        <w:tc>
          <w:tcPr>
            <w:tcW w:w="1012" w:type="dxa"/>
            <w:shd w:val="clear" w:color="000000" w:fill="FFFFFF"/>
            <w:noWrap/>
            <w:vAlign w:val="bottom"/>
          </w:tcPr>
          <w:p w:rsidR="00191554" w:rsidRPr="009B77EC" w:rsidRDefault="00191554" w:rsidP="00CD5BD1">
            <w:pPr>
              <w:jc w:val="center"/>
              <w:rPr>
                <w:sz w:val="18"/>
                <w:szCs w:val="18"/>
              </w:rPr>
            </w:pPr>
            <w:r w:rsidRPr="009B77EC">
              <w:rPr>
                <w:sz w:val="18"/>
                <w:szCs w:val="18"/>
              </w:rPr>
              <w:t>3Q 2012</w:t>
            </w:r>
          </w:p>
        </w:tc>
        <w:tc>
          <w:tcPr>
            <w:tcW w:w="960"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5,39</w:t>
            </w:r>
          </w:p>
        </w:tc>
        <w:tc>
          <w:tcPr>
            <w:tcW w:w="909"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4,67</w:t>
            </w:r>
          </w:p>
        </w:tc>
        <w:tc>
          <w:tcPr>
            <w:tcW w:w="1330"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9,75</w:t>
            </w:r>
          </w:p>
        </w:tc>
        <w:tc>
          <w:tcPr>
            <w:tcW w:w="1330"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60,19</w:t>
            </w:r>
          </w:p>
        </w:tc>
        <w:tc>
          <w:tcPr>
            <w:tcW w:w="1287"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22,18</w:t>
            </w:r>
          </w:p>
        </w:tc>
        <w:tc>
          <w:tcPr>
            <w:tcW w:w="1287"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60,23</w:t>
            </w:r>
          </w:p>
        </w:tc>
      </w:tr>
      <w:tr w:rsidR="00191554" w:rsidRPr="009B77EC" w:rsidTr="00CD5BD1">
        <w:trPr>
          <w:trHeight w:hRule="exact" w:val="202"/>
          <w:jc w:val="center"/>
        </w:trPr>
        <w:tc>
          <w:tcPr>
            <w:tcW w:w="1012" w:type="dxa"/>
            <w:shd w:val="clear" w:color="000000" w:fill="FFFFFF"/>
            <w:noWrap/>
            <w:vAlign w:val="bottom"/>
          </w:tcPr>
          <w:p w:rsidR="00191554" w:rsidRPr="009B77EC" w:rsidRDefault="00191554" w:rsidP="00CD5BD1">
            <w:pPr>
              <w:jc w:val="center"/>
              <w:rPr>
                <w:sz w:val="18"/>
                <w:szCs w:val="18"/>
              </w:rPr>
            </w:pPr>
            <w:r w:rsidRPr="009B77EC">
              <w:rPr>
                <w:sz w:val="18"/>
                <w:szCs w:val="18"/>
              </w:rPr>
              <w:t>4Q 2012</w:t>
            </w:r>
          </w:p>
        </w:tc>
        <w:tc>
          <w:tcPr>
            <w:tcW w:w="960"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5,60</w:t>
            </w:r>
          </w:p>
        </w:tc>
        <w:tc>
          <w:tcPr>
            <w:tcW w:w="909"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4,87</w:t>
            </w:r>
          </w:p>
        </w:tc>
        <w:tc>
          <w:tcPr>
            <w:tcW w:w="1330"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13,32</w:t>
            </w:r>
          </w:p>
        </w:tc>
        <w:tc>
          <w:tcPr>
            <w:tcW w:w="1330"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59,27</w:t>
            </w:r>
          </w:p>
        </w:tc>
        <w:tc>
          <w:tcPr>
            <w:tcW w:w="1287"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20,26</w:t>
            </w:r>
          </w:p>
        </w:tc>
        <w:tc>
          <w:tcPr>
            <w:tcW w:w="1287"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59,31</w:t>
            </w:r>
          </w:p>
        </w:tc>
      </w:tr>
      <w:tr w:rsidR="00191554" w:rsidRPr="009B77EC" w:rsidTr="00CD5BD1">
        <w:trPr>
          <w:trHeight w:hRule="exact" w:val="202"/>
          <w:jc w:val="center"/>
        </w:trPr>
        <w:tc>
          <w:tcPr>
            <w:tcW w:w="1012" w:type="dxa"/>
            <w:shd w:val="clear" w:color="000000" w:fill="FFFFFF"/>
            <w:noWrap/>
            <w:vAlign w:val="bottom"/>
          </w:tcPr>
          <w:p w:rsidR="00191554" w:rsidRPr="009B77EC" w:rsidRDefault="00191554" w:rsidP="00CD5BD1">
            <w:pPr>
              <w:jc w:val="center"/>
              <w:rPr>
                <w:sz w:val="18"/>
                <w:szCs w:val="18"/>
              </w:rPr>
            </w:pPr>
            <w:r w:rsidRPr="009B77EC">
              <w:rPr>
                <w:sz w:val="18"/>
                <w:szCs w:val="18"/>
              </w:rPr>
              <w:t>1Q 2013</w:t>
            </w:r>
          </w:p>
        </w:tc>
        <w:tc>
          <w:tcPr>
            <w:tcW w:w="960"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6,42</w:t>
            </w:r>
          </w:p>
        </w:tc>
        <w:tc>
          <w:tcPr>
            <w:tcW w:w="909"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5,54</w:t>
            </w:r>
          </w:p>
        </w:tc>
        <w:tc>
          <w:tcPr>
            <w:tcW w:w="1330"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7,65</w:t>
            </w:r>
          </w:p>
        </w:tc>
        <w:tc>
          <w:tcPr>
            <w:tcW w:w="1330"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50,64</w:t>
            </w:r>
          </w:p>
        </w:tc>
        <w:tc>
          <w:tcPr>
            <w:tcW w:w="1287"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15,59</w:t>
            </w:r>
          </w:p>
        </w:tc>
        <w:tc>
          <w:tcPr>
            <w:tcW w:w="1287"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50,68</w:t>
            </w:r>
          </w:p>
        </w:tc>
      </w:tr>
      <w:tr w:rsidR="00191554" w:rsidRPr="009B77EC" w:rsidTr="00CD5BD1">
        <w:trPr>
          <w:trHeight w:hRule="exact" w:val="202"/>
          <w:jc w:val="center"/>
        </w:trPr>
        <w:tc>
          <w:tcPr>
            <w:tcW w:w="1012" w:type="dxa"/>
            <w:shd w:val="clear" w:color="000000" w:fill="FFFFFF"/>
            <w:noWrap/>
            <w:vAlign w:val="bottom"/>
          </w:tcPr>
          <w:p w:rsidR="00191554" w:rsidRPr="009B77EC" w:rsidRDefault="00191554" w:rsidP="00CD5BD1">
            <w:pPr>
              <w:jc w:val="center"/>
              <w:rPr>
                <w:sz w:val="18"/>
                <w:szCs w:val="18"/>
              </w:rPr>
            </w:pPr>
            <w:r w:rsidRPr="009B77EC">
              <w:rPr>
                <w:sz w:val="18"/>
                <w:szCs w:val="18"/>
              </w:rPr>
              <w:t>2Q 2013</w:t>
            </w:r>
          </w:p>
        </w:tc>
        <w:tc>
          <w:tcPr>
            <w:tcW w:w="960"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6,37</w:t>
            </w:r>
          </w:p>
        </w:tc>
        <w:tc>
          <w:tcPr>
            <w:tcW w:w="909"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5,45</w:t>
            </w:r>
          </w:p>
        </w:tc>
        <w:tc>
          <w:tcPr>
            <w:tcW w:w="1330"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13,13</w:t>
            </w:r>
          </w:p>
        </w:tc>
        <w:tc>
          <w:tcPr>
            <w:tcW w:w="1330"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47,55</w:t>
            </w:r>
          </w:p>
        </w:tc>
        <w:tc>
          <w:tcPr>
            <w:tcW w:w="1287"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21,23</w:t>
            </w:r>
          </w:p>
        </w:tc>
        <w:tc>
          <w:tcPr>
            <w:tcW w:w="1287"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47,58</w:t>
            </w:r>
          </w:p>
        </w:tc>
      </w:tr>
      <w:tr w:rsidR="00191554" w:rsidRPr="009B77EC" w:rsidTr="00CD5BD1">
        <w:trPr>
          <w:trHeight w:hRule="exact" w:val="202"/>
          <w:jc w:val="center"/>
        </w:trPr>
        <w:tc>
          <w:tcPr>
            <w:tcW w:w="1012" w:type="dxa"/>
            <w:shd w:val="clear" w:color="000000" w:fill="FFFFFF"/>
            <w:noWrap/>
            <w:vAlign w:val="bottom"/>
          </w:tcPr>
          <w:p w:rsidR="00191554" w:rsidRPr="009B77EC" w:rsidRDefault="00191554" w:rsidP="00CD5BD1">
            <w:pPr>
              <w:jc w:val="center"/>
              <w:rPr>
                <w:sz w:val="18"/>
                <w:szCs w:val="18"/>
              </w:rPr>
            </w:pPr>
            <w:r w:rsidRPr="009B77EC">
              <w:rPr>
                <w:sz w:val="18"/>
                <w:szCs w:val="18"/>
              </w:rPr>
              <w:t>3Q 2013</w:t>
            </w:r>
          </w:p>
        </w:tc>
        <w:tc>
          <w:tcPr>
            <w:tcW w:w="960"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6,31</w:t>
            </w:r>
          </w:p>
        </w:tc>
        <w:tc>
          <w:tcPr>
            <w:tcW w:w="909"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5,36</w:t>
            </w:r>
          </w:p>
        </w:tc>
        <w:tc>
          <w:tcPr>
            <w:tcW w:w="1330"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9,79</w:t>
            </w:r>
          </w:p>
        </w:tc>
        <w:tc>
          <w:tcPr>
            <w:tcW w:w="1330"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45,56</w:t>
            </w:r>
          </w:p>
        </w:tc>
        <w:tc>
          <w:tcPr>
            <w:tcW w:w="1287"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19,26</w:t>
            </w:r>
          </w:p>
        </w:tc>
        <w:tc>
          <w:tcPr>
            <w:tcW w:w="1287"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46,75</w:t>
            </w:r>
          </w:p>
        </w:tc>
      </w:tr>
      <w:tr w:rsidR="00191554" w:rsidRPr="009B77EC" w:rsidTr="00CD5BD1">
        <w:trPr>
          <w:trHeight w:hRule="exact" w:val="202"/>
          <w:jc w:val="center"/>
        </w:trPr>
        <w:tc>
          <w:tcPr>
            <w:tcW w:w="1012" w:type="dxa"/>
            <w:shd w:val="clear" w:color="000000" w:fill="FFFFFF"/>
            <w:noWrap/>
            <w:vAlign w:val="bottom"/>
          </w:tcPr>
          <w:p w:rsidR="00191554" w:rsidRPr="009B77EC" w:rsidRDefault="00191554" w:rsidP="00CD5BD1">
            <w:pPr>
              <w:jc w:val="center"/>
              <w:rPr>
                <w:sz w:val="18"/>
                <w:szCs w:val="18"/>
              </w:rPr>
            </w:pPr>
            <w:r w:rsidRPr="009B77EC">
              <w:rPr>
                <w:sz w:val="18"/>
                <w:szCs w:val="18"/>
              </w:rPr>
              <w:t>4Q 2013</w:t>
            </w:r>
          </w:p>
        </w:tc>
        <w:tc>
          <w:tcPr>
            <w:tcW w:w="960"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6,45</w:t>
            </w:r>
          </w:p>
        </w:tc>
        <w:tc>
          <w:tcPr>
            <w:tcW w:w="909"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5,44</w:t>
            </w:r>
          </w:p>
        </w:tc>
        <w:tc>
          <w:tcPr>
            <w:tcW w:w="1330"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9,61</w:t>
            </w:r>
          </w:p>
        </w:tc>
        <w:tc>
          <w:tcPr>
            <w:tcW w:w="1330"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47,65</w:t>
            </w:r>
          </w:p>
        </w:tc>
        <w:tc>
          <w:tcPr>
            <w:tcW w:w="1287"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16,59</w:t>
            </w:r>
          </w:p>
        </w:tc>
        <w:tc>
          <w:tcPr>
            <w:tcW w:w="1287" w:type="dxa"/>
            <w:shd w:val="clear" w:color="000000" w:fill="FFFFFF"/>
            <w:noWrap/>
            <w:vAlign w:val="bottom"/>
          </w:tcPr>
          <w:p w:rsidR="00191554" w:rsidRPr="009B77EC" w:rsidRDefault="00191554" w:rsidP="00CD5BD1">
            <w:pPr>
              <w:ind w:right="113"/>
              <w:jc w:val="right"/>
              <w:rPr>
                <w:sz w:val="18"/>
                <w:szCs w:val="18"/>
              </w:rPr>
            </w:pPr>
            <w:r w:rsidRPr="009B77EC">
              <w:rPr>
                <w:sz w:val="18"/>
                <w:szCs w:val="18"/>
              </w:rPr>
              <w:t>47,69</w:t>
            </w:r>
          </w:p>
        </w:tc>
      </w:tr>
      <w:tr w:rsidR="00191554" w:rsidRPr="009B77EC" w:rsidTr="00CD5BD1">
        <w:trPr>
          <w:trHeight w:hRule="exact" w:val="202"/>
          <w:jc w:val="center"/>
        </w:trPr>
        <w:tc>
          <w:tcPr>
            <w:tcW w:w="1012" w:type="dxa"/>
            <w:tcBorders>
              <w:bottom w:val="single" w:sz="4" w:space="0" w:color="auto"/>
            </w:tcBorders>
            <w:shd w:val="clear" w:color="000000" w:fill="FFFFFF"/>
            <w:noWrap/>
            <w:vAlign w:val="bottom"/>
          </w:tcPr>
          <w:p w:rsidR="00191554" w:rsidRPr="009B77EC" w:rsidRDefault="00191554" w:rsidP="00CD5BD1">
            <w:pPr>
              <w:jc w:val="center"/>
              <w:rPr>
                <w:sz w:val="18"/>
                <w:szCs w:val="18"/>
              </w:rPr>
            </w:pPr>
            <w:r w:rsidRPr="009B77EC">
              <w:rPr>
                <w:sz w:val="18"/>
                <w:szCs w:val="18"/>
              </w:rPr>
              <w:t>1Q 2014</w:t>
            </w:r>
          </w:p>
        </w:tc>
        <w:tc>
          <w:tcPr>
            <w:tcW w:w="960"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6,93</w:t>
            </w:r>
          </w:p>
        </w:tc>
        <w:tc>
          <w:tcPr>
            <w:tcW w:w="909"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5,94</w:t>
            </w:r>
          </w:p>
        </w:tc>
        <w:tc>
          <w:tcPr>
            <w:tcW w:w="1330"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11,83</w:t>
            </w:r>
          </w:p>
        </w:tc>
        <w:tc>
          <w:tcPr>
            <w:tcW w:w="1330"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42,21</w:t>
            </w:r>
          </w:p>
        </w:tc>
        <w:tc>
          <w:tcPr>
            <w:tcW w:w="1287"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17,21</w:t>
            </w:r>
          </w:p>
        </w:tc>
        <w:tc>
          <w:tcPr>
            <w:tcW w:w="1287"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42,24</w:t>
            </w:r>
          </w:p>
        </w:tc>
      </w:tr>
      <w:tr w:rsidR="00191554" w:rsidRPr="009B77EC" w:rsidTr="00CD5BD1">
        <w:trPr>
          <w:trHeight w:hRule="exact" w:val="202"/>
          <w:jc w:val="center"/>
        </w:trPr>
        <w:tc>
          <w:tcPr>
            <w:tcW w:w="1012" w:type="dxa"/>
            <w:tcBorders>
              <w:bottom w:val="single" w:sz="4" w:space="0" w:color="auto"/>
            </w:tcBorders>
            <w:shd w:val="clear" w:color="000000" w:fill="FFFFFF"/>
            <w:noWrap/>
            <w:vAlign w:val="bottom"/>
          </w:tcPr>
          <w:p w:rsidR="00191554" w:rsidRPr="009B77EC" w:rsidRDefault="00191554" w:rsidP="00CD5BD1">
            <w:pPr>
              <w:jc w:val="center"/>
              <w:rPr>
                <w:sz w:val="18"/>
                <w:szCs w:val="18"/>
              </w:rPr>
            </w:pPr>
            <w:r w:rsidRPr="009B77EC">
              <w:rPr>
                <w:sz w:val="18"/>
                <w:szCs w:val="18"/>
              </w:rPr>
              <w:t>2Q 2014</w:t>
            </w:r>
          </w:p>
        </w:tc>
        <w:tc>
          <w:tcPr>
            <w:tcW w:w="960"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7,10</w:t>
            </w:r>
          </w:p>
        </w:tc>
        <w:tc>
          <w:tcPr>
            <w:tcW w:w="909"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6,19</w:t>
            </w:r>
          </w:p>
        </w:tc>
        <w:tc>
          <w:tcPr>
            <w:tcW w:w="1330"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11,07</w:t>
            </w:r>
          </w:p>
        </w:tc>
        <w:tc>
          <w:tcPr>
            <w:tcW w:w="1330"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45,09</w:t>
            </w:r>
          </w:p>
        </w:tc>
        <w:tc>
          <w:tcPr>
            <w:tcW w:w="1287"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16,79</w:t>
            </w:r>
          </w:p>
        </w:tc>
        <w:tc>
          <w:tcPr>
            <w:tcW w:w="1287"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45,12</w:t>
            </w:r>
          </w:p>
        </w:tc>
      </w:tr>
      <w:tr w:rsidR="00191554" w:rsidRPr="009B77EC" w:rsidTr="00CD5BD1">
        <w:trPr>
          <w:trHeight w:hRule="exact" w:val="202"/>
          <w:jc w:val="center"/>
        </w:trPr>
        <w:tc>
          <w:tcPr>
            <w:tcW w:w="1012" w:type="dxa"/>
            <w:tcBorders>
              <w:bottom w:val="single" w:sz="4" w:space="0" w:color="auto"/>
            </w:tcBorders>
            <w:shd w:val="clear" w:color="000000" w:fill="FFFFFF"/>
            <w:noWrap/>
            <w:vAlign w:val="bottom"/>
          </w:tcPr>
          <w:p w:rsidR="00191554" w:rsidRPr="009B77EC" w:rsidRDefault="00191554" w:rsidP="00CD5BD1">
            <w:pPr>
              <w:jc w:val="center"/>
              <w:rPr>
                <w:sz w:val="18"/>
                <w:szCs w:val="18"/>
              </w:rPr>
            </w:pPr>
            <w:r w:rsidRPr="009B77EC">
              <w:rPr>
                <w:sz w:val="18"/>
                <w:szCs w:val="18"/>
              </w:rPr>
              <w:t>3Q 2014</w:t>
            </w:r>
          </w:p>
        </w:tc>
        <w:tc>
          <w:tcPr>
            <w:tcW w:w="960"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6,86</w:t>
            </w:r>
          </w:p>
        </w:tc>
        <w:tc>
          <w:tcPr>
            <w:tcW w:w="909"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6,06</w:t>
            </w:r>
          </w:p>
        </w:tc>
        <w:tc>
          <w:tcPr>
            <w:tcW w:w="1330"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11,57</w:t>
            </w:r>
          </w:p>
        </w:tc>
        <w:tc>
          <w:tcPr>
            <w:tcW w:w="1330"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44,57</w:t>
            </w:r>
          </w:p>
        </w:tc>
        <w:tc>
          <w:tcPr>
            <w:tcW w:w="1287"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15,92</w:t>
            </w:r>
          </w:p>
        </w:tc>
        <w:tc>
          <w:tcPr>
            <w:tcW w:w="1287"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44,60</w:t>
            </w:r>
          </w:p>
        </w:tc>
      </w:tr>
      <w:tr w:rsidR="00191554" w:rsidRPr="009B77EC" w:rsidTr="00CD5BD1">
        <w:trPr>
          <w:trHeight w:hRule="exact" w:val="202"/>
          <w:jc w:val="center"/>
        </w:trPr>
        <w:tc>
          <w:tcPr>
            <w:tcW w:w="1012" w:type="dxa"/>
            <w:tcBorders>
              <w:bottom w:val="single" w:sz="4" w:space="0" w:color="auto"/>
            </w:tcBorders>
            <w:shd w:val="clear" w:color="000000" w:fill="FFFFFF"/>
            <w:noWrap/>
            <w:vAlign w:val="bottom"/>
          </w:tcPr>
          <w:p w:rsidR="00191554" w:rsidRPr="009B77EC" w:rsidRDefault="00191554" w:rsidP="00CD5BD1">
            <w:pPr>
              <w:jc w:val="center"/>
              <w:rPr>
                <w:sz w:val="18"/>
                <w:szCs w:val="18"/>
              </w:rPr>
            </w:pPr>
            <w:r w:rsidRPr="009B77EC">
              <w:rPr>
                <w:sz w:val="18"/>
                <w:szCs w:val="18"/>
              </w:rPr>
              <w:t>4Q 2014</w:t>
            </w:r>
          </w:p>
        </w:tc>
        <w:tc>
          <w:tcPr>
            <w:tcW w:w="960"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6,83</w:t>
            </w:r>
          </w:p>
        </w:tc>
        <w:tc>
          <w:tcPr>
            <w:tcW w:w="909"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6,17</w:t>
            </w:r>
          </w:p>
        </w:tc>
        <w:tc>
          <w:tcPr>
            <w:tcW w:w="1330"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12,31</w:t>
            </w:r>
          </w:p>
        </w:tc>
        <w:tc>
          <w:tcPr>
            <w:tcW w:w="1330"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45,51</w:t>
            </w:r>
          </w:p>
        </w:tc>
        <w:tc>
          <w:tcPr>
            <w:tcW w:w="1287"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16,54</w:t>
            </w:r>
          </w:p>
        </w:tc>
        <w:tc>
          <w:tcPr>
            <w:tcW w:w="1287"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45,54</w:t>
            </w:r>
          </w:p>
        </w:tc>
      </w:tr>
      <w:tr w:rsidR="00191554" w:rsidRPr="009B77EC" w:rsidTr="00CD5BD1">
        <w:trPr>
          <w:trHeight w:hRule="exact" w:val="202"/>
          <w:jc w:val="center"/>
        </w:trPr>
        <w:tc>
          <w:tcPr>
            <w:tcW w:w="1012" w:type="dxa"/>
            <w:tcBorders>
              <w:bottom w:val="single" w:sz="4" w:space="0" w:color="auto"/>
            </w:tcBorders>
            <w:shd w:val="clear" w:color="000000" w:fill="FFFFFF"/>
            <w:noWrap/>
            <w:vAlign w:val="bottom"/>
          </w:tcPr>
          <w:p w:rsidR="00191554" w:rsidRPr="009B77EC" w:rsidRDefault="00191554" w:rsidP="00CD5BD1">
            <w:pPr>
              <w:jc w:val="center"/>
              <w:rPr>
                <w:sz w:val="18"/>
                <w:szCs w:val="18"/>
              </w:rPr>
            </w:pPr>
            <w:r w:rsidRPr="009B77EC">
              <w:rPr>
                <w:sz w:val="18"/>
                <w:szCs w:val="18"/>
              </w:rPr>
              <w:t>1Q 2015</w:t>
            </w:r>
          </w:p>
        </w:tc>
        <w:tc>
          <w:tcPr>
            <w:tcW w:w="960"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7,14</w:t>
            </w:r>
          </w:p>
        </w:tc>
        <w:tc>
          <w:tcPr>
            <w:tcW w:w="909"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6,56</w:t>
            </w:r>
          </w:p>
        </w:tc>
        <w:tc>
          <w:tcPr>
            <w:tcW w:w="1330"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16,14</w:t>
            </w:r>
          </w:p>
        </w:tc>
        <w:tc>
          <w:tcPr>
            <w:tcW w:w="1330"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41,95</w:t>
            </w:r>
          </w:p>
        </w:tc>
        <w:tc>
          <w:tcPr>
            <w:tcW w:w="1287"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20,17</w:t>
            </w:r>
          </w:p>
        </w:tc>
        <w:tc>
          <w:tcPr>
            <w:tcW w:w="1287"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41,98</w:t>
            </w:r>
          </w:p>
        </w:tc>
      </w:tr>
      <w:tr w:rsidR="00191554" w:rsidRPr="009B77EC" w:rsidTr="00CD5BD1">
        <w:trPr>
          <w:trHeight w:hRule="exact" w:val="202"/>
          <w:jc w:val="center"/>
        </w:trPr>
        <w:tc>
          <w:tcPr>
            <w:tcW w:w="1012" w:type="dxa"/>
            <w:tcBorders>
              <w:bottom w:val="single" w:sz="4" w:space="0" w:color="auto"/>
            </w:tcBorders>
            <w:shd w:val="clear" w:color="000000" w:fill="FFFFFF"/>
            <w:noWrap/>
            <w:vAlign w:val="bottom"/>
          </w:tcPr>
          <w:p w:rsidR="00191554" w:rsidRPr="009B77EC" w:rsidRDefault="00191554" w:rsidP="00CD5BD1">
            <w:pPr>
              <w:jc w:val="center"/>
              <w:rPr>
                <w:sz w:val="18"/>
                <w:szCs w:val="18"/>
              </w:rPr>
            </w:pPr>
            <w:r w:rsidRPr="009B77EC">
              <w:rPr>
                <w:sz w:val="18"/>
                <w:szCs w:val="18"/>
              </w:rPr>
              <w:t>2Q 2015</w:t>
            </w:r>
          </w:p>
        </w:tc>
        <w:tc>
          <w:tcPr>
            <w:tcW w:w="960"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6,92</w:t>
            </w:r>
          </w:p>
        </w:tc>
        <w:tc>
          <w:tcPr>
            <w:tcW w:w="909"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6,23</w:t>
            </w:r>
          </w:p>
        </w:tc>
        <w:tc>
          <w:tcPr>
            <w:tcW w:w="1330"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15,95</w:t>
            </w:r>
          </w:p>
        </w:tc>
        <w:tc>
          <w:tcPr>
            <w:tcW w:w="1330"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48,46</w:t>
            </w:r>
          </w:p>
        </w:tc>
        <w:tc>
          <w:tcPr>
            <w:tcW w:w="1287"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19,16</w:t>
            </w:r>
          </w:p>
        </w:tc>
        <w:tc>
          <w:tcPr>
            <w:tcW w:w="1287"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48,48</w:t>
            </w:r>
          </w:p>
        </w:tc>
      </w:tr>
      <w:tr w:rsidR="00191554" w:rsidRPr="009B77EC" w:rsidTr="00CD5BD1">
        <w:trPr>
          <w:trHeight w:hRule="exact" w:val="202"/>
          <w:jc w:val="center"/>
        </w:trPr>
        <w:tc>
          <w:tcPr>
            <w:tcW w:w="1012" w:type="dxa"/>
            <w:tcBorders>
              <w:bottom w:val="single" w:sz="4" w:space="0" w:color="auto"/>
            </w:tcBorders>
            <w:shd w:val="clear" w:color="000000" w:fill="FFFFFF"/>
            <w:noWrap/>
            <w:vAlign w:val="bottom"/>
          </w:tcPr>
          <w:p w:rsidR="00191554" w:rsidRPr="009B77EC" w:rsidRDefault="00191554" w:rsidP="00CD5BD1">
            <w:pPr>
              <w:jc w:val="center"/>
              <w:rPr>
                <w:sz w:val="18"/>
                <w:szCs w:val="18"/>
              </w:rPr>
            </w:pPr>
            <w:r w:rsidRPr="009B77EC">
              <w:rPr>
                <w:sz w:val="18"/>
                <w:szCs w:val="18"/>
              </w:rPr>
              <w:t>3Q 2015</w:t>
            </w:r>
          </w:p>
        </w:tc>
        <w:tc>
          <w:tcPr>
            <w:tcW w:w="960"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6,82</w:t>
            </w:r>
          </w:p>
        </w:tc>
        <w:tc>
          <w:tcPr>
            <w:tcW w:w="909"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6,15</w:t>
            </w:r>
          </w:p>
        </w:tc>
        <w:tc>
          <w:tcPr>
            <w:tcW w:w="1330"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15,19</w:t>
            </w:r>
          </w:p>
        </w:tc>
        <w:tc>
          <w:tcPr>
            <w:tcW w:w="1330"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47,78</w:t>
            </w:r>
          </w:p>
        </w:tc>
        <w:tc>
          <w:tcPr>
            <w:tcW w:w="1287"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18,36</w:t>
            </w:r>
          </w:p>
        </w:tc>
        <w:tc>
          <w:tcPr>
            <w:tcW w:w="1287"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47,80</w:t>
            </w:r>
          </w:p>
        </w:tc>
      </w:tr>
      <w:tr w:rsidR="00191554" w:rsidRPr="009B77EC" w:rsidTr="00CD5BD1">
        <w:trPr>
          <w:trHeight w:hRule="exact" w:val="202"/>
          <w:jc w:val="center"/>
        </w:trPr>
        <w:tc>
          <w:tcPr>
            <w:tcW w:w="1012" w:type="dxa"/>
            <w:tcBorders>
              <w:bottom w:val="single" w:sz="4" w:space="0" w:color="auto"/>
            </w:tcBorders>
            <w:shd w:val="clear" w:color="000000" w:fill="FFFFFF"/>
            <w:noWrap/>
            <w:vAlign w:val="bottom"/>
          </w:tcPr>
          <w:p w:rsidR="00191554" w:rsidRPr="009B77EC" w:rsidRDefault="00191554" w:rsidP="00CD5BD1">
            <w:pPr>
              <w:jc w:val="center"/>
              <w:rPr>
                <w:sz w:val="18"/>
                <w:szCs w:val="18"/>
              </w:rPr>
            </w:pPr>
            <w:r w:rsidRPr="009B77EC">
              <w:rPr>
                <w:sz w:val="18"/>
                <w:szCs w:val="18"/>
              </w:rPr>
              <w:t>4Q 2015</w:t>
            </w:r>
          </w:p>
        </w:tc>
        <w:tc>
          <w:tcPr>
            <w:tcW w:w="960"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6,72</w:t>
            </w:r>
          </w:p>
        </w:tc>
        <w:tc>
          <w:tcPr>
            <w:tcW w:w="909"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6,07</w:t>
            </w:r>
          </w:p>
        </w:tc>
        <w:tc>
          <w:tcPr>
            <w:tcW w:w="1330"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18,52</w:t>
            </w:r>
          </w:p>
        </w:tc>
        <w:tc>
          <w:tcPr>
            <w:tcW w:w="1330"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48,23</w:t>
            </w:r>
          </w:p>
        </w:tc>
        <w:tc>
          <w:tcPr>
            <w:tcW w:w="1287"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18,61</w:t>
            </w:r>
          </w:p>
        </w:tc>
        <w:tc>
          <w:tcPr>
            <w:tcW w:w="1287"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48,25</w:t>
            </w:r>
          </w:p>
        </w:tc>
      </w:tr>
      <w:tr w:rsidR="00191554" w:rsidRPr="009B77EC" w:rsidTr="00CD5BD1">
        <w:trPr>
          <w:trHeight w:hRule="exact" w:val="202"/>
          <w:jc w:val="center"/>
        </w:trPr>
        <w:tc>
          <w:tcPr>
            <w:tcW w:w="1012" w:type="dxa"/>
            <w:tcBorders>
              <w:bottom w:val="single" w:sz="4" w:space="0" w:color="auto"/>
            </w:tcBorders>
            <w:shd w:val="clear" w:color="000000" w:fill="FFFFFF"/>
            <w:noWrap/>
            <w:vAlign w:val="bottom"/>
          </w:tcPr>
          <w:p w:rsidR="00191554" w:rsidRPr="009B77EC" w:rsidRDefault="00191554" w:rsidP="00CD5BD1">
            <w:pPr>
              <w:jc w:val="center"/>
              <w:rPr>
                <w:sz w:val="18"/>
                <w:szCs w:val="18"/>
              </w:rPr>
            </w:pPr>
            <w:r w:rsidRPr="009B77EC">
              <w:rPr>
                <w:sz w:val="18"/>
                <w:szCs w:val="18"/>
              </w:rPr>
              <w:t>1Q 2016</w:t>
            </w:r>
          </w:p>
        </w:tc>
        <w:tc>
          <w:tcPr>
            <w:tcW w:w="960"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7,21</w:t>
            </w:r>
          </w:p>
        </w:tc>
        <w:tc>
          <w:tcPr>
            <w:tcW w:w="909"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6,61</w:t>
            </w:r>
          </w:p>
        </w:tc>
        <w:tc>
          <w:tcPr>
            <w:tcW w:w="1330"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21,31</w:t>
            </w:r>
          </w:p>
        </w:tc>
        <w:tc>
          <w:tcPr>
            <w:tcW w:w="1330"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48,96</w:t>
            </w:r>
          </w:p>
        </w:tc>
        <w:tc>
          <w:tcPr>
            <w:tcW w:w="1287"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21,40</w:t>
            </w:r>
          </w:p>
        </w:tc>
        <w:tc>
          <w:tcPr>
            <w:tcW w:w="1287"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48,98</w:t>
            </w:r>
          </w:p>
        </w:tc>
      </w:tr>
      <w:tr w:rsidR="00191554" w:rsidRPr="009B77EC" w:rsidTr="00CD5BD1">
        <w:trPr>
          <w:trHeight w:hRule="exact" w:val="202"/>
          <w:jc w:val="center"/>
        </w:trPr>
        <w:tc>
          <w:tcPr>
            <w:tcW w:w="1012" w:type="dxa"/>
            <w:tcBorders>
              <w:bottom w:val="single" w:sz="4" w:space="0" w:color="auto"/>
            </w:tcBorders>
            <w:shd w:val="clear" w:color="000000" w:fill="FFFFFF"/>
            <w:noWrap/>
            <w:vAlign w:val="bottom"/>
          </w:tcPr>
          <w:p w:rsidR="00191554" w:rsidRPr="009B77EC" w:rsidRDefault="00191554" w:rsidP="00CD5BD1">
            <w:pPr>
              <w:jc w:val="center"/>
              <w:rPr>
                <w:sz w:val="18"/>
                <w:szCs w:val="18"/>
              </w:rPr>
            </w:pPr>
            <w:r w:rsidRPr="009B77EC">
              <w:rPr>
                <w:sz w:val="18"/>
                <w:szCs w:val="18"/>
              </w:rPr>
              <w:t>2Q 2016</w:t>
            </w:r>
          </w:p>
        </w:tc>
        <w:tc>
          <w:tcPr>
            <w:tcW w:w="960"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7,06</w:t>
            </w:r>
          </w:p>
        </w:tc>
        <w:tc>
          <w:tcPr>
            <w:tcW w:w="909"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6,57</w:t>
            </w:r>
          </w:p>
        </w:tc>
        <w:tc>
          <w:tcPr>
            <w:tcW w:w="1330"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22,64</w:t>
            </w:r>
          </w:p>
        </w:tc>
        <w:tc>
          <w:tcPr>
            <w:tcW w:w="1330"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45,60</w:t>
            </w:r>
          </w:p>
        </w:tc>
        <w:tc>
          <w:tcPr>
            <w:tcW w:w="1287"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22,73</w:t>
            </w:r>
          </w:p>
        </w:tc>
        <w:tc>
          <w:tcPr>
            <w:tcW w:w="1287"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45,62</w:t>
            </w:r>
          </w:p>
        </w:tc>
      </w:tr>
      <w:tr w:rsidR="00191554" w:rsidRPr="009B77EC" w:rsidTr="00CD5BD1">
        <w:trPr>
          <w:trHeight w:hRule="exact" w:val="202"/>
          <w:jc w:val="center"/>
        </w:trPr>
        <w:tc>
          <w:tcPr>
            <w:tcW w:w="1012" w:type="dxa"/>
            <w:tcBorders>
              <w:bottom w:val="single" w:sz="4" w:space="0" w:color="auto"/>
            </w:tcBorders>
            <w:shd w:val="clear" w:color="000000" w:fill="FFFFFF"/>
            <w:noWrap/>
            <w:vAlign w:val="bottom"/>
          </w:tcPr>
          <w:p w:rsidR="00191554" w:rsidRPr="009B77EC" w:rsidRDefault="00191554" w:rsidP="00CD5BD1">
            <w:pPr>
              <w:jc w:val="center"/>
              <w:rPr>
                <w:sz w:val="18"/>
                <w:szCs w:val="18"/>
              </w:rPr>
            </w:pPr>
            <w:r w:rsidRPr="009B77EC">
              <w:rPr>
                <w:sz w:val="18"/>
                <w:szCs w:val="18"/>
              </w:rPr>
              <w:t>3Q 2016</w:t>
            </w:r>
          </w:p>
        </w:tc>
        <w:tc>
          <w:tcPr>
            <w:tcW w:w="960"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6,86</w:t>
            </w:r>
          </w:p>
        </w:tc>
        <w:tc>
          <w:tcPr>
            <w:tcW w:w="909"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6,40</w:t>
            </w:r>
          </w:p>
          <w:p w:rsidR="00191554" w:rsidRPr="009B77EC" w:rsidRDefault="00191554" w:rsidP="00CD5BD1">
            <w:pPr>
              <w:ind w:right="113"/>
              <w:jc w:val="right"/>
              <w:rPr>
                <w:sz w:val="18"/>
                <w:szCs w:val="18"/>
              </w:rPr>
            </w:pPr>
          </w:p>
        </w:tc>
        <w:tc>
          <w:tcPr>
            <w:tcW w:w="1330"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22,13</w:t>
            </w:r>
          </w:p>
        </w:tc>
        <w:tc>
          <w:tcPr>
            <w:tcW w:w="1330"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45,06</w:t>
            </w:r>
          </w:p>
        </w:tc>
        <w:tc>
          <w:tcPr>
            <w:tcW w:w="1287"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22,22</w:t>
            </w:r>
          </w:p>
        </w:tc>
        <w:tc>
          <w:tcPr>
            <w:tcW w:w="1287" w:type="dxa"/>
            <w:tcBorders>
              <w:bottom w:val="single" w:sz="4" w:space="0" w:color="auto"/>
            </w:tcBorders>
            <w:shd w:val="clear" w:color="000000" w:fill="FFFFFF"/>
            <w:noWrap/>
            <w:vAlign w:val="bottom"/>
          </w:tcPr>
          <w:p w:rsidR="00191554" w:rsidRPr="009B77EC" w:rsidRDefault="00191554" w:rsidP="00CD5BD1">
            <w:pPr>
              <w:ind w:right="113"/>
              <w:jc w:val="right"/>
              <w:rPr>
                <w:sz w:val="18"/>
                <w:szCs w:val="18"/>
              </w:rPr>
            </w:pPr>
            <w:r w:rsidRPr="009B77EC">
              <w:rPr>
                <w:sz w:val="18"/>
                <w:szCs w:val="18"/>
              </w:rPr>
              <w:t>45,08</w:t>
            </w:r>
          </w:p>
        </w:tc>
      </w:tr>
      <w:tr w:rsidR="00191554" w:rsidRPr="009B77EC" w:rsidTr="00CD5BD1">
        <w:trPr>
          <w:trHeight w:val="255"/>
          <w:jc w:val="center"/>
        </w:trPr>
        <w:tc>
          <w:tcPr>
            <w:tcW w:w="8115" w:type="dxa"/>
            <w:gridSpan w:val="7"/>
            <w:tcBorders>
              <w:top w:val="single" w:sz="4" w:space="0" w:color="auto"/>
              <w:left w:val="nil"/>
              <w:bottom w:val="nil"/>
              <w:right w:val="nil"/>
            </w:tcBorders>
            <w:shd w:val="clear" w:color="auto" w:fill="auto"/>
            <w:noWrap/>
            <w:vAlign w:val="bottom"/>
          </w:tcPr>
          <w:p w:rsidR="00191554" w:rsidRPr="009B77EC" w:rsidRDefault="00191554" w:rsidP="00CD5BD1">
            <w:pPr>
              <w:rPr>
                <w:i/>
                <w:iCs/>
                <w:sz w:val="16"/>
                <w:szCs w:val="16"/>
              </w:rPr>
            </w:pPr>
            <w:r w:rsidRPr="009B77EC">
              <w:rPr>
                <w:i/>
                <w:iCs/>
                <w:sz w:val="16"/>
                <w:szCs w:val="16"/>
              </w:rPr>
              <w:t>* Portfólio (Štátne dlhopisy, Štátne pokladničné poukážky, úvery)</w:t>
            </w:r>
          </w:p>
          <w:p w:rsidR="00191554" w:rsidRPr="009B77EC" w:rsidRDefault="00191554" w:rsidP="00CD5BD1">
            <w:pPr>
              <w:rPr>
                <w:i/>
                <w:iCs/>
                <w:sz w:val="16"/>
                <w:szCs w:val="16"/>
              </w:rPr>
            </w:pPr>
            <w:r w:rsidRPr="009B77EC">
              <w:rPr>
                <w:i/>
                <w:iCs/>
                <w:sz w:val="16"/>
                <w:szCs w:val="16"/>
              </w:rPr>
              <w:t>** Celé portfólio (Štátne dlhopisy, Štátne pokladničné poukážky, úvery, peňažný trh a Štátna pokladnica)</w:t>
            </w:r>
          </w:p>
        </w:tc>
      </w:tr>
      <w:tr w:rsidR="00191554" w:rsidRPr="009B77EC" w:rsidTr="00CD5BD1">
        <w:trPr>
          <w:trHeight w:val="144"/>
          <w:jc w:val="center"/>
        </w:trPr>
        <w:tc>
          <w:tcPr>
            <w:tcW w:w="6828" w:type="dxa"/>
            <w:gridSpan w:val="6"/>
            <w:tcBorders>
              <w:top w:val="nil"/>
              <w:left w:val="nil"/>
              <w:bottom w:val="nil"/>
              <w:right w:val="nil"/>
            </w:tcBorders>
            <w:shd w:val="clear" w:color="auto" w:fill="auto"/>
            <w:noWrap/>
            <w:vAlign w:val="bottom"/>
          </w:tcPr>
          <w:p w:rsidR="00191554" w:rsidRPr="009B77EC" w:rsidRDefault="00191554" w:rsidP="00CD5BD1">
            <w:pPr>
              <w:rPr>
                <w:i/>
                <w:iCs/>
                <w:sz w:val="16"/>
                <w:szCs w:val="16"/>
              </w:rPr>
            </w:pPr>
          </w:p>
        </w:tc>
        <w:tc>
          <w:tcPr>
            <w:tcW w:w="1287" w:type="dxa"/>
            <w:tcBorders>
              <w:top w:val="nil"/>
              <w:left w:val="nil"/>
              <w:bottom w:val="nil"/>
              <w:right w:val="nil"/>
            </w:tcBorders>
            <w:shd w:val="clear" w:color="auto" w:fill="auto"/>
            <w:noWrap/>
            <w:vAlign w:val="bottom"/>
          </w:tcPr>
          <w:p w:rsidR="00191554" w:rsidRPr="009B77EC" w:rsidRDefault="00191554" w:rsidP="00CD5BD1">
            <w:pPr>
              <w:jc w:val="right"/>
              <w:rPr>
                <w:i/>
                <w:iCs/>
                <w:sz w:val="16"/>
                <w:szCs w:val="16"/>
              </w:rPr>
            </w:pPr>
            <w:r w:rsidRPr="009B77EC">
              <w:rPr>
                <w:i/>
                <w:iCs/>
                <w:sz w:val="16"/>
                <w:szCs w:val="16"/>
              </w:rPr>
              <w:t>Zdroj: ARDAL</w:t>
            </w:r>
          </w:p>
        </w:tc>
      </w:tr>
    </w:tbl>
    <w:p w:rsidR="009B77EC" w:rsidRDefault="009B77EC" w:rsidP="009B77EC">
      <w:pPr>
        <w:spacing w:before="120"/>
        <w:jc w:val="center"/>
        <w:rPr>
          <w:b/>
          <w:sz w:val="22"/>
          <w:szCs w:val="22"/>
        </w:rPr>
      </w:pPr>
    </w:p>
    <w:p w:rsidR="00191554" w:rsidRPr="009B77EC" w:rsidRDefault="00191554" w:rsidP="009B77EC">
      <w:pPr>
        <w:spacing w:before="120"/>
        <w:jc w:val="center"/>
        <w:rPr>
          <w:b/>
          <w:color w:val="FF0000"/>
          <w:sz w:val="22"/>
          <w:szCs w:val="22"/>
        </w:rPr>
      </w:pPr>
      <w:r w:rsidRPr="009B77EC">
        <w:rPr>
          <w:b/>
          <w:sz w:val="22"/>
          <w:szCs w:val="22"/>
        </w:rPr>
        <w:t>Vývoj ukazovateľov refinančného rizika a úrokového rizika</w:t>
      </w:r>
    </w:p>
    <w:p w:rsidR="00191554" w:rsidRPr="009B77EC" w:rsidRDefault="00191554" w:rsidP="00191554">
      <w:pPr>
        <w:spacing w:before="360" w:after="120"/>
        <w:jc w:val="center"/>
        <w:rPr>
          <w:b/>
          <w:sz w:val="6"/>
          <w:szCs w:val="6"/>
        </w:rPr>
      </w:pPr>
    </w:p>
    <w:tbl>
      <w:tblPr>
        <w:tblW w:w="7981" w:type="dxa"/>
        <w:jc w:val="center"/>
        <w:tblCellMar>
          <w:left w:w="70" w:type="dxa"/>
          <w:right w:w="70" w:type="dxa"/>
        </w:tblCellMar>
        <w:tblLook w:val="0000" w:firstRow="0" w:lastRow="0" w:firstColumn="0" w:lastColumn="0" w:noHBand="0" w:noVBand="0"/>
      </w:tblPr>
      <w:tblGrid>
        <w:gridCol w:w="4181"/>
        <w:gridCol w:w="263"/>
        <w:gridCol w:w="218"/>
        <w:gridCol w:w="4265"/>
        <w:gridCol w:w="145"/>
      </w:tblGrid>
      <w:tr w:rsidR="00191554" w:rsidRPr="009B77EC" w:rsidTr="00F345F6">
        <w:trPr>
          <w:trHeight w:val="270"/>
          <w:jc w:val="center"/>
        </w:trPr>
        <w:tc>
          <w:tcPr>
            <w:tcW w:w="3923" w:type="dxa"/>
            <w:gridSpan w:val="2"/>
            <w:tcBorders>
              <w:top w:val="nil"/>
              <w:left w:val="nil"/>
              <w:bottom w:val="nil"/>
              <w:right w:val="nil"/>
            </w:tcBorders>
            <w:shd w:val="clear" w:color="auto" w:fill="000000"/>
            <w:noWrap/>
            <w:vAlign w:val="center"/>
          </w:tcPr>
          <w:p w:rsidR="00191554" w:rsidRPr="009B77EC" w:rsidRDefault="00191554" w:rsidP="00CD5BD1">
            <w:pPr>
              <w:jc w:val="center"/>
              <w:rPr>
                <w:b/>
                <w:bCs/>
                <w:sz w:val="20"/>
                <w:szCs w:val="20"/>
              </w:rPr>
            </w:pPr>
            <w:r w:rsidRPr="009B77EC">
              <w:rPr>
                <w:b/>
                <w:bCs/>
                <w:sz w:val="20"/>
                <w:szCs w:val="20"/>
              </w:rPr>
              <w:t>Vývoj ukazovateľov refinančného a úrokového rizika v prvom roku (%)</w:t>
            </w:r>
          </w:p>
        </w:tc>
        <w:tc>
          <w:tcPr>
            <w:tcW w:w="180" w:type="dxa"/>
            <w:tcBorders>
              <w:top w:val="nil"/>
              <w:left w:val="nil"/>
              <w:bottom w:val="nil"/>
              <w:right w:val="nil"/>
            </w:tcBorders>
            <w:noWrap/>
            <w:vAlign w:val="center"/>
          </w:tcPr>
          <w:p w:rsidR="00191554" w:rsidRPr="009B77EC" w:rsidRDefault="00191554" w:rsidP="00CD5BD1">
            <w:pPr>
              <w:rPr>
                <w:b/>
                <w:bCs/>
                <w:sz w:val="20"/>
                <w:szCs w:val="20"/>
              </w:rPr>
            </w:pPr>
          </w:p>
        </w:tc>
        <w:tc>
          <w:tcPr>
            <w:tcW w:w="3878" w:type="dxa"/>
            <w:gridSpan w:val="2"/>
            <w:tcBorders>
              <w:top w:val="nil"/>
              <w:left w:val="nil"/>
              <w:bottom w:val="nil"/>
              <w:right w:val="nil"/>
            </w:tcBorders>
            <w:shd w:val="clear" w:color="auto" w:fill="000000"/>
            <w:noWrap/>
            <w:vAlign w:val="center"/>
          </w:tcPr>
          <w:p w:rsidR="00191554" w:rsidRPr="009B77EC" w:rsidRDefault="00191554" w:rsidP="00CD5BD1">
            <w:pPr>
              <w:jc w:val="center"/>
              <w:rPr>
                <w:b/>
                <w:bCs/>
                <w:sz w:val="20"/>
                <w:szCs w:val="20"/>
              </w:rPr>
            </w:pPr>
            <w:r w:rsidRPr="009B77EC">
              <w:rPr>
                <w:b/>
                <w:bCs/>
                <w:sz w:val="20"/>
                <w:szCs w:val="20"/>
              </w:rPr>
              <w:t>Vývoj ukazovateľov refinančného a úrokového rizika v piatich rokoch (%)</w:t>
            </w:r>
          </w:p>
        </w:tc>
      </w:tr>
      <w:tr w:rsidR="00191554" w:rsidRPr="009B77EC" w:rsidTr="00F345F6">
        <w:trPr>
          <w:gridAfter w:val="1"/>
          <w:wAfter w:w="159" w:type="dxa"/>
          <w:trHeight w:val="2460"/>
          <w:jc w:val="center"/>
        </w:trPr>
        <w:tc>
          <w:tcPr>
            <w:tcW w:w="3648" w:type="dxa"/>
            <w:tcBorders>
              <w:top w:val="nil"/>
              <w:left w:val="nil"/>
              <w:bottom w:val="nil"/>
              <w:right w:val="nil"/>
            </w:tcBorders>
            <w:noWrap/>
            <w:vAlign w:val="center"/>
          </w:tcPr>
          <w:p w:rsidR="00191554" w:rsidRPr="009B77EC" w:rsidRDefault="00191554" w:rsidP="00CD5BD1">
            <w:pPr>
              <w:ind w:left="-142"/>
              <w:jc w:val="center"/>
              <w:rPr>
                <w:sz w:val="20"/>
                <w:szCs w:val="20"/>
              </w:rPr>
            </w:pPr>
            <w:r w:rsidRPr="009B77EC">
              <w:rPr>
                <w:noProof/>
                <w:sz w:val="20"/>
                <w:szCs w:val="20"/>
              </w:rPr>
              <w:drawing>
                <wp:inline distT="0" distB="0" distL="0" distR="0" wp14:anchorId="0E130904" wp14:editId="0B4D9228">
                  <wp:extent cx="2889885" cy="2268220"/>
                  <wp:effectExtent l="0" t="0" r="5715" b="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9885" cy="2268220"/>
                          </a:xfrm>
                          <a:prstGeom prst="rect">
                            <a:avLst/>
                          </a:prstGeom>
                          <a:noFill/>
                        </pic:spPr>
                      </pic:pic>
                    </a:graphicData>
                  </a:graphic>
                </wp:inline>
              </w:drawing>
            </w:r>
          </w:p>
        </w:tc>
        <w:tc>
          <w:tcPr>
            <w:tcW w:w="274" w:type="dxa"/>
            <w:tcBorders>
              <w:top w:val="nil"/>
              <w:left w:val="nil"/>
              <w:bottom w:val="nil"/>
              <w:right w:val="nil"/>
            </w:tcBorders>
            <w:noWrap/>
            <w:vAlign w:val="center"/>
          </w:tcPr>
          <w:p w:rsidR="00191554" w:rsidRPr="009B77EC" w:rsidRDefault="00191554" w:rsidP="00CD5BD1">
            <w:pPr>
              <w:jc w:val="center"/>
              <w:rPr>
                <w:sz w:val="20"/>
                <w:szCs w:val="20"/>
              </w:rPr>
            </w:pPr>
          </w:p>
        </w:tc>
        <w:tc>
          <w:tcPr>
            <w:tcW w:w="3900" w:type="dxa"/>
            <w:gridSpan w:val="2"/>
            <w:tcBorders>
              <w:top w:val="nil"/>
              <w:left w:val="nil"/>
              <w:bottom w:val="nil"/>
              <w:right w:val="nil"/>
            </w:tcBorders>
            <w:noWrap/>
            <w:vAlign w:val="center"/>
          </w:tcPr>
          <w:p w:rsidR="00191554" w:rsidRPr="009B77EC" w:rsidRDefault="00191554" w:rsidP="00CD5BD1">
            <w:pPr>
              <w:ind w:left="143"/>
              <w:jc w:val="center"/>
              <w:rPr>
                <w:sz w:val="20"/>
                <w:szCs w:val="20"/>
              </w:rPr>
            </w:pPr>
            <w:r w:rsidRPr="009B77EC">
              <w:rPr>
                <w:noProof/>
                <w:sz w:val="20"/>
                <w:szCs w:val="20"/>
              </w:rPr>
              <w:drawing>
                <wp:inline distT="0" distB="0" distL="0" distR="0" wp14:anchorId="39ECC8BF" wp14:editId="4BDE146A">
                  <wp:extent cx="2907030" cy="2268220"/>
                  <wp:effectExtent l="0" t="0" r="7620" b="0"/>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7030" cy="2268220"/>
                          </a:xfrm>
                          <a:prstGeom prst="rect">
                            <a:avLst/>
                          </a:prstGeom>
                          <a:noFill/>
                        </pic:spPr>
                      </pic:pic>
                    </a:graphicData>
                  </a:graphic>
                </wp:inline>
              </w:drawing>
            </w:r>
          </w:p>
        </w:tc>
      </w:tr>
      <w:tr w:rsidR="00191554" w:rsidRPr="009B77EC" w:rsidTr="00F345F6">
        <w:trPr>
          <w:trHeight w:val="203"/>
          <w:jc w:val="center"/>
        </w:trPr>
        <w:tc>
          <w:tcPr>
            <w:tcW w:w="3923" w:type="dxa"/>
            <w:gridSpan w:val="2"/>
            <w:tcBorders>
              <w:top w:val="single" w:sz="4" w:space="0" w:color="auto"/>
              <w:left w:val="nil"/>
              <w:bottom w:val="nil"/>
              <w:right w:val="nil"/>
            </w:tcBorders>
            <w:noWrap/>
            <w:vAlign w:val="center"/>
          </w:tcPr>
          <w:p w:rsidR="00191554" w:rsidRPr="009B77EC" w:rsidRDefault="00191554" w:rsidP="00CD5BD1">
            <w:pPr>
              <w:jc w:val="right"/>
              <w:rPr>
                <w:i/>
                <w:iCs/>
                <w:sz w:val="16"/>
                <w:szCs w:val="16"/>
              </w:rPr>
            </w:pPr>
            <w:r w:rsidRPr="009B77EC">
              <w:rPr>
                <w:i/>
                <w:iCs/>
                <w:sz w:val="16"/>
                <w:szCs w:val="16"/>
              </w:rPr>
              <w:t>Zdroj: ARDAL</w:t>
            </w:r>
          </w:p>
        </w:tc>
        <w:tc>
          <w:tcPr>
            <w:tcW w:w="180" w:type="dxa"/>
            <w:tcBorders>
              <w:top w:val="nil"/>
              <w:left w:val="nil"/>
              <w:bottom w:val="nil"/>
              <w:right w:val="nil"/>
            </w:tcBorders>
            <w:noWrap/>
            <w:vAlign w:val="center"/>
          </w:tcPr>
          <w:p w:rsidR="00191554" w:rsidRPr="009B77EC" w:rsidRDefault="00191554" w:rsidP="00CD5BD1">
            <w:pPr>
              <w:jc w:val="right"/>
              <w:rPr>
                <w:sz w:val="20"/>
                <w:szCs w:val="20"/>
              </w:rPr>
            </w:pPr>
          </w:p>
        </w:tc>
        <w:tc>
          <w:tcPr>
            <w:tcW w:w="3878" w:type="dxa"/>
            <w:gridSpan w:val="2"/>
            <w:tcBorders>
              <w:top w:val="single" w:sz="4" w:space="0" w:color="auto"/>
              <w:left w:val="nil"/>
              <w:bottom w:val="nil"/>
              <w:right w:val="nil"/>
            </w:tcBorders>
            <w:noWrap/>
            <w:vAlign w:val="center"/>
          </w:tcPr>
          <w:p w:rsidR="00191554" w:rsidRPr="009B77EC" w:rsidRDefault="00191554" w:rsidP="00CD5BD1">
            <w:pPr>
              <w:jc w:val="right"/>
              <w:rPr>
                <w:i/>
                <w:iCs/>
                <w:sz w:val="16"/>
                <w:szCs w:val="16"/>
              </w:rPr>
            </w:pPr>
            <w:r w:rsidRPr="009B77EC">
              <w:rPr>
                <w:i/>
                <w:iCs/>
                <w:sz w:val="16"/>
                <w:szCs w:val="16"/>
              </w:rPr>
              <w:t>Zdroj: ARDAL</w:t>
            </w:r>
          </w:p>
        </w:tc>
      </w:tr>
    </w:tbl>
    <w:p w:rsidR="00191554" w:rsidRPr="009B77EC" w:rsidRDefault="00191554" w:rsidP="00191554">
      <w:pPr>
        <w:spacing w:before="240" w:after="120"/>
        <w:jc w:val="center"/>
        <w:rPr>
          <w:b/>
          <w:sz w:val="22"/>
          <w:szCs w:val="20"/>
        </w:rPr>
      </w:pPr>
    </w:p>
    <w:p w:rsidR="009B77EC" w:rsidRDefault="009B77EC" w:rsidP="00191554">
      <w:pPr>
        <w:spacing w:before="240" w:after="120"/>
        <w:jc w:val="center"/>
        <w:rPr>
          <w:b/>
          <w:sz w:val="22"/>
          <w:szCs w:val="20"/>
        </w:rPr>
      </w:pPr>
    </w:p>
    <w:p w:rsidR="009B77EC" w:rsidRDefault="009B77EC" w:rsidP="00191554">
      <w:pPr>
        <w:spacing w:before="240" w:after="120"/>
        <w:jc w:val="center"/>
        <w:rPr>
          <w:b/>
          <w:sz w:val="22"/>
          <w:szCs w:val="20"/>
        </w:rPr>
      </w:pPr>
    </w:p>
    <w:p w:rsidR="009B77EC" w:rsidRDefault="009B77EC" w:rsidP="00191554">
      <w:pPr>
        <w:spacing w:before="240" w:after="120"/>
        <w:jc w:val="center"/>
        <w:rPr>
          <w:b/>
          <w:sz w:val="22"/>
          <w:szCs w:val="20"/>
        </w:rPr>
      </w:pPr>
    </w:p>
    <w:p w:rsidR="00191554" w:rsidRPr="009B77EC" w:rsidRDefault="00191554" w:rsidP="00191554">
      <w:pPr>
        <w:spacing w:before="240" w:after="120"/>
        <w:jc w:val="center"/>
        <w:rPr>
          <w:b/>
          <w:sz w:val="22"/>
          <w:szCs w:val="20"/>
        </w:rPr>
      </w:pPr>
      <w:r w:rsidRPr="009B77EC">
        <w:rPr>
          <w:b/>
          <w:sz w:val="22"/>
          <w:szCs w:val="20"/>
        </w:rPr>
        <w:lastRenderedPageBreak/>
        <w:t>Vývoj priemernej splatnosti (roky) a durácie (roky) štátneho dlhu v rokoch 2012 až 2016</w:t>
      </w:r>
    </w:p>
    <w:p w:rsidR="00191554" w:rsidRPr="009B77EC" w:rsidRDefault="00191554" w:rsidP="00191554">
      <w:pPr>
        <w:spacing w:before="240" w:after="120"/>
        <w:jc w:val="center"/>
        <w:rPr>
          <w:b/>
          <w:sz w:val="6"/>
          <w:szCs w:val="6"/>
        </w:rPr>
      </w:pPr>
    </w:p>
    <w:p w:rsidR="00191554" w:rsidRPr="009B77EC" w:rsidRDefault="00191554" w:rsidP="00191554">
      <w:pPr>
        <w:spacing w:before="240" w:after="120"/>
        <w:jc w:val="center"/>
        <w:rPr>
          <w:b/>
          <w:sz w:val="22"/>
          <w:szCs w:val="20"/>
        </w:rPr>
      </w:pPr>
      <w:r w:rsidRPr="009B77EC">
        <w:rPr>
          <w:b/>
          <w:noProof/>
          <w:sz w:val="22"/>
          <w:szCs w:val="20"/>
        </w:rPr>
        <w:drawing>
          <wp:inline distT="0" distB="0" distL="0" distR="0" wp14:anchorId="21C1F5DC" wp14:editId="2901BA1C">
            <wp:extent cx="5895340" cy="2322195"/>
            <wp:effectExtent l="0" t="0" r="0" b="190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5340" cy="2322195"/>
                    </a:xfrm>
                    <a:prstGeom prst="rect">
                      <a:avLst/>
                    </a:prstGeom>
                    <a:noFill/>
                  </pic:spPr>
                </pic:pic>
              </a:graphicData>
            </a:graphic>
          </wp:inline>
        </w:drawing>
      </w:r>
    </w:p>
    <w:p w:rsidR="00191554" w:rsidRPr="009B77EC" w:rsidRDefault="00191554" w:rsidP="00191554">
      <w:pPr>
        <w:jc w:val="right"/>
        <w:rPr>
          <w:sz w:val="22"/>
          <w:szCs w:val="22"/>
        </w:rPr>
      </w:pPr>
      <w:r w:rsidRPr="009B77EC">
        <w:rPr>
          <w:i/>
          <w:sz w:val="16"/>
          <w:szCs w:val="16"/>
        </w:rPr>
        <w:t>Zdroj: ARDAL</w:t>
      </w:r>
    </w:p>
    <w:p w:rsidR="00191554" w:rsidRPr="009B77EC" w:rsidRDefault="00191554" w:rsidP="009B77EC">
      <w:pPr>
        <w:spacing w:before="240" w:after="120"/>
        <w:ind w:firstLine="708"/>
        <w:jc w:val="both"/>
        <w:rPr>
          <w:szCs w:val="22"/>
        </w:rPr>
      </w:pPr>
      <w:r w:rsidRPr="009B77EC">
        <w:rPr>
          <w:szCs w:val="22"/>
        </w:rPr>
        <w:t xml:space="preserve">Pre riadenie cudzomenového rizika bolo počas obdobia minulej Stratégie strategickým zámerom dodržanie limitu otvorenej nezabezpečenej cudzomenovej pozície štátneho dlhu pod úrovňou 5 % v pomere k celkovému štátnemu dlhu. V novej stratégii na roky 2015 </w:t>
      </w:r>
      <w:r w:rsidR="00AC0E12" w:rsidRPr="009B77EC">
        <w:rPr>
          <w:szCs w:val="22"/>
        </w:rPr>
        <w:t>až</w:t>
      </w:r>
      <w:r w:rsidRPr="009B77EC">
        <w:rPr>
          <w:szCs w:val="22"/>
        </w:rPr>
        <w:t xml:space="preserve"> 2018 bol stanovený prísnejší limit nezabezpečenej cudzomenovej pozície štátneho dlhu, a to úrovni 3 % v pomere k celkovému štátnemu dlhu. Ku koncu septembra 2016 bola hodnota nezabezpečeného dlhu v cudzej mene 0,11 % z celého dlhu (suma „živých“ štátnych dlhopisov a úverov).</w:t>
      </w:r>
    </w:p>
    <w:p w:rsidR="00191554" w:rsidRPr="009B77EC" w:rsidRDefault="00191554" w:rsidP="00191554">
      <w:pPr>
        <w:spacing w:before="240" w:after="120"/>
        <w:rPr>
          <w:szCs w:val="22"/>
          <w:u w:val="single"/>
        </w:rPr>
      </w:pPr>
      <w:r w:rsidRPr="009B77EC">
        <w:rPr>
          <w:szCs w:val="22"/>
          <w:u w:val="single"/>
        </w:rPr>
        <w:t xml:space="preserve">4 - Diverzifikácia investorskej základne </w:t>
      </w:r>
    </w:p>
    <w:p w:rsidR="00191554" w:rsidRPr="009B77EC" w:rsidRDefault="00191554" w:rsidP="009B77EC">
      <w:pPr>
        <w:spacing w:after="120"/>
        <w:ind w:firstLine="708"/>
        <w:jc w:val="both"/>
        <w:rPr>
          <w:szCs w:val="22"/>
        </w:rPr>
      </w:pPr>
      <w:r w:rsidRPr="009B77EC">
        <w:rPr>
          <w:szCs w:val="22"/>
        </w:rPr>
        <w:t xml:space="preserve">Na stretnutiach s účastníkmi aukcií a na stretnutiach s investormi zástupca emitenta – ARDAL, informoval o aktuálnych zámeroch v oblasti primárneho a sekundárneho trhu štátnych cenných papierov. V decembri </w:t>
      </w:r>
      <w:r w:rsidR="00AC0E12" w:rsidRPr="009B77EC">
        <w:rPr>
          <w:szCs w:val="22"/>
        </w:rPr>
        <w:t xml:space="preserve">roka 2015 </w:t>
      </w:r>
      <w:r w:rsidRPr="009B77EC">
        <w:rPr>
          <w:szCs w:val="22"/>
        </w:rPr>
        <w:t xml:space="preserve">bol publikovaný plán otvorenia nových línií dlhopisov a ŠPP a tiež harmonogram aukcií štátnych dlhopisov na ďalší rok. ARDAL pravidelne posielala investorom a publikovala na svojej stránke mesačné správy, týkajúce sa činností súvisiacich so správou štátneho dlhu a riadením  likvidity. </w:t>
      </w:r>
    </w:p>
    <w:p w:rsidR="00191554" w:rsidRPr="009B77EC" w:rsidRDefault="00191554" w:rsidP="009B77EC">
      <w:pPr>
        <w:spacing w:after="120"/>
        <w:ind w:firstLine="708"/>
        <w:jc w:val="both"/>
        <w:rPr>
          <w:szCs w:val="22"/>
        </w:rPr>
      </w:pPr>
      <w:r w:rsidRPr="009B77EC">
        <w:rPr>
          <w:szCs w:val="22"/>
        </w:rPr>
        <w:t>Diverzifikácia investorskej základne je nevyhnutná najmä z  dôvodu každoročných deficitov štátneho rozpočtu, ktoré sú väčšie ako absorpčná kapacita domáceho a regionálneho finančného trhu. Táto diverzifikácia prináša tiež zmenu podielu štátneho dlhu vlastneného domácimi investormi a zahraničnými investormi v prospech zahraničných investorov (väčšie riziko).</w:t>
      </w:r>
    </w:p>
    <w:p w:rsidR="00191554" w:rsidRPr="009B77EC" w:rsidRDefault="00191554" w:rsidP="009B77EC">
      <w:pPr>
        <w:spacing w:after="120"/>
        <w:ind w:firstLine="708"/>
        <w:jc w:val="both"/>
        <w:rPr>
          <w:szCs w:val="22"/>
        </w:rPr>
      </w:pPr>
      <w:r w:rsidRPr="009B77EC">
        <w:rPr>
          <w:szCs w:val="22"/>
        </w:rPr>
        <w:t>V roku 2015 a ani počas prvých 9 mesiacov roku 2016 nebola vydaná žiadna emisia v cudzej mene. V budúcnosti môže ARDAL vydať takúto emisiu v závislosti od podmienok na trhu, od vývoja deficitu ŠR.</w:t>
      </w:r>
    </w:p>
    <w:p w:rsidR="00191554" w:rsidRPr="009B77EC" w:rsidRDefault="00191554" w:rsidP="009B77EC">
      <w:pPr>
        <w:spacing w:before="240" w:after="120"/>
        <w:ind w:left="284" w:hanging="284"/>
        <w:jc w:val="both"/>
        <w:rPr>
          <w:szCs w:val="22"/>
          <w:u w:val="single"/>
        </w:rPr>
      </w:pPr>
      <w:r w:rsidRPr="009B77EC">
        <w:rPr>
          <w:szCs w:val="22"/>
          <w:u w:val="single"/>
        </w:rPr>
        <w:t xml:space="preserve">5 - Skvalitnenie infraštruktúry riadenia štátneho dlhu (primárni dealeri, ISDA zmluvy, brokeri, zlepšenie podmienok vysporiadania CP)  </w:t>
      </w:r>
    </w:p>
    <w:p w:rsidR="00191554" w:rsidRPr="009B77EC" w:rsidRDefault="00191554" w:rsidP="009B77EC">
      <w:pPr>
        <w:spacing w:before="120" w:after="120"/>
        <w:ind w:firstLine="708"/>
        <w:jc w:val="both"/>
        <w:rPr>
          <w:szCs w:val="22"/>
        </w:rPr>
      </w:pPr>
      <w:r w:rsidRPr="009B77EC">
        <w:rPr>
          <w:szCs w:val="22"/>
        </w:rPr>
        <w:t>Systém primárnych dealerov bol zavedený na začiatku roka 2013. Vzhľadom k nie štandardnému fungovaniu vysporiadania transakcií na kapitálovom trhu (nutnosť pre členov BCPB registrovať obchody na BCPB a neexistencia DVP vysporiadania v oblasti OTC obchodov) bolo rozhodnuté zaviesť systém primárnych dealerov zatiaľ len pre primárny trh s tým, že elektronický sekundárny trh spolu s povinnosťou kótovania benchmarkových emisií primárnymi dealermi bude zavedený po vytvorení podmienok pre jeho realizáciu.</w:t>
      </w:r>
    </w:p>
    <w:p w:rsidR="00191554" w:rsidRPr="009B77EC" w:rsidRDefault="00191554" w:rsidP="009B77EC">
      <w:pPr>
        <w:spacing w:before="120" w:after="120"/>
        <w:ind w:firstLine="708"/>
        <w:jc w:val="both"/>
        <w:rPr>
          <w:szCs w:val="22"/>
        </w:rPr>
      </w:pPr>
      <w:r w:rsidRPr="009B77EC">
        <w:rPr>
          <w:szCs w:val="22"/>
        </w:rPr>
        <w:lastRenderedPageBreak/>
        <w:t xml:space="preserve">V roku 2016 boli platné zmluvy s celkovo trinástimi zmluvnými dealermi (12 primárnych dealerov a 1 spolupracujúci dealer. V období od začiatku roka 2012 boli uzatvorené zmluvy s jedenástimi bankami (ISDA Master Agreement). Banky, s ktorými má Slovensko platné zmluvy môžu byť pozvané do tendra na uzatvorenie zabezpečovacích transakcií. Služby brokerských spoločností (zahraničných) využíva Slovensko na transakcie na peňažnom a na sekundárnom kapitálovom trhu pre spätné nákupy v menšom rozsahu. </w:t>
      </w:r>
    </w:p>
    <w:p w:rsidR="00191554" w:rsidRPr="009B77EC" w:rsidRDefault="00191554" w:rsidP="00191554"/>
    <w:p w:rsidR="00A649B2" w:rsidRPr="009B77EC" w:rsidRDefault="00BD6A9D" w:rsidP="0003036D">
      <w:pPr>
        <w:pStyle w:val="Nadpis1"/>
        <w:numPr>
          <w:ilvl w:val="0"/>
          <w:numId w:val="9"/>
        </w:numPr>
        <w:spacing w:before="0" w:after="360"/>
        <w:ind w:left="357" w:hanging="357"/>
        <w:rPr>
          <w:rFonts w:ascii="Times New Roman" w:hAnsi="Times New Roman" w:cs="Times New Roman"/>
          <w:sz w:val="28"/>
        </w:rPr>
      </w:pPr>
      <w:bookmarkStart w:id="29" w:name="_Toc463036708"/>
      <w:r w:rsidRPr="009B77EC">
        <w:rPr>
          <w:rFonts w:ascii="Times New Roman" w:hAnsi="Times New Roman" w:cs="Times New Roman"/>
          <w:sz w:val="28"/>
        </w:rPr>
        <w:t>Strategické c</w:t>
      </w:r>
      <w:r w:rsidR="00A649B2" w:rsidRPr="009B77EC">
        <w:rPr>
          <w:rFonts w:ascii="Times New Roman" w:hAnsi="Times New Roman" w:cs="Times New Roman"/>
          <w:sz w:val="28"/>
        </w:rPr>
        <w:t xml:space="preserve">iele </w:t>
      </w:r>
      <w:r w:rsidRPr="009B77EC">
        <w:rPr>
          <w:rFonts w:ascii="Times New Roman" w:hAnsi="Times New Roman" w:cs="Times New Roman"/>
          <w:sz w:val="28"/>
        </w:rPr>
        <w:t>ria</w:t>
      </w:r>
      <w:r w:rsidR="00A649B2" w:rsidRPr="009B77EC">
        <w:rPr>
          <w:rFonts w:ascii="Times New Roman" w:hAnsi="Times New Roman" w:cs="Times New Roman"/>
          <w:sz w:val="28"/>
        </w:rPr>
        <w:t>deni</w:t>
      </w:r>
      <w:r w:rsidRPr="009B77EC">
        <w:rPr>
          <w:rFonts w:ascii="Times New Roman" w:hAnsi="Times New Roman" w:cs="Times New Roman"/>
          <w:sz w:val="28"/>
        </w:rPr>
        <w:t>a</w:t>
      </w:r>
      <w:r w:rsidR="005840BF" w:rsidRPr="009B77EC">
        <w:rPr>
          <w:rFonts w:ascii="Times New Roman" w:hAnsi="Times New Roman" w:cs="Times New Roman"/>
          <w:sz w:val="28"/>
        </w:rPr>
        <w:t xml:space="preserve"> </w:t>
      </w:r>
      <w:r w:rsidRPr="009B77EC">
        <w:rPr>
          <w:rFonts w:ascii="Times New Roman" w:hAnsi="Times New Roman" w:cs="Times New Roman"/>
          <w:sz w:val="28"/>
        </w:rPr>
        <w:t xml:space="preserve">štátneho dlhu na roky </w:t>
      </w:r>
      <w:r w:rsidR="00192994" w:rsidRPr="009B77EC">
        <w:rPr>
          <w:rFonts w:ascii="Times New Roman" w:hAnsi="Times New Roman" w:cs="Times New Roman"/>
          <w:sz w:val="28"/>
        </w:rPr>
        <w:t>201</w:t>
      </w:r>
      <w:r w:rsidR="00516ECE" w:rsidRPr="009B77EC">
        <w:rPr>
          <w:rFonts w:ascii="Times New Roman" w:hAnsi="Times New Roman" w:cs="Times New Roman"/>
          <w:sz w:val="28"/>
        </w:rPr>
        <w:t>5</w:t>
      </w:r>
      <w:r w:rsidR="00192994" w:rsidRPr="009B77EC">
        <w:rPr>
          <w:rFonts w:ascii="Times New Roman" w:hAnsi="Times New Roman" w:cs="Times New Roman"/>
          <w:sz w:val="28"/>
        </w:rPr>
        <w:t xml:space="preserve"> </w:t>
      </w:r>
      <w:r w:rsidRPr="009B77EC">
        <w:rPr>
          <w:rFonts w:ascii="Times New Roman" w:hAnsi="Times New Roman" w:cs="Times New Roman"/>
          <w:sz w:val="28"/>
        </w:rPr>
        <w:t>až 201</w:t>
      </w:r>
      <w:bookmarkEnd w:id="8"/>
      <w:r w:rsidR="00516ECE" w:rsidRPr="009B77EC">
        <w:rPr>
          <w:rFonts w:ascii="Times New Roman" w:hAnsi="Times New Roman" w:cs="Times New Roman"/>
          <w:sz w:val="28"/>
        </w:rPr>
        <w:t>8</w:t>
      </w:r>
      <w:bookmarkEnd w:id="27"/>
      <w:bookmarkEnd w:id="28"/>
      <w:bookmarkEnd w:id="29"/>
      <w:r w:rsidR="00C97DA5" w:rsidRPr="009B77EC">
        <w:rPr>
          <w:rFonts w:ascii="Times New Roman" w:hAnsi="Times New Roman" w:cs="Times New Roman"/>
          <w:sz w:val="28"/>
        </w:rPr>
        <w:t xml:space="preserve"> </w:t>
      </w:r>
    </w:p>
    <w:p w:rsidR="00191554" w:rsidRPr="009B77EC" w:rsidRDefault="00191554" w:rsidP="009B77EC">
      <w:pPr>
        <w:ind w:firstLine="709"/>
        <w:jc w:val="both"/>
        <w:rPr>
          <w:szCs w:val="22"/>
        </w:rPr>
      </w:pPr>
      <w:r w:rsidRPr="009B77EC">
        <w:rPr>
          <w:szCs w:val="22"/>
        </w:rPr>
        <w:t xml:space="preserve">Hlavným cieľom riadenia štátneho dlhu je zabezpečiť plnenie finančných záväzkov štátu a zabezpečiť spoľahlivé refinancovanie na kapitálovom trhu pri primeraných úrokových nákladoch a únosnej miere rizík. Ciele formulované v Stratégii na roky 2015 až 2018 sú v súlade s aktuálnou situáciou na finančnom trhu aj s vývojom riadenia štátneho dlhu. Nastavenie cieľov riadenia štátneho dlhu a likvidity je vyhovujúce pre podmienky ekonomiky a dostatočné pre systém riadenia dlhu v SR. Aktuálna aktualizácia nevyžaduje modifikovať kvantitatívne ciele riadenia rizika ani ostatné ciele stanovené v Stratégii. </w:t>
      </w:r>
    </w:p>
    <w:p w:rsidR="00191554" w:rsidRPr="009B77EC" w:rsidRDefault="00191554" w:rsidP="00191554"/>
    <w:p w:rsidR="00B47E5C" w:rsidRPr="009B77EC" w:rsidRDefault="00B47E5C" w:rsidP="00303C58">
      <w:pPr>
        <w:pStyle w:val="Nadpis1"/>
        <w:numPr>
          <w:ilvl w:val="0"/>
          <w:numId w:val="9"/>
        </w:numPr>
        <w:spacing w:before="0" w:after="240"/>
        <w:rPr>
          <w:rFonts w:ascii="Times New Roman" w:hAnsi="Times New Roman" w:cs="Times New Roman"/>
        </w:rPr>
      </w:pPr>
      <w:bookmarkStart w:id="30" w:name="_Toc463036709"/>
      <w:r w:rsidRPr="009B77EC">
        <w:rPr>
          <w:rFonts w:ascii="Times New Roman" w:hAnsi="Times New Roman" w:cs="Times New Roman"/>
        </w:rPr>
        <w:t>Záver</w:t>
      </w:r>
      <w:bookmarkEnd w:id="30"/>
    </w:p>
    <w:p w:rsidR="00191554" w:rsidRPr="009B77EC" w:rsidRDefault="00191554" w:rsidP="009B77EC">
      <w:pPr>
        <w:spacing w:after="120"/>
        <w:ind w:firstLine="708"/>
        <w:jc w:val="both"/>
        <w:rPr>
          <w:szCs w:val="22"/>
        </w:rPr>
      </w:pPr>
      <w:r w:rsidRPr="009B77EC">
        <w:rPr>
          <w:szCs w:val="22"/>
        </w:rPr>
        <w:t xml:space="preserve">Slovensko plní všetky kritériá stanovené Stratégiou. Ciele formulované v Stratégii na roky 2015 až 2018 sú v súlade s aktuálnou situáciou na finančnom trhu. Rozhodnutie sprísniť parametre splatnosti štátneho dlhu do piatich a jedného roka a úrokového rizika do piatich rokov sa ukázalo ako správne. Vývoj verejných financií, nákladov na správu štátneho dlhu v posledných rokoch a najmä hodnotenie Slovenska investormi, bankami a ratingovými spoločnosťami taktiež ukazujú, že nastavenie cieľov riadenia štátneho dlhu a likvidity je vyhovujúce pre podmienky ekonomiky a dostatočné pre systém riadenia dlhu v SR. </w:t>
      </w:r>
    </w:p>
    <w:p w:rsidR="00191554" w:rsidRPr="009B77EC" w:rsidRDefault="00191554" w:rsidP="00191554">
      <w:pPr>
        <w:spacing w:after="120"/>
        <w:jc w:val="both"/>
        <w:rPr>
          <w:szCs w:val="22"/>
        </w:rPr>
      </w:pPr>
      <w:r w:rsidRPr="009B77EC">
        <w:rPr>
          <w:b/>
          <w:szCs w:val="22"/>
        </w:rPr>
        <w:t>Aktuálna aktualizácia nevyžaduje modifikovať kvantitatívne ciele riadenia rizika ani ostatné ciele stanovené v Stratégii.</w:t>
      </w:r>
    </w:p>
    <w:p w:rsidR="00191554" w:rsidRDefault="00191554" w:rsidP="00303C58">
      <w:pPr>
        <w:spacing w:after="120"/>
        <w:jc w:val="both"/>
        <w:rPr>
          <w:sz w:val="22"/>
          <w:szCs w:val="22"/>
        </w:rPr>
      </w:pPr>
    </w:p>
    <w:p w:rsidR="009B77EC" w:rsidRDefault="009B77EC" w:rsidP="00303C58">
      <w:pPr>
        <w:spacing w:after="120"/>
        <w:jc w:val="both"/>
        <w:rPr>
          <w:sz w:val="22"/>
          <w:szCs w:val="22"/>
        </w:rPr>
      </w:pPr>
    </w:p>
    <w:p w:rsidR="009B77EC" w:rsidRDefault="009B77EC" w:rsidP="00303C58">
      <w:pPr>
        <w:spacing w:after="120"/>
        <w:jc w:val="both"/>
        <w:rPr>
          <w:sz w:val="22"/>
          <w:szCs w:val="22"/>
        </w:rPr>
      </w:pPr>
    </w:p>
    <w:p w:rsidR="009B77EC" w:rsidRDefault="009B77EC" w:rsidP="00303C58">
      <w:pPr>
        <w:spacing w:after="120"/>
        <w:jc w:val="both"/>
        <w:rPr>
          <w:sz w:val="22"/>
          <w:szCs w:val="22"/>
        </w:rPr>
      </w:pPr>
    </w:p>
    <w:p w:rsidR="009B77EC" w:rsidRDefault="009B77EC" w:rsidP="00303C58">
      <w:pPr>
        <w:spacing w:after="120"/>
        <w:jc w:val="both"/>
        <w:rPr>
          <w:sz w:val="22"/>
          <w:szCs w:val="22"/>
        </w:rPr>
      </w:pPr>
    </w:p>
    <w:p w:rsidR="009B77EC" w:rsidRDefault="009B77EC" w:rsidP="00303C58">
      <w:pPr>
        <w:spacing w:after="120"/>
        <w:jc w:val="both"/>
        <w:rPr>
          <w:sz w:val="22"/>
          <w:szCs w:val="22"/>
        </w:rPr>
      </w:pPr>
    </w:p>
    <w:p w:rsidR="009B77EC" w:rsidRDefault="009B77EC" w:rsidP="00303C58">
      <w:pPr>
        <w:spacing w:after="120"/>
        <w:jc w:val="both"/>
        <w:rPr>
          <w:sz w:val="22"/>
          <w:szCs w:val="22"/>
        </w:rPr>
      </w:pPr>
    </w:p>
    <w:p w:rsidR="009B77EC" w:rsidRDefault="009B77EC" w:rsidP="00303C58">
      <w:pPr>
        <w:spacing w:after="120"/>
        <w:jc w:val="both"/>
        <w:rPr>
          <w:sz w:val="22"/>
          <w:szCs w:val="22"/>
        </w:rPr>
      </w:pPr>
    </w:p>
    <w:p w:rsidR="009B77EC" w:rsidRDefault="009B77EC" w:rsidP="00303C58">
      <w:pPr>
        <w:spacing w:after="120"/>
        <w:jc w:val="both"/>
        <w:rPr>
          <w:sz w:val="22"/>
          <w:szCs w:val="22"/>
        </w:rPr>
      </w:pPr>
    </w:p>
    <w:p w:rsidR="009B77EC" w:rsidRDefault="009B77EC" w:rsidP="00303C58">
      <w:pPr>
        <w:spacing w:after="120"/>
        <w:jc w:val="both"/>
        <w:rPr>
          <w:sz w:val="22"/>
          <w:szCs w:val="22"/>
        </w:rPr>
      </w:pPr>
    </w:p>
    <w:p w:rsidR="009B77EC" w:rsidRDefault="009B77EC" w:rsidP="00303C58">
      <w:pPr>
        <w:spacing w:after="120"/>
        <w:jc w:val="both"/>
        <w:rPr>
          <w:sz w:val="22"/>
          <w:szCs w:val="22"/>
        </w:rPr>
      </w:pPr>
    </w:p>
    <w:p w:rsidR="009B77EC" w:rsidRDefault="009B77EC" w:rsidP="00303C58">
      <w:pPr>
        <w:spacing w:after="120"/>
        <w:jc w:val="both"/>
        <w:rPr>
          <w:sz w:val="22"/>
          <w:szCs w:val="22"/>
        </w:rPr>
      </w:pPr>
    </w:p>
    <w:p w:rsidR="009B77EC" w:rsidRPr="009B77EC" w:rsidRDefault="009B77EC" w:rsidP="00303C58">
      <w:pPr>
        <w:spacing w:after="120"/>
        <w:jc w:val="both"/>
        <w:rPr>
          <w:sz w:val="22"/>
          <w:szCs w:val="22"/>
        </w:rPr>
      </w:pPr>
    </w:p>
    <w:p w:rsidR="00191554" w:rsidRPr="009B77EC" w:rsidRDefault="00191554" w:rsidP="00303C58">
      <w:pPr>
        <w:spacing w:after="120"/>
        <w:jc w:val="both"/>
        <w:rPr>
          <w:sz w:val="22"/>
          <w:szCs w:val="22"/>
        </w:rPr>
      </w:pPr>
    </w:p>
    <w:p w:rsidR="00191554" w:rsidRPr="009B77EC" w:rsidRDefault="00191554" w:rsidP="00303C58">
      <w:pPr>
        <w:spacing w:after="120"/>
        <w:jc w:val="both"/>
        <w:rPr>
          <w:sz w:val="22"/>
          <w:szCs w:val="22"/>
        </w:rPr>
      </w:pPr>
    </w:p>
    <w:p w:rsidR="00191554" w:rsidRPr="009B77EC" w:rsidRDefault="00191554" w:rsidP="00303C58">
      <w:pPr>
        <w:spacing w:after="120"/>
        <w:jc w:val="both"/>
        <w:rPr>
          <w:sz w:val="22"/>
          <w:szCs w:val="22"/>
        </w:rPr>
      </w:pPr>
    </w:p>
    <w:p w:rsidR="00191554" w:rsidRPr="009B77EC" w:rsidRDefault="00191554" w:rsidP="00191554">
      <w:pPr>
        <w:spacing w:before="120" w:after="120"/>
        <w:jc w:val="both"/>
        <w:rPr>
          <w:b/>
          <w:sz w:val="28"/>
        </w:rPr>
      </w:pPr>
      <w:r w:rsidRPr="009B77EC">
        <w:rPr>
          <w:b/>
          <w:sz w:val="28"/>
        </w:rPr>
        <w:lastRenderedPageBreak/>
        <w:t>Príloha</w:t>
      </w:r>
      <w:r w:rsidR="00F345F6" w:rsidRPr="009B77EC">
        <w:rPr>
          <w:b/>
          <w:sz w:val="28"/>
        </w:rPr>
        <w:t>:</w:t>
      </w:r>
      <w:r w:rsidRPr="009B77EC">
        <w:rPr>
          <w:b/>
          <w:sz w:val="28"/>
        </w:rPr>
        <w:t xml:space="preserve"> Riadenie finančných rizík štátneho dlhu</w:t>
      </w:r>
    </w:p>
    <w:p w:rsidR="00191554" w:rsidRPr="009B77EC" w:rsidRDefault="00191554" w:rsidP="009B77EC">
      <w:pPr>
        <w:spacing w:before="120"/>
        <w:ind w:firstLine="708"/>
        <w:jc w:val="both"/>
      </w:pPr>
      <w:r w:rsidRPr="009B77EC">
        <w:t>Riadenie parametrov portfólia štátneho dlhu je založené na nastavení cieľových hodnôt rizík a dodržiavaní nastavených hodnôt v určitom rozsahu odchýlok od stanovených úrovní. Nastavením hodnôt rizík sú determinované výdavky spojené s obsluhou dlhového portfólia. Medzi najdôležitejšie riziká štátneho dlhu patria nasledovné:</w:t>
      </w:r>
    </w:p>
    <w:p w:rsidR="00191554" w:rsidRPr="009B77EC" w:rsidRDefault="00191554" w:rsidP="00191554">
      <w:pPr>
        <w:spacing w:before="360" w:after="120"/>
        <w:jc w:val="center"/>
        <w:rPr>
          <w:b/>
        </w:rPr>
      </w:pPr>
      <w:bookmarkStart w:id="31" w:name="_Toc252805711"/>
      <w:bookmarkStart w:id="32" w:name="_Toc275948238"/>
      <w:r w:rsidRPr="009B77EC">
        <w:rPr>
          <w:b/>
        </w:rPr>
        <w:t>REFINANČNÉ RIZIKO</w:t>
      </w:r>
      <w:bookmarkEnd w:id="31"/>
      <w:bookmarkEnd w:id="32"/>
    </w:p>
    <w:p w:rsidR="00191554" w:rsidRPr="009B77EC" w:rsidRDefault="00191554" w:rsidP="009B77EC">
      <w:pPr>
        <w:spacing w:after="120"/>
        <w:ind w:firstLine="708"/>
        <w:jc w:val="both"/>
      </w:pPr>
      <w:r w:rsidRPr="009B77EC">
        <w:t>Refinančné riziko predstavuje možnosť straty schopnosti štátu refinancovať sa a plniť svoje záväzky v čase ich splatnosti, resp. schopnosť splniť si svoje záväzky len pomocou núdzových opatrení, pravdepodobne za oveľa väčšiu cenu ako obvykle. Riziko vyplýva aj z neistoty, či požadované obchody budú môcť byť na finančných trhoch v plnej miere realizované. Toto riziko je sledované prostredníctvom ukazovateľov kumulatívnej splatnosti, to znamená súčtu všetkých splatných záväzkov v stanovenom období.</w:t>
      </w:r>
    </w:p>
    <w:p w:rsidR="00191554" w:rsidRPr="009B77EC" w:rsidRDefault="00191554" w:rsidP="00191554">
      <w:pPr>
        <w:numPr>
          <w:ilvl w:val="0"/>
          <w:numId w:val="16"/>
        </w:numPr>
        <w:ind w:left="1134" w:hanging="850"/>
        <w:jc w:val="both"/>
      </w:pPr>
      <w:r w:rsidRPr="009B77EC">
        <w:t>Ukazovateľ kumulatívnej splatnosti v prvom roku</w:t>
      </w:r>
    </w:p>
    <w:p w:rsidR="00191554" w:rsidRPr="009B77EC" w:rsidRDefault="00191554" w:rsidP="00191554">
      <w:pPr>
        <w:numPr>
          <w:ilvl w:val="0"/>
          <w:numId w:val="16"/>
        </w:numPr>
        <w:spacing w:after="120"/>
        <w:ind w:left="1134" w:hanging="850"/>
        <w:jc w:val="both"/>
      </w:pPr>
      <w:r w:rsidRPr="009B77EC">
        <w:t>Ukazovateľ kumulatívnej splatnosti do 5 rokov</w:t>
      </w:r>
    </w:p>
    <w:p w:rsidR="00191554" w:rsidRPr="009B77EC" w:rsidRDefault="00191554" w:rsidP="009B77EC">
      <w:pPr>
        <w:spacing w:after="240"/>
        <w:ind w:firstLine="708"/>
        <w:jc w:val="both"/>
      </w:pPr>
      <w:r w:rsidRPr="009B77EC">
        <w:t>V období rokov 2015</w:t>
      </w:r>
      <w:r w:rsidR="001A6D48" w:rsidRPr="009B77EC">
        <w:t xml:space="preserve"> až </w:t>
      </w:r>
      <w:r w:rsidRPr="009B77EC">
        <w:t>2018 je strategickým zámerom udržiavanie podielu súčtu všetkých splatných záväzkov v období do jedného roka k celkovým finančným záväzkom, čo najbližšie k hodnote 20 % a udržiavanie podielu súčtu všetkých splatných záväzkov v období do piatich rokov k celkovým finančným záväzkom, čo najbližšie k hodnote 55 %. Dodržanie týchto parametrov predpokladá štandardné podmienky vývoja finančných trhov, makroekonomického a fiškálneho vývoja ekonomiky SR v rámci eurozóny. Rozhodnutie o dodržaní parametrov, aj v prípade neštandardných podmienok, môže viesť k podstatnému zväčšeniu výdavkov ŠR na obsluhu dlhu.</w:t>
      </w:r>
    </w:p>
    <w:p w:rsidR="00191554" w:rsidRPr="009B77EC" w:rsidRDefault="00191554" w:rsidP="00D91EF1">
      <w:pPr>
        <w:ind w:left="708" w:firstLine="708"/>
        <w:jc w:val="both"/>
        <w:rPr>
          <w:i/>
          <w:sz w:val="16"/>
          <w:szCs w:val="16"/>
        </w:rPr>
      </w:pPr>
      <w:r w:rsidRPr="00D91EF1">
        <w:rPr>
          <w:b/>
          <w:sz w:val="22"/>
          <w:szCs w:val="20"/>
        </w:rPr>
        <w:t>Kumulatívne refinančné riziko v jednotlivých rokoch (%, k 30.9.2016)</w:t>
      </w:r>
      <w:r w:rsidRPr="009B77EC">
        <w:rPr>
          <w:i/>
          <w:sz w:val="16"/>
          <w:szCs w:val="16"/>
        </w:rPr>
        <w:t xml:space="preserve"> </w:t>
      </w:r>
    </w:p>
    <w:p w:rsidR="00191554" w:rsidRPr="009B77EC" w:rsidRDefault="00191554" w:rsidP="00191554">
      <w:pPr>
        <w:ind w:left="-142"/>
        <w:jc w:val="both"/>
        <w:rPr>
          <w:i/>
          <w:sz w:val="16"/>
          <w:szCs w:val="16"/>
        </w:rPr>
      </w:pPr>
      <w:r w:rsidRPr="009B77EC">
        <w:rPr>
          <w:i/>
          <w:noProof/>
          <w:sz w:val="16"/>
          <w:szCs w:val="16"/>
        </w:rPr>
        <w:drawing>
          <wp:inline distT="0" distB="0" distL="0" distR="0">
            <wp:extent cx="5939790" cy="2700020"/>
            <wp:effectExtent l="0" t="0" r="3810" b="5080"/>
            <wp:docPr id="12" name="Obrázok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9790" cy="2700020"/>
                    </a:xfrm>
                    <a:prstGeom prst="rect">
                      <a:avLst/>
                    </a:prstGeom>
                    <a:noFill/>
                  </pic:spPr>
                </pic:pic>
              </a:graphicData>
            </a:graphic>
          </wp:inline>
        </w:drawing>
      </w:r>
    </w:p>
    <w:p w:rsidR="00191554" w:rsidRPr="009B77EC" w:rsidRDefault="00191554" w:rsidP="00191554">
      <w:pPr>
        <w:jc w:val="right"/>
        <w:rPr>
          <w:sz w:val="22"/>
          <w:szCs w:val="22"/>
        </w:rPr>
      </w:pPr>
      <w:r w:rsidRPr="009B77EC">
        <w:rPr>
          <w:i/>
          <w:sz w:val="16"/>
          <w:szCs w:val="16"/>
        </w:rPr>
        <w:t>Zdroj: ARDAL</w:t>
      </w:r>
    </w:p>
    <w:p w:rsidR="00191554" w:rsidRPr="00D91EF1" w:rsidRDefault="00191554" w:rsidP="00191554">
      <w:pPr>
        <w:spacing w:before="360" w:after="120"/>
        <w:jc w:val="center"/>
        <w:rPr>
          <w:b/>
        </w:rPr>
      </w:pPr>
      <w:bookmarkStart w:id="33" w:name="_Toc252805712"/>
      <w:bookmarkStart w:id="34" w:name="_Toc275948239"/>
      <w:r w:rsidRPr="00D91EF1">
        <w:rPr>
          <w:b/>
        </w:rPr>
        <w:t>ÚROKOVÉ RIZIKO</w:t>
      </w:r>
      <w:bookmarkEnd w:id="33"/>
      <w:bookmarkEnd w:id="34"/>
    </w:p>
    <w:p w:rsidR="00191554" w:rsidRPr="00D91EF1" w:rsidRDefault="00191554" w:rsidP="00D91EF1">
      <w:pPr>
        <w:spacing w:after="120"/>
        <w:ind w:firstLine="708"/>
        <w:jc w:val="both"/>
      </w:pPr>
      <w:r w:rsidRPr="00D91EF1">
        <w:t>Úrokové riziko predstavuje riziko zmeny výdavkov spojených s portfóliom štátneho dlhu v dôsledku zmien trhových úrokových sadzieb. Ukazovatele precenenia dlhu, ktorými sa toto riziko riadi, vyjadrujú mieru ohrozenia – rastu (poklesu) výdavkov v dôsledku nepriaznivých (priaznivých) pohybov úrokových sadzieb. Sekundárne sa pri úrokovom riziku sleduje aj vývoj celkovej durácie portfólia.</w:t>
      </w:r>
    </w:p>
    <w:p w:rsidR="00191554" w:rsidRPr="00D91EF1" w:rsidRDefault="00191554" w:rsidP="00191554">
      <w:pPr>
        <w:numPr>
          <w:ilvl w:val="0"/>
          <w:numId w:val="23"/>
        </w:numPr>
        <w:ind w:left="1008"/>
        <w:jc w:val="both"/>
      </w:pPr>
      <w:r w:rsidRPr="00D91EF1">
        <w:lastRenderedPageBreak/>
        <w:t>Ukazovateľ precenenia dlhu v prvom roku</w:t>
      </w:r>
    </w:p>
    <w:p w:rsidR="00191554" w:rsidRPr="00D91EF1" w:rsidRDefault="00191554" w:rsidP="00191554">
      <w:pPr>
        <w:numPr>
          <w:ilvl w:val="0"/>
          <w:numId w:val="23"/>
        </w:numPr>
        <w:ind w:left="1008"/>
        <w:jc w:val="both"/>
      </w:pPr>
      <w:r w:rsidRPr="00D91EF1">
        <w:t>Ukazovateľ precenenia dlhu do 5 rokov</w:t>
      </w:r>
    </w:p>
    <w:p w:rsidR="00191554" w:rsidRPr="00D91EF1" w:rsidRDefault="00191554" w:rsidP="00D91EF1">
      <w:pPr>
        <w:spacing w:before="120" w:after="120"/>
        <w:ind w:firstLine="708"/>
        <w:jc w:val="both"/>
      </w:pPr>
      <w:r w:rsidRPr="00D91EF1">
        <w:t>Podobne, ako pri refinančnom riziku, aj tu je strategickým zámerom udržiavanie podielu súčtu všetkých záväzkov preceňovaných v období do jedného roka k celkovým finančným záväzkom, čo najbližšie k hodnote 25 % a udržiavanie podielu súčtu všetkých splatných záväzkov preceňovaných v období do piatich rokov k celkovým finančným záväzkom, čo najbližšie k hodnote 55 %. Splnenie týchto parametrov tiež predpokladá štandardné podmienky vývoja finančných trhov, ekonomiky a fiškálnej pozície štátu.</w:t>
      </w:r>
    </w:p>
    <w:p w:rsidR="00191554" w:rsidRPr="00D91EF1" w:rsidRDefault="00191554" w:rsidP="00191554">
      <w:pPr>
        <w:spacing w:before="120" w:after="120"/>
        <w:jc w:val="center"/>
        <w:rPr>
          <w:b/>
          <w:color w:val="FF0000"/>
          <w:sz w:val="22"/>
          <w:szCs w:val="20"/>
        </w:rPr>
      </w:pPr>
      <w:r w:rsidRPr="00D91EF1">
        <w:rPr>
          <w:b/>
          <w:sz w:val="22"/>
          <w:szCs w:val="20"/>
        </w:rPr>
        <w:t>Kumulatívne úrokové riziko v jednotlivých rokoch (%, k 30.9.2016)</w:t>
      </w:r>
    </w:p>
    <w:p w:rsidR="00191554" w:rsidRPr="009B77EC" w:rsidRDefault="00191554" w:rsidP="00191554">
      <w:pPr>
        <w:spacing w:before="120" w:after="120"/>
        <w:jc w:val="center"/>
        <w:rPr>
          <w:b/>
          <w:color w:val="FF0000"/>
          <w:sz w:val="20"/>
          <w:szCs w:val="20"/>
        </w:rPr>
      </w:pPr>
      <w:r w:rsidRPr="009B77EC">
        <w:rPr>
          <w:b/>
          <w:noProof/>
          <w:color w:val="FF0000"/>
          <w:sz w:val="20"/>
          <w:szCs w:val="20"/>
        </w:rPr>
        <w:drawing>
          <wp:inline distT="0" distB="0" distL="0" distR="0">
            <wp:extent cx="5939790" cy="2700020"/>
            <wp:effectExtent l="0" t="0" r="3810" b="5080"/>
            <wp:docPr id="11" name="Obrázok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9790" cy="2700020"/>
                    </a:xfrm>
                    <a:prstGeom prst="rect">
                      <a:avLst/>
                    </a:prstGeom>
                    <a:noFill/>
                  </pic:spPr>
                </pic:pic>
              </a:graphicData>
            </a:graphic>
          </wp:inline>
        </w:drawing>
      </w:r>
    </w:p>
    <w:p w:rsidR="00191554" w:rsidRPr="009B77EC" w:rsidRDefault="00191554" w:rsidP="00191554">
      <w:pPr>
        <w:jc w:val="right"/>
        <w:rPr>
          <w:sz w:val="22"/>
          <w:szCs w:val="22"/>
        </w:rPr>
      </w:pPr>
      <w:r w:rsidRPr="009B77EC">
        <w:rPr>
          <w:i/>
          <w:sz w:val="16"/>
          <w:szCs w:val="16"/>
        </w:rPr>
        <w:t xml:space="preserve"> Zdroj: ARDAL</w:t>
      </w:r>
    </w:p>
    <w:p w:rsidR="00191554" w:rsidRPr="00D91EF1" w:rsidRDefault="00191554" w:rsidP="00D91EF1">
      <w:pPr>
        <w:spacing w:before="240" w:after="120"/>
        <w:ind w:firstLine="708"/>
        <w:jc w:val="both"/>
      </w:pPr>
      <w:r w:rsidRPr="00D91EF1">
        <w:t>Priemerná splatnosť a durácia dlhového portfólia budú sledované aj naďalej ako sekundárne ukazovatele.</w:t>
      </w:r>
    </w:p>
    <w:p w:rsidR="00191554" w:rsidRPr="00D91EF1" w:rsidRDefault="00191554" w:rsidP="008A0FB7">
      <w:pPr>
        <w:spacing w:before="240" w:after="120"/>
        <w:jc w:val="center"/>
        <w:rPr>
          <w:b/>
        </w:rPr>
      </w:pPr>
      <w:bookmarkStart w:id="35" w:name="_Toc252805713"/>
      <w:bookmarkStart w:id="36" w:name="_Toc275948240"/>
      <w:r w:rsidRPr="00D91EF1">
        <w:rPr>
          <w:b/>
        </w:rPr>
        <w:t>KURZOVÉ RIZIKO</w:t>
      </w:r>
      <w:bookmarkEnd w:id="35"/>
      <w:bookmarkEnd w:id="36"/>
    </w:p>
    <w:p w:rsidR="00191554" w:rsidRPr="00D91EF1" w:rsidRDefault="00191554" w:rsidP="00D91EF1">
      <w:pPr>
        <w:ind w:firstLine="644"/>
        <w:jc w:val="both"/>
      </w:pPr>
      <w:r w:rsidRPr="00D91EF1">
        <w:t>Kurzové riziko predstavuje riziko straty spôsobenej zmenou kurzov iných mien a ich vplyv na aktíva a pasíva štátu. Vzhľadom na činnosti, ktoré vykonáva ARDAL v mene MF SR, toto riziko môže vzniknúť len v prípade, že na financovanie záväzkov štátu budú prijaté zdroje v cudzej mene a tie budú bez zabezpečovacích operácií konvertované do eur.</w:t>
      </w:r>
    </w:p>
    <w:p w:rsidR="00191554" w:rsidRPr="00D91EF1" w:rsidRDefault="00191554" w:rsidP="00191554">
      <w:pPr>
        <w:numPr>
          <w:ilvl w:val="0"/>
          <w:numId w:val="22"/>
        </w:numPr>
        <w:spacing w:before="120" w:after="120"/>
        <w:jc w:val="both"/>
      </w:pPr>
      <w:r w:rsidRPr="00D91EF1">
        <w:t>Ukazovateľ otvorenej nezabezpečenej cudzomenovej pozície finančných záväzkov štátu</w:t>
      </w:r>
    </w:p>
    <w:p w:rsidR="00191554" w:rsidRPr="00D91EF1" w:rsidRDefault="00191554" w:rsidP="00D91EF1">
      <w:pPr>
        <w:spacing w:before="240" w:after="120"/>
        <w:ind w:firstLine="644"/>
        <w:jc w:val="both"/>
      </w:pPr>
      <w:r w:rsidRPr="00D91EF1">
        <w:t>V prípade výhodných podmienok na trhu, bude snahou udržiavať diverzifikované dlhové portfólio aj z hľadiska menovej štruktúry. Strategickým zámerom štátu bude udržanie zatvorenej – zabezpečenej cudzomenovej pozície finančných záväzkov štátu. Otvorená nezabezpečená cudzomenová pozícia finančných záväzkov štátu môže krátkodobo dosiahnuť maximálne 3 % v pomere k celkovým finančným záväzkom štátu. Ku koncu júna 2016 bola hodnota nezabezpečeného dlhu v cudzej mene 0,11 % z celého dlhu (suma „živých“ štátnych dlhopisov a úverov).</w:t>
      </w:r>
    </w:p>
    <w:p w:rsidR="00191554" w:rsidRPr="00D91EF1" w:rsidRDefault="00191554" w:rsidP="00191554">
      <w:pPr>
        <w:spacing w:before="240" w:after="120"/>
        <w:jc w:val="center"/>
        <w:rPr>
          <w:b/>
        </w:rPr>
      </w:pPr>
      <w:bookmarkStart w:id="37" w:name="_Toc252805714"/>
      <w:bookmarkStart w:id="38" w:name="_Toc275948241"/>
      <w:r w:rsidRPr="00D91EF1">
        <w:rPr>
          <w:b/>
        </w:rPr>
        <w:t>KREDITNÉ RIZIKO</w:t>
      </w:r>
      <w:bookmarkEnd w:id="37"/>
      <w:bookmarkEnd w:id="38"/>
    </w:p>
    <w:p w:rsidR="00191554" w:rsidRPr="00D91EF1" w:rsidRDefault="00191554" w:rsidP="00D91EF1">
      <w:pPr>
        <w:ind w:firstLine="708"/>
        <w:jc w:val="both"/>
      </w:pPr>
      <w:r w:rsidRPr="00D91EF1">
        <w:t xml:space="preserve">Kreditné riziko predstavuje riziko straty vyplývajúce z toho, že dlžník alebo iná zmluvná strana zlyhá pri plnení svojich záväzkov vyplývajúcich z dohodnutých podmienok. Kreditné riziko zahŕňa aj riziko druhého štátu (napr. ak príslušné orgány štátu alebo centrálnej banky nebudú schopné alebo ochotné splniť svoje záväzky voči zahraničiu a ostatní dlžníci v </w:t>
      </w:r>
      <w:r w:rsidRPr="00D91EF1">
        <w:lastRenderedPageBreak/>
        <w:t>príslušnom štáte nebudú schopní splniť svoje záväzky z dôvodu, že sú rezidentmi tohto štátu), riziko koncentrácie, riziko protistrany, či riziko vysporiadania obchodov vyplývajúce z toho, že vysporiadanie finančnej transakcie sa nemusí zrealizovať podľa dohodnutých podmienok. Kreditné riziko je riadené prostredníctvom limitov, ktoré predstavujú maximálnu hodnotu finančných prostriedkov v jednom okamihu deponovaných (uložených) u konkrétnej obchodnej protistrany, či už štátu, bankovej skupiny alebo konkrétnej banky. Stanovenie metodiky a limitov a spôsobu ich kontroly sú v kompetencii vedenia MF SR.</w:t>
      </w:r>
    </w:p>
    <w:p w:rsidR="00191554" w:rsidRPr="00D91EF1" w:rsidRDefault="00191554" w:rsidP="00D91EF1">
      <w:pPr>
        <w:spacing w:before="240"/>
        <w:ind w:firstLine="708"/>
        <w:jc w:val="both"/>
      </w:pPr>
      <w:r w:rsidRPr="00D91EF1">
        <w:t>Princíp stanovenia a kontroly kreditných limitov je založený na základe externých ratingov najvýznamnejších nezávislých ratingových agentúr (Moody’s, S&amp;P, Fitch). Pre  kreditné limity na jednotlivé protistrany je zavedený systém priebežnej kontroly ich dodržiavania. Napriek viacerým možným výhradám voči spoľahlivosti externých ratingov, predstavuje ich využitie v dnešnom finančnom svete jedinú dostupnú alternatívu získania informácií o finančnom zdraví a kredibilite obchodných protistrán. Vychádzajúc z princípu obozretnosti sa pri kreditnom riziku okrem využitia ratingov kontinuálne monitoruje situácia na finančných trhoch, vyhodnocujú sa všetky dostupné informácie z trhu (napr. „credit default spreads“), prípadne sa využívajú aj vlastné ratingové alebo skóringové hodnotenia jednotlivých subjektov.</w:t>
      </w:r>
    </w:p>
    <w:p w:rsidR="00191554" w:rsidRPr="009B77EC" w:rsidRDefault="00191554" w:rsidP="00303C58">
      <w:pPr>
        <w:spacing w:after="120"/>
        <w:jc w:val="both"/>
        <w:rPr>
          <w:strike/>
          <w:sz w:val="22"/>
          <w:szCs w:val="22"/>
        </w:rPr>
      </w:pPr>
    </w:p>
    <w:sectPr w:rsidR="00191554" w:rsidRPr="009B77EC" w:rsidSect="008B09B9">
      <w:footerReference w:type="default" r:id="rId16"/>
      <w:pgSz w:w="11906" w:h="16838"/>
      <w:pgMar w:top="1135"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245" w:rsidRDefault="00843245" w:rsidP="00F449C1">
      <w:r>
        <w:separator/>
      </w:r>
    </w:p>
  </w:endnote>
  <w:endnote w:type="continuationSeparator" w:id="0">
    <w:p w:rsidR="00843245" w:rsidRDefault="00843245" w:rsidP="00F449C1">
      <w:r>
        <w:continuationSeparator/>
      </w:r>
    </w:p>
  </w:endnote>
  <w:endnote w:type="continuationNotice" w:id="1">
    <w:p w:rsidR="00843245" w:rsidRDefault="008432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Tahoma">
    <w:panose1 w:val="020B0604030504040204"/>
    <w:charset w:val="EE"/>
    <w:family w:val="swiss"/>
    <w:pitch w:val="variable"/>
    <w:sig w:usb0="E1002EFF" w:usb1="C000605B" w:usb2="00000029" w:usb3="00000000" w:csb0="000101FF" w:csb1="00000000"/>
  </w:font>
  <w:font w:name="NeueHaasGroteskText W02">
    <w:altName w:val="Segoe Script"/>
    <w:charset w:val="EE"/>
    <w:family w:val="swiss"/>
    <w:pitch w:val="variable"/>
    <w:sig w:usb0="00000001" w:usb1="4000204A" w:usb2="00000000" w:usb3="00000000" w:csb0="00000093"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BD1" w:rsidRDefault="00CD5BD1">
    <w:pPr>
      <w:pStyle w:val="Pta"/>
      <w:jc w:val="right"/>
    </w:pPr>
    <w:r>
      <w:fldChar w:fldCharType="begin"/>
    </w:r>
    <w:r>
      <w:instrText xml:space="preserve"> PAGE   \* MERGEFORMAT </w:instrText>
    </w:r>
    <w:r>
      <w:fldChar w:fldCharType="separate"/>
    </w:r>
    <w:r w:rsidR="00AA74A3">
      <w:rPr>
        <w:noProof/>
      </w:rPr>
      <w:t>2</w:t>
    </w:r>
    <w:r>
      <w:fldChar w:fldCharType="end"/>
    </w:r>
  </w:p>
  <w:p w:rsidR="00CD5BD1" w:rsidRDefault="00CD5BD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245" w:rsidRDefault="00843245" w:rsidP="00F449C1">
      <w:r>
        <w:separator/>
      </w:r>
    </w:p>
  </w:footnote>
  <w:footnote w:type="continuationSeparator" w:id="0">
    <w:p w:rsidR="00843245" w:rsidRDefault="00843245" w:rsidP="00F449C1">
      <w:r>
        <w:continuationSeparator/>
      </w:r>
    </w:p>
  </w:footnote>
  <w:footnote w:type="continuationNotice" w:id="1">
    <w:p w:rsidR="00843245" w:rsidRDefault="00843245"/>
  </w:footnote>
  <w:footnote w:id="2">
    <w:p w:rsidR="00CD5BD1" w:rsidRPr="00D03DD9" w:rsidRDefault="00CD5BD1" w:rsidP="00B6701C">
      <w:pPr>
        <w:pStyle w:val="Textpoznmkypodiarou"/>
        <w:ind w:left="142" w:hanging="142"/>
        <w:jc w:val="both"/>
        <w:rPr>
          <w:sz w:val="18"/>
          <w:szCs w:val="18"/>
        </w:rPr>
      </w:pPr>
      <w:r w:rsidRPr="00D03DD9">
        <w:rPr>
          <w:rStyle w:val="Odkaznapoznmkupodiarou"/>
          <w:sz w:val="18"/>
          <w:szCs w:val="18"/>
        </w:rPr>
        <w:footnoteRef/>
      </w:r>
      <w:r w:rsidRPr="00D03DD9">
        <w:rPr>
          <w:sz w:val="18"/>
          <w:szCs w:val="18"/>
        </w:rPr>
        <w:t xml:space="preserve">  Strednodobý rozpočtový cieľ Slovenska je dosiahnutie štrukturálneho deficitu vo výške 0,5 % HDP, pričom podľa Programu stability na roky 2016 až 2019  by tento mal byť dosiahnutý v roku 2019.</w:t>
      </w:r>
    </w:p>
  </w:footnote>
  <w:footnote w:id="3">
    <w:p w:rsidR="00CD5BD1" w:rsidRPr="009B77EC" w:rsidRDefault="00CD5BD1" w:rsidP="009B77EC">
      <w:pPr>
        <w:pStyle w:val="Textpoznmkypodiarou"/>
        <w:ind w:left="113" w:hanging="113"/>
        <w:jc w:val="both"/>
        <w:rPr>
          <w:sz w:val="18"/>
          <w:szCs w:val="18"/>
        </w:rPr>
      </w:pPr>
      <w:r w:rsidRPr="009B77EC">
        <w:rPr>
          <w:rStyle w:val="Odkaznapoznmkupodiarou"/>
          <w:sz w:val="18"/>
          <w:szCs w:val="18"/>
        </w:rPr>
        <w:footnoteRef/>
      </w:r>
      <w:r w:rsidRPr="009B77EC">
        <w:rPr>
          <w:sz w:val="18"/>
          <w:szCs w:val="18"/>
        </w:rPr>
        <w:t xml:space="preserve"> Ide o hodnotu salda VS 2015 upravenú o schválenú aktualizáciu daňových príjmov Výborom pre daňovú prognózu nad rámec jarnej notifikácie Eurostatu.</w:t>
      </w:r>
    </w:p>
  </w:footnote>
  <w:footnote w:id="4">
    <w:p w:rsidR="00CD5BD1" w:rsidRPr="009B77EC" w:rsidRDefault="00CD5BD1" w:rsidP="009B77EC">
      <w:pPr>
        <w:pStyle w:val="Textpoznmkypodiarou"/>
        <w:jc w:val="both"/>
        <w:rPr>
          <w:sz w:val="18"/>
          <w:szCs w:val="18"/>
        </w:rPr>
      </w:pPr>
      <w:r w:rsidRPr="009B77EC">
        <w:rPr>
          <w:rStyle w:val="Odkaznapoznmkupodiarou"/>
          <w:sz w:val="18"/>
          <w:szCs w:val="18"/>
        </w:rPr>
        <w:footnoteRef/>
      </w:r>
      <w:r w:rsidRPr="009B77EC">
        <w:rPr>
          <w:sz w:val="18"/>
          <w:szCs w:val="18"/>
        </w:rPr>
        <w:t xml:space="preserve"> Zodpovedá druhému sankčnému pásmu podľa ústavného zákona č. 493/2011 o rozpočtovej zodpovednosti</w:t>
      </w:r>
      <w:r w:rsidR="009B77EC">
        <w:rPr>
          <w:sz w:val="18"/>
          <w:szCs w:val="18"/>
        </w:rPr>
        <w:t>.</w:t>
      </w:r>
    </w:p>
  </w:footnote>
  <w:footnote w:id="5">
    <w:p w:rsidR="00CD5BD1" w:rsidRPr="009B77EC" w:rsidRDefault="00CD5BD1" w:rsidP="009B77EC">
      <w:pPr>
        <w:pStyle w:val="Textpoznmkypodiarou"/>
        <w:jc w:val="both"/>
        <w:rPr>
          <w:sz w:val="18"/>
          <w:szCs w:val="18"/>
        </w:rPr>
      </w:pPr>
      <w:r w:rsidRPr="009B77EC">
        <w:rPr>
          <w:rStyle w:val="Odkaznapoznmkupodiarou"/>
          <w:sz w:val="18"/>
          <w:szCs w:val="18"/>
        </w:rPr>
        <w:footnoteRef/>
      </w:r>
      <w:r w:rsidRPr="009B77EC">
        <w:rPr>
          <w:sz w:val="18"/>
          <w:szCs w:val="18"/>
        </w:rPr>
        <w:t xml:space="preserve"> Primárne saldo predstavuje saldo verejnej správy očistené o úrokové náklady.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3386"/>
    <w:multiLevelType w:val="hybridMultilevel"/>
    <w:tmpl w:val="7AD4A914"/>
    <w:lvl w:ilvl="0" w:tplc="96E44412">
      <w:start w:val="1"/>
      <w:numFmt w:val="decimal"/>
      <w:lvlText w:val="%1."/>
      <w:lvlJc w:val="left"/>
      <w:pPr>
        <w:tabs>
          <w:tab w:val="num" w:pos="510"/>
        </w:tabs>
        <w:ind w:left="510" w:hanging="226"/>
      </w:pPr>
      <w:rPr>
        <w:rFonts w:ascii="Arial Narrow" w:hAnsi="Arial Narrow" w:hint="default"/>
        <w:b w:val="0"/>
        <w:i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2F34DFF"/>
    <w:multiLevelType w:val="hybridMultilevel"/>
    <w:tmpl w:val="DBE8129C"/>
    <w:lvl w:ilvl="0" w:tplc="041B000F">
      <w:start w:val="1"/>
      <w:numFmt w:val="decimal"/>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2834C5"/>
    <w:multiLevelType w:val="hybridMultilevel"/>
    <w:tmpl w:val="DC4CF880"/>
    <w:lvl w:ilvl="0" w:tplc="4716A0FE">
      <w:start w:val="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EE47DD7"/>
    <w:multiLevelType w:val="hybridMultilevel"/>
    <w:tmpl w:val="1FC63F12"/>
    <w:lvl w:ilvl="0" w:tplc="041B000F">
      <w:start w:val="1"/>
      <w:numFmt w:val="decimal"/>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DD4C1D"/>
    <w:multiLevelType w:val="hybridMultilevel"/>
    <w:tmpl w:val="F38A7DCA"/>
    <w:lvl w:ilvl="0" w:tplc="ECC4AB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62F7C"/>
    <w:multiLevelType w:val="hybridMultilevel"/>
    <w:tmpl w:val="ED1611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E950170"/>
    <w:multiLevelType w:val="singleLevel"/>
    <w:tmpl w:val="8AD46048"/>
    <w:lvl w:ilvl="0">
      <w:start w:val="1"/>
      <w:numFmt w:val="decimal"/>
      <w:lvlText w:val="(%1)"/>
      <w:lvlJc w:val="left"/>
      <w:pPr>
        <w:tabs>
          <w:tab w:val="num" w:pos="360"/>
        </w:tabs>
        <w:ind w:left="360" w:hanging="360"/>
      </w:pPr>
      <w:rPr>
        <w:rFonts w:hint="default"/>
      </w:rPr>
    </w:lvl>
  </w:abstractNum>
  <w:abstractNum w:abstractNumId="7" w15:restartNumberingAfterBreak="0">
    <w:nsid w:val="31FF38D0"/>
    <w:multiLevelType w:val="hybridMultilevel"/>
    <w:tmpl w:val="7828291C"/>
    <w:lvl w:ilvl="0" w:tplc="C1345AA2">
      <w:start w:val="2"/>
      <w:numFmt w:val="bullet"/>
      <w:lvlText w:val="-"/>
      <w:lvlJc w:val="left"/>
      <w:pPr>
        <w:tabs>
          <w:tab w:val="num" w:pos="1055"/>
        </w:tabs>
        <w:ind w:left="1055" w:hanging="360"/>
      </w:pPr>
      <w:rPr>
        <w:rFonts w:ascii="Arial" w:eastAsia="Cordia New" w:hAnsi="Arial" w:cs="Arial" w:hint="default"/>
      </w:rPr>
    </w:lvl>
    <w:lvl w:ilvl="1" w:tplc="041B0003" w:tentative="1">
      <w:start w:val="1"/>
      <w:numFmt w:val="bullet"/>
      <w:lvlText w:val="o"/>
      <w:lvlJc w:val="left"/>
      <w:pPr>
        <w:tabs>
          <w:tab w:val="num" w:pos="1775"/>
        </w:tabs>
        <w:ind w:left="1775" w:hanging="360"/>
      </w:pPr>
      <w:rPr>
        <w:rFonts w:ascii="Courier New" w:hAnsi="Courier New" w:cs="Courier New" w:hint="default"/>
      </w:rPr>
    </w:lvl>
    <w:lvl w:ilvl="2" w:tplc="041B0005" w:tentative="1">
      <w:start w:val="1"/>
      <w:numFmt w:val="bullet"/>
      <w:lvlText w:val=""/>
      <w:lvlJc w:val="left"/>
      <w:pPr>
        <w:tabs>
          <w:tab w:val="num" w:pos="2495"/>
        </w:tabs>
        <w:ind w:left="2495" w:hanging="360"/>
      </w:pPr>
      <w:rPr>
        <w:rFonts w:ascii="Wingdings" w:hAnsi="Wingdings" w:hint="default"/>
      </w:rPr>
    </w:lvl>
    <w:lvl w:ilvl="3" w:tplc="041B0001" w:tentative="1">
      <w:start w:val="1"/>
      <w:numFmt w:val="bullet"/>
      <w:lvlText w:val=""/>
      <w:lvlJc w:val="left"/>
      <w:pPr>
        <w:tabs>
          <w:tab w:val="num" w:pos="3215"/>
        </w:tabs>
        <w:ind w:left="3215" w:hanging="360"/>
      </w:pPr>
      <w:rPr>
        <w:rFonts w:ascii="Symbol" w:hAnsi="Symbol" w:hint="default"/>
      </w:rPr>
    </w:lvl>
    <w:lvl w:ilvl="4" w:tplc="041B0003" w:tentative="1">
      <w:start w:val="1"/>
      <w:numFmt w:val="bullet"/>
      <w:lvlText w:val="o"/>
      <w:lvlJc w:val="left"/>
      <w:pPr>
        <w:tabs>
          <w:tab w:val="num" w:pos="3935"/>
        </w:tabs>
        <w:ind w:left="3935" w:hanging="360"/>
      </w:pPr>
      <w:rPr>
        <w:rFonts w:ascii="Courier New" w:hAnsi="Courier New" w:cs="Courier New" w:hint="default"/>
      </w:rPr>
    </w:lvl>
    <w:lvl w:ilvl="5" w:tplc="041B0005" w:tentative="1">
      <w:start w:val="1"/>
      <w:numFmt w:val="bullet"/>
      <w:lvlText w:val=""/>
      <w:lvlJc w:val="left"/>
      <w:pPr>
        <w:tabs>
          <w:tab w:val="num" w:pos="4655"/>
        </w:tabs>
        <w:ind w:left="4655" w:hanging="360"/>
      </w:pPr>
      <w:rPr>
        <w:rFonts w:ascii="Wingdings" w:hAnsi="Wingdings" w:hint="default"/>
      </w:rPr>
    </w:lvl>
    <w:lvl w:ilvl="6" w:tplc="041B0001" w:tentative="1">
      <w:start w:val="1"/>
      <w:numFmt w:val="bullet"/>
      <w:lvlText w:val=""/>
      <w:lvlJc w:val="left"/>
      <w:pPr>
        <w:tabs>
          <w:tab w:val="num" w:pos="5375"/>
        </w:tabs>
        <w:ind w:left="5375" w:hanging="360"/>
      </w:pPr>
      <w:rPr>
        <w:rFonts w:ascii="Symbol" w:hAnsi="Symbol" w:hint="default"/>
      </w:rPr>
    </w:lvl>
    <w:lvl w:ilvl="7" w:tplc="041B0003" w:tentative="1">
      <w:start w:val="1"/>
      <w:numFmt w:val="bullet"/>
      <w:lvlText w:val="o"/>
      <w:lvlJc w:val="left"/>
      <w:pPr>
        <w:tabs>
          <w:tab w:val="num" w:pos="6095"/>
        </w:tabs>
        <w:ind w:left="6095" w:hanging="360"/>
      </w:pPr>
      <w:rPr>
        <w:rFonts w:ascii="Courier New" w:hAnsi="Courier New" w:cs="Courier New" w:hint="default"/>
      </w:rPr>
    </w:lvl>
    <w:lvl w:ilvl="8" w:tplc="041B0005" w:tentative="1">
      <w:start w:val="1"/>
      <w:numFmt w:val="bullet"/>
      <w:lvlText w:val=""/>
      <w:lvlJc w:val="left"/>
      <w:pPr>
        <w:tabs>
          <w:tab w:val="num" w:pos="6815"/>
        </w:tabs>
        <w:ind w:left="6815" w:hanging="360"/>
      </w:pPr>
      <w:rPr>
        <w:rFonts w:ascii="Wingdings" w:hAnsi="Wingdings" w:hint="default"/>
      </w:rPr>
    </w:lvl>
  </w:abstractNum>
  <w:abstractNum w:abstractNumId="8" w15:restartNumberingAfterBreak="0">
    <w:nsid w:val="349A42EA"/>
    <w:multiLevelType w:val="multilevel"/>
    <w:tmpl w:val="041B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A4528CA"/>
    <w:multiLevelType w:val="hybridMultilevel"/>
    <w:tmpl w:val="1B2A7A5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6C73DD"/>
    <w:multiLevelType w:val="multilevel"/>
    <w:tmpl w:val="041B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AFD479B"/>
    <w:multiLevelType w:val="hybridMultilevel"/>
    <w:tmpl w:val="A74EF0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BA23E4"/>
    <w:multiLevelType w:val="hybridMultilevel"/>
    <w:tmpl w:val="1AD0040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D244FC06">
      <w:start w:val="3"/>
      <w:numFmt w:val="decimal"/>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8407EBA"/>
    <w:multiLevelType w:val="hybridMultilevel"/>
    <w:tmpl w:val="1B2A7A5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0F4708"/>
    <w:multiLevelType w:val="multilevel"/>
    <w:tmpl w:val="109EFB2A"/>
    <w:lvl w:ilvl="0">
      <w:start w:val="1"/>
      <w:numFmt w:val="decimal"/>
      <w:lvlText w:val="%1."/>
      <w:lvlJc w:val="left"/>
      <w:pPr>
        <w:ind w:left="360" w:hanging="360"/>
      </w:pPr>
    </w:lvl>
    <w:lvl w:ilvl="1">
      <w:start w:val="1"/>
      <w:numFmt w:val="decimal"/>
      <w:lvlText w:val="%1.%2."/>
      <w:lvlJc w:val="left"/>
      <w:pPr>
        <w:ind w:left="716"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CEF3A9E"/>
    <w:multiLevelType w:val="hybridMultilevel"/>
    <w:tmpl w:val="E5D4759A"/>
    <w:lvl w:ilvl="0" w:tplc="C1345AA2">
      <w:start w:val="2"/>
      <w:numFmt w:val="bullet"/>
      <w:lvlText w:val="-"/>
      <w:lvlJc w:val="left"/>
      <w:pPr>
        <w:tabs>
          <w:tab w:val="num" w:pos="1055"/>
        </w:tabs>
        <w:ind w:left="1055" w:hanging="360"/>
      </w:pPr>
      <w:rPr>
        <w:rFonts w:ascii="Arial" w:eastAsia="Cordia New" w:hAnsi="Arial" w:cs="Arial" w:hint="default"/>
      </w:rPr>
    </w:lvl>
    <w:lvl w:ilvl="1" w:tplc="041B0003" w:tentative="1">
      <w:start w:val="1"/>
      <w:numFmt w:val="bullet"/>
      <w:lvlText w:val="o"/>
      <w:lvlJc w:val="left"/>
      <w:pPr>
        <w:tabs>
          <w:tab w:val="num" w:pos="1775"/>
        </w:tabs>
        <w:ind w:left="1775" w:hanging="360"/>
      </w:pPr>
      <w:rPr>
        <w:rFonts w:ascii="Courier New" w:hAnsi="Courier New" w:cs="Courier New" w:hint="default"/>
      </w:rPr>
    </w:lvl>
    <w:lvl w:ilvl="2" w:tplc="041B0005" w:tentative="1">
      <w:start w:val="1"/>
      <w:numFmt w:val="bullet"/>
      <w:lvlText w:val=""/>
      <w:lvlJc w:val="left"/>
      <w:pPr>
        <w:tabs>
          <w:tab w:val="num" w:pos="2495"/>
        </w:tabs>
        <w:ind w:left="2495" w:hanging="360"/>
      </w:pPr>
      <w:rPr>
        <w:rFonts w:ascii="Wingdings" w:hAnsi="Wingdings" w:hint="default"/>
      </w:rPr>
    </w:lvl>
    <w:lvl w:ilvl="3" w:tplc="041B0001" w:tentative="1">
      <w:start w:val="1"/>
      <w:numFmt w:val="bullet"/>
      <w:lvlText w:val=""/>
      <w:lvlJc w:val="left"/>
      <w:pPr>
        <w:tabs>
          <w:tab w:val="num" w:pos="3215"/>
        </w:tabs>
        <w:ind w:left="3215" w:hanging="360"/>
      </w:pPr>
      <w:rPr>
        <w:rFonts w:ascii="Symbol" w:hAnsi="Symbol" w:hint="default"/>
      </w:rPr>
    </w:lvl>
    <w:lvl w:ilvl="4" w:tplc="041B0003" w:tentative="1">
      <w:start w:val="1"/>
      <w:numFmt w:val="bullet"/>
      <w:lvlText w:val="o"/>
      <w:lvlJc w:val="left"/>
      <w:pPr>
        <w:tabs>
          <w:tab w:val="num" w:pos="3935"/>
        </w:tabs>
        <w:ind w:left="3935" w:hanging="360"/>
      </w:pPr>
      <w:rPr>
        <w:rFonts w:ascii="Courier New" w:hAnsi="Courier New" w:cs="Courier New" w:hint="default"/>
      </w:rPr>
    </w:lvl>
    <w:lvl w:ilvl="5" w:tplc="041B0005" w:tentative="1">
      <w:start w:val="1"/>
      <w:numFmt w:val="bullet"/>
      <w:lvlText w:val=""/>
      <w:lvlJc w:val="left"/>
      <w:pPr>
        <w:tabs>
          <w:tab w:val="num" w:pos="4655"/>
        </w:tabs>
        <w:ind w:left="4655" w:hanging="360"/>
      </w:pPr>
      <w:rPr>
        <w:rFonts w:ascii="Wingdings" w:hAnsi="Wingdings" w:hint="default"/>
      </w:rPr>
    </w:lvl>
    <w:lvl w:ilvl="6" w:tplc="041B0001" w:tentative="1">
      <w:start w:val="1"/>
      <w:numFmt w:val="bullet"/>
      <w:lvlText w:val=""/>
      <w:lvlJc w:val="left"/>
      <w:pPr>
        <w:tabs>
          <w:tab w:val="num" w:pos="5375"/>
        </w:tabs>
        <w:ind w:left="5375" w:hanging="360"/>
      </w:pPr>
      <w:rPr>
        <w:rFonts w:ascii="Symbol" w:hAnsi="Symbol" w:hint="default"/>
      </w:rPr>
    </w:lvl>
    <w:lvl w:ilvl="7" w:tplc="041B0003" w:tentative="1">
      <w:start w:val="1"/>
      <w:numFmt w:val="bullet"/>
      <w:lvlText w:val="o"/>
      <w:lvlJc w:val="left"/>
      <w:pPr>
        <w:tabs>
          <w:tab w:val="num" w:pos="6095"/>
        </w:tabs>
        <w:ind w:left="6095" w:hanging="360"/>
      </w:pPr>
      <w:rPr>
        <w:rFonts w:ascii="Courier New" w:hAnsi="Courier New" w:cs="Courier New" w:hint="default"/>
      </w:rPr>
    </w:lvl>
    <w:lvl w:ilvl="8" w:tplc="041B0005" w:tentative="1">
      <w:start w:val="1"/>
      <w:numFmt w:val="bullet"/>
      <w:lvlText w:val=""/>
      <w:lvlJc w:val="left"/>
      <w:pPr>
        <w:tabs>
          <w:tab w:val="num" w:pos="6815"/>
        </w:tabs>
        <w:ind w:left="6815" w:hanging="360"/>
      </w:pPr>
      <w:rPr>
        <w:rFonts w:ascii="Wingdings" w:hAnsi="Wingdings" w:hint="default"/>
      </w:rPr>
    </w:lvl>
  </w:abstractNum>
  <w:abstractNum w:abstractNumId="16" w15:restartNumberingAfterBreak="0">
    <w:nsid w:val="554B5523"/>
    <w:multiLevelType w:val="hybridMultilevel"/>
    <w:tmpl w:val="B878481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565E2355"/>
    <w:multiLevelType w:val="hybridMultilevel"/>
    <w:tmpl w:val="3B6E67D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D244FC06">
      <w:start w:val="3"/>
      <w:numFmt w:val="decimal"/>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ACE6682"/>
    <w:multiLevelType w:val="hybridMultilevel"/>
    <w:tmpl w:val="CFF8DA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99843A1"/>
    <w:multiLevelType w:val="hybridMultilevel"/>
    <w:tmpl w:val="A1025D74"/>
    <w:lvl w:ilvl="0" w:tplc="34E83076">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9D133A4"/>
    <w:multiLevelType w:val="multilevel"/>
    <w:tmpl w:val="041B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71E7023A"/>
    <w:multiLevelType w:val="hybridMultilevel"/>
    <w:tmpl w:val="3946ADAC"/>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74763191"/>
    <w:multiLevelType w:val="hybridMultilevel"/>
    <w:tmpl w:val="8E6E7C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A892E7B"/>
    <w:multiLevelType w:val="hybridMultilevel"/>
    <w:tmpl w:val="7AD4A914"/>
    <w:lvl w:ilvl="0" w:tplc="96E44412">
      <w:start w:val="1"/>
      <w:numFmt w:val="decimal"/>
      <w:lvlText w:val="%1."/>
      <w:lvlJc w:val="left"/>
      <w:pPr>
        <w:tabs>
          <w:tab w:val="num" w:pos="510"/>
        </w:tabs>
        <w:ind w:left="510" w:hanging="226"/>
      </w:pPr>
      <w:rPr>
        <w:rFonts w:ascii="Arial Narrow" w:hAnsi="Arial Narrow" w:hint="default"/>
        <w:b w:val="0"/>
        <w:i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7BA11F5C"/>
    <w:multiLevelType w:val="hybridMultilevel"/>
    <w:tmpl w:val="3B6E67D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D244FC06">
      <w:start w:val="3"/>
      <w:numFmt w:val="decimal"/>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F332654"/>
    <w:multiLevelType w:val="hybridMultilevel"/>
    <w:tmpl w:val="8D7EB894"/>
    <w:lvl w:ilvl="0" w:tplc="A9049BA4">
      <w:start w:val="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22"/>
  </w:num>
  <w:num w:numId="4">
    <w:abstractNumId w:val="18"/>
  </w:num>
  <w:num w:numId="5">
    <w:abstractNumId w:val="19"/>
  </w:num>
  <w:num w:numId="6">
    <w:abstractNumId w:val="3"/>
  </w:num>
  <w:num w:numId="7">
    <w:abstractNumId w:val="1"/>
  </w:num>
  <w:num w:numId="8">
    <w:abstractNumId w:val="8"/>
  </w:num>
  <w:num w:numId="9">
    <w:abstractNumId w:val="14"/>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5"/>
  </w:num>
  <w:num w:numId="13">
    <w:abstractNumId w:val="7"/>
  </w:num>
  <w:num w:numId="14">
    <w:abstractNumId w:val="25"/>
  </w:num>
  <w:num w:numId="15">
    <w:abstractNumId w:val="2"/>
  </w:num>
  <w:num w:numId="16">
    <w:abstractNumId w:val="9"/>
  </w:num>
  <w:num w:numId="17">
    <w:abstractNumId w:val="24"/>
  </w:num>
  <w:num w:numId="18">
    <w:abstractNumId w:val="6"/>
  </w:num>
  <w:num w:numId="19">
    <w:abstractNumId w:val="10"/>
  </w:num>
  <w:num w:numId="20">
    <w:abstractNumId w:val="12"/>
  </w:num>
  <w:num w:numId="21">
    <w:abstractNumId w:val="11"/>
  </w:num>
  <w:num w:numId="22">
    <w:abstractNumId w:val="13"/>
  </w:num>
  <w:num w:numId="23">
    <w:abstractNumId w:val="16"/>
  </w:num>
  <w:num w:numId="24">
    <w:abstractNumId w:val="0"/>
  </w:num>
  <w:num w:numId="25">
    <w:abstractNumId w:val="17"/>
  </w:num>
  <w:num w:numId="26">
    <w:abstractNumId w:val="4"/>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4FB"/>
    <w:rsid w:val="00001D3F"/>
    <w:rsid w:val="00003BEC"/>
    <w:rsid w:val="00004044"/>
    <w:rsid w:val="00004E19"/>
    <w:rsid w:val="00004E8F"/>
    <w:rsid w:val="0000533B"/>
    <w:rsid w:val="00010230"/>
    <w:rsid w:val="00010CB3"/>
    <w:rsid w:val="0001274C"/>
    <w:rsid w:val="00012B9A"/>
    <w:rsid w:val="0001586C"/>
    <w:rsid w:val="00015AB7"/>
    <w:rsid w:val="00017BAF"/>
    <w:rsid w:val="000203BB"/>
    <w:rsid w:val="000234BB"/>
    <w:rsid w:val="0002489C"/>
    <w:rsid w:val="000250D2"/>
    <w:rsid w:val="00025D0A"/>
    <w:rsid w:val="0003036D"/>
    <w:rsid w:val="000314AD"/>
    <w:rsid w:val="00032924"/>
    <w:rsid w:val="00036B4D"/>
    <w:rsid w:val="00037BB7"/>
    <w:rsid w:val="00040123"/>
    <w:rsid w:val="000407BE"/>
    <w:rsid w:val="00042BAA"/>
    <w:rsid w:val="00043E8B"/>
    <w:rsid w:val="000447E5"/>
    <w:rsid w:val="0004692B"/>
    <w:rsid w:val="00046952"/>
    <w:rsid w:val="00047350"/>
    <w:rsid w:val="0005083D"/>
    <w:rsid w:val="00052516"/>
    <w:rsid w:val="000532EB"/>
    <w:rsid w:val="00054F0B"/>
    <w:rsid w:val="00056629"/>
    <w:rsid w:val="0005739A"/>
    <w:rsid w:val="00057685"/>
    <w:rsid w:val="00060491"/>
    <w:rsid w:val="000636D6"/>
    <w:rsid w:val="00064865"/>
    <w:rsid w:val="00067333"/>
    <w:rsid w:val="000677AA"/>
    <w:rsid w:val="00070D14"/>
    <w:rsid w:val="000740C5"/>
    <w:rsid w:val="00074E46"/>
    <w:rsid w:val="00076926"/>
    <w:rsid w:val="00082F85"/>
    <w:rsid w:val="00090D6B"/>
    <w:rsid w:val="00091B1C"/>
    <w:rsid w:val="000926B3"/>
    <w:rsid w:val="000977AB"/>
    <w:rsid w:val="000A075E"/>
    <w:rsid w:val="000A14B4"/>
    <w:rsid w:val="000A175A"/>
    <w:rsid w:val="000A3470"/>
    <w:rsid w:val="000A6712"/>
    <w:rsid w:val="000B10C2"/>
    <w:rsid w:val="000B2E79"/>
    <w:rsid w:val="000B38FF"/>
    <w:rsid w:val="000B75B3"/>
    <w:rsid w:val="000B76CB"/>
    <w:rsid w:val="000C1106"/>
    <w:rsid w:val="000D0F23"/>
    <w:rsid w:val="000D2080"/>
    <w:rsid w:val="000D2FBF"/>
    <w:rsid w:val="000D4817"/>
    <w:rsid w:val="000E298F"/>
    <w:rsid w:val="000E4601"/>
    <w:rsid w:val="000E7065"/>
    <w:rsid w:val="000F0DF2"/>
    <w:rsid w:val="000F1887"/>
    <w:rsid w:val="000F2640"/>
    <w:rsid w:val="000F3D4C"/>
    <w:rsid w:val="000F684C"/>
    <w:rsid w:val="000F7EDB"/>
    <w:rsid w:val="00100132"/>
    <w:rsid w:val="00101923"/>
    <w:rsid w:val="00101FBC"/>
    <w:rsid w:val="00102284"/>
    <w:rsid w:val="00103FBC"/>
    <w:rsid w:val="00104010"/>
    <w:rsid w:val="00104B3B"/>
    <w:rsid w:val="00104BB4"/>
    <w:rsid w:val="00107DE0"/>
    <w:rsid w:val="00111D43"/>
    <w:rsid w:val="00112ACA"/>
    <w:rsid w:val="001151D8"/>
    <w:rsid w:val="001163C6"/>
    <w:rsid w:val="0012059C"/>
    <w:rsid w:val="00120FE8"/>
    <w:rsid w:val="00121161"/>
    <w:rsid w:val="001231CC"/>
    <w:rsid w:val="00134359"/>
    <w:rsid w:val="00134B37"/>
    <w:rsid w:val="00142101"/>
    <w:rsid w:val="001424FB"/>
    <w:rsid w:val="00147555"/>
    <w:rsid w:val="00152C82"/>
    <w:rsid w:val="00155D4C"/>
    <w:rsid w:val="001577BE"/>
    <w:rsid w:val="001600C5"/>
    <w:rsid w:val="001607CB"/>
    <w:rsid w:val="00161208"/>
    <w:rsid w:val="00161C30"/>
    <w:rsid w:val="00161C8B"/>
    <w:rsid w:val="00162FDF"/>
    <w:rsid w:val="0016463B"/>
    <w:rsid w:val="00166708"/>
    <w:rsid w:val="00167378"/>
    <w:rsid w:val="00167F9C"/>
    <w:rsid w:val="00171FF9"/>
    <w:rsid w:val="00173A98"/>
    <w:rsid w:val="00173E1E"/>
    <w:rsid w:val="00173E55"/>
    <w:rsid w:val="00173F16"/>
    <w:rsid w:val="0017436A"/>
    <w:rsid w:val="001810A5"/>
    <w:rsid w:val="00183258"/>
    <w:rsid w:val="00185312"/>
    <w:rsid w:val="001859B0"/>
    <w:rsid w:val="00191252"/>
    <w:rsid w:val="0019148E"/>
    <w:rsid w:val="00191554"/>
    <w:rsid w:val="00191C45"/>
    <w:rsid w:val="00192994"/>
    <w:rsid w:val="00192C08"/>
    <w:rsid w:val="00196C13"/>
    <w:rsid w:val="001A104F"/>
    <w:rsid w:val="001A3429"/>
    <w:rsid w:val="001A6D48"/>
    <w:rsid w:val="001A6ECD"/>
    <w:rsid w:val="001B0E99"/>
    <w:rsid w:val="001B3285"/>
    <w:rsid w:val="001B396F"/>
    <w:rsid w:val="001C0705"/>
    <w:rsid w:val="001C51A1"/>
    <w:rsid w:val="001C68DA"/>
    <w:rsid w:val="001D3BCF"/>
    <w:rsid w:val="001D4A83"/>
    <w:rsid w:val="001D51C4"/>
    <w:rsid w:val="001E0865"/>
    <w:rsid w:val="001E088C"/>
    <w:rsid w:val="001E2103"/>
    <w:rsid w:val="001E5F16"/>
    <w:rsid w:val="001F0212"/>
    <w:rsid w:val="001F369D"/>
    <w:rsid w:val="001F5022"/>
    <w:rsid w:val="001F533B"/>
    <w:rsid w:val="001F63CA"/>
    <w:rsid w:val="001F6856"/>
    <w:rsid w:val="002048C2"/>
    <w:rsid w:val="0021198D"/>
    <w:rsid w:val="00214174"/>
    <w:rsid w:val="0022033B"/>
    <w:rsid w:val="00226186"/>
    <w:rsid w:val="0022639C"/>
    <w:rsid w:val="00226BC9"/>
    <w:rsid w:val="002272A3"/>
    <w:rsid w:val="002275A8"/>
    <w:rsid w:val="0022777B"/>
    <w:rsid w:val="00227F96"/>
    <w:rsid w:val="002338C4"/>
    <w:rsid w:val="00235994"/>
    <w:rsid w:val="002367DB"/>
    <w:rsid w:val="002371A3"/>
    <w:rsid w:val="002377D0"/>
    <w:rsid w:val="00241339"/>
    <w:rsid w:val="00241F24"/>
    <w:rsid w:val="0024610E"/>
    <w:rsid w:val="0025117F"/>
    <w:rsid w:val="0025222C"/>
    <w:rsid w:val="00252CA4"/>
    <w:rsid w:val="00253303"/>
    <w:rsid w:val="00253B08"/>
    <w:rsid w:val="00254A40"/>
    <w:rsid w:val="00256870"/>
    <w:rsid w:val="00261394"/>
    <w:rsid w:val="00261D75"/>
    <w:rsid w:val="002623FB"/>
    <w:rsid w:val="002713D2"/>
    <w:rsid w:val="00272891"/>
    <w:rsid w:val="002731BD"/>
    <w:rsid w:val="002735E5"/>
    <w:rsid w:val="00274D04"/>
    <w:rsid w:val="00276C27"/>
    <w:rsid w:val="00277D07"/>
    <w:rsid w:val="00277FDC"/>
    <w:rsid w:val="0028490A"/>
    <w:rsid w:val="00284E7C"/>
    <w:rsid w:val="002861E5"/>
    <w:rsid w:val="002866E5"/>
    <w:rsid w:val="002965D0"/>
    <w:rsid w:val="002A3DCE"/>
    <w:rsid w:val="002C0D9E"/>
    <w:rsid w:val="002C3D60"/>
    <w:rsid w:val="002C4876"/>
    <w:rsid w:val="002C4B7B"/>
    <w:rsid w:val="002C7E83"/>
    <w:rsid w:val="002D0435"/>
    <w:rsid w:val="002D1314"/>
    <w:rsid w:val="002D2D7D"/>
    <w:rsid w:val="002D6729"/>
    <w:rsid w:val="002D672C"/>
    <w:rsid w:val="002E05C6"/>
    <w:rsid w:val="002E3A41"/>
    <w:rsid w:val="002E4DE8"/>
    <w:rsid w:val="002E7333"/>
    <w:rsid w:val="002F0E84"/>
    <w:rsid w:val="002F0FA1"/>
    <w:rsid w:val="002F489E"/>
    <w:rsid w:val="002F5482"/>
    <w:rsid w:val="002F7929"/>
    <w:rsid w:val="003000B9"/>
    <w:rsid w:val="00302E56"/>
    <w:rsid w:val="00303C58"/>
    <w:rsid w:val="00313F02"/>
    <w:rsid w:val="00315100"/>
    <w:rsid w:val="003152A7"/>
    <w:rsid w:val="003201D7"/>
    <w:rsid w:val="0032030B"/>
    <w:rsid w:val="00320540"/>
    <w:rsid w:val="003247FC"/>
    <w:rsid w:val="0032624F"/>
    <w:rsid w:val="00326CE9"/>
    <w:rsid w:val="00327594"/>
    <w:rsid w:val="003308AA"/>
    <w:rsid w:val="0033123C"/>
    <w:rsid w:val="003379EE"/>
    <w:rsid w:val="0034181A"/>
    <w:rsid w:val="003460B9"/>
    <w:rsid w:val="0034691F"/>
    <w:rsid w:val="00356880"/>
    <w:rsid w:val="003608D8"/>
    <w:rsid w:val="00360D23"/>
    <w:rsid w:val="0036578A"/>
    <w:rsid w:val="003663CC"/>
    <w:rsid w:val="0036754A"/>
    <w:rsid w:val="00370005"/>
    <w:rsid w:val="003717EE"/>
    <w:rsid w:val="00371EE7"/>
    <w:rsid w:val="003750C1"/>
    <w:rsid w:val="003754A3"/>
    <w:rsid w:val="00381F14"/>
    <w:rsid w:val="00385782"/>
    <w:rsid w:val="00385DF8"/>
    <w:rsid w:val="0038634B"/>
    <w:rsid w:val="003876A0"/>
    <w:rsid w:val="00390224"/>
    <w:rsid w:val="00390B35"/>
    <w:rsid w:val="003911A5"/>
    <w:rsid w:val="003911BA"/>
    <w:rsid w:val="00391339"/>
    <w:rsid w:val="003915D0"/>
    <w:rsid w:val="00392210"/>
    <w:rsid w:val="003957F8"/>
    <w:rsid w:val="00396376"/>
    <w:rsid w:val="003975C4"/>
    <w:rsid w:val="00397C67"/>
    <w:rsid w:val="003A122D"/>
    <w:rsid w:val="003A3F36"/>
    <w:rsid w:val="003A40AB"/>
    <w:rsid w:val="003B16A3"/>
    <w:rsid w:val="003B1BD1"/>
    <w:rsid w:val="003B235C"/>
    <w:rsid w:val="003B2AEF"/>
    <w:rsid w:val="003B3F5B"/>
    <w:rsid w:val="003B5741"/>
    <w:rsid w:val="003B6122"/>
    <w:rsid w:val="003B665C"/>
    <w:rsid w:val="003B75CB"/>
    <w:rsid w:val="003C0D07"/>
    <w:rsid w:val="003C1843"/>
    <w:rsid w:val="003C2343"/>
    <w:rsid w:val="003C2FAC"/>
    <w:rsid w:val="003C4022"/>
    <w:rsid w:val="003C4264"/>
    <w:rsid w:val="003C47B4"/>
    <w:rsid w:val="003C71E0"/>
    <w:rsid w:val="003C7E26"/>
    <w:rsid w:val="003D1158"/>
    <w:rsid w:val="003D3330"/>
    <w:rsid w:val="003D381F"/>
    <w:rsid w:val="003D6D9A"/>
    <w:rsid w:val="003D6F26"/>
    <w:rsid w:val="003E1BD0"/>
    <w:rsid w:val="003E30F7"/>
    <w:rsid w:val="003E7783"/>
    <w:rsid w:val="003F0539"/>
    <w:rsid w:val="003F11F5"/>
    <w:rsid w:val="003F15F4"/>
    <w:rsid w:val="003F1B10"/>
    <w:rsid w:val="003F66D1"/>
    <w:rsid w:val="003F757B"/>
    <w:rsid w:val="004012A1"/>
    <w:rsid w:val="004074C5"/>
    <w:rsid w:val="00410EBD"/>
    <w:rsid w:val="00412C37"/>
    <w:rsid w:val="004134F2"/>
    <w:rsid w:val="00413751"/>
    <w:rsid w:val="00421478"/>
    <w:rsid w:val="00421C02"/>
    <w:rsid w:val="00423744"/>
    <w:rsid w:val="00425A2D"/>
    <w:rsid w:val="0043043B"/>
    <w:rsid w:val="00432E65"/>
    <w:rsid w:val="00435D80"/>
    <w:rsid w:val="00436D5E"/>
    <w:rsid w:val="004400EE"/>
    <w:rsid w:val="00441474"/>
    <w:rsid w:val="00441480"/>
    <w:rsid w:val="00442696"/>
    <w:rsid w:val="00443271"/>
    <w:rsid w:val="00443C5A"/>
    <w:rsid w:val="00445E78"/>
    <w:rsid w:val="0044677F"/>
    <w:rsid w:val="00447CFF"/>
    <w:rsid w:val="004502A8"/>
    <w:rsid w:val="004507B2"/>
    <w:rsid w:val="004524E4"/>
    <w:rsid w:val="004553A5"/>
    <w:rsid w:val="00461792"/>
    <w:rsid w:val="00462549"/>
    <w:rsid w:val="004627ED"/>
    <w:rsid w:val="004635EB"/>
    <w:rsid w:val="00467376"/>
    <w:rsid w:val="0046785F"/>
    <w:rsid w:val="00470977"/>
    <w:rsid w:val="00470DEC"/>
    <w:rsid w:val="00471F55"/>
    <w:rsid w:val="00472106"/>
    <w:rsid w:val="004754C1"/>
    <w:rsid w:val="00476B7D"/>
    <w:rsid w:val="00476FB9"/>
    <w:rsid w:val="004842AC"/>
    <w:rsid w:val="00486560"/>
    <w:rsid w:val="004869EF"/>
    <w:rsid w:val="004879F6"/>
    <w:rsid w:val="00487AA4"/>
    <w:rsid w:val="00490D95"/>
    <w:rsid w:val="00492550"/>
    <w:rsid w:val="004945FE"/>
    <w:rsid w:val="00495003"/>
    <w:rsid w:val="0049591A"/>
    <w:rsid w:val="004B1892"/>
    <w:rsid w:val="004B1A76"/>
    <w:rsid w:val="004B2CCB"/>
    <w:rsid w:val="004B34EF"/>
    <w:rsid w:val="004B386C"/>
    <w:rsid w:val="004B3C9C"/>
    <w:rsid w:val="004B5122"/>
    <w:rsid w:val="004B5539"/>
    <w:rsid w:val="004B5E3D"/>
    <w:rsid w:val="004C1FAE"/>
    <w:rsid w:val="004C3080"/>
    <w:rsid w:val="004C49A8"/>
    <w:rsid w:val="004C4BD5"/>
    <w:rsid w:val="004C5F0B"/>
    <w:rsid w:val="004C6F7A"/>
    <w:rsid w:val="004C73E7"/>
    <w:rsid w:val="004C7F7D"/>
    <w:rsid w:val="004D0A16"/>
    <w:rsid w:val="004D7352"/>
    <w:rsid w:val="004D7582"/>
    <w:rsid w:val="004D7D11"/>
    <w:rsid w:val="004E57B8"/>
    <w:rsid w:val="004E5D26"/>
    <w:rsid w:val="004E7BBE"/>
    <w:rsid w:val="004F4372"/>
    <w:rsid w:val="00500CDC"/>
    <w:rsid w:val="00501441"/>
    <w:rsid w:val="0050433C"/>
    <w:rsid w:val="005044F2"/>
    <w:rsid w:val="00504CCB"/>
    <w:rsid w:val="00505EA6"/>
    <w:rsid w:val="0051390D"/>
    <w:rsid w:val="0051400B"/>
    <w:rsid w:val="00516C28"/>
    <w:rsid w:val="00516E77"/>
    <w:rsid w:val="00516ECE"/>
    <w:rsid w:val="00517FDA"/>
    <w:rsid w:val="00521252"/>
    <w:rsid w:val="00523806"/>
    <w:rsid w:val="00524502"/>
    <w:rsid w:val="00526492"/>
    <w:rsid w:val="00527D8A"/>
    <w:rsid w:val="005350B3"/>
    <w:rsid w:val="00537A81"/>
    <w:rsid w:val="00537D29"/>
    <w:rsid w:val="00541922"/>
    <w:rsid w:val="005426F4"/>
    <w:rsid w:val="00544688"/>
    <w:rsid w:val="005468C1"/>
    <w:rsid w:val="005508AE"/>
    <w:rsid w:val="005552F1"/>
    <w:rsid w:val="005617D6"/>
    <w:rsid w:val="00561BA5"/>
    <w:rsid w:val="005626EE"/>
    <w:rsid w:val="005632D5"/>
    <w:rsid w:val="005655F7"/>
    <w:rsid w:val="005660C4"/>
    <w:rsid w:val="005676B0"/>
    <w:rsid w:val="005747A7"/>
    <w:rsid w:val="005751D4"/>
    <w:rsid w:val="00576E26"/>
    <w:rsid w:val="005840BF"/>
    <w:rsid w:val="00585BFA"/>
    <w:rsid w:val="00586063"/>
    <w:rsid w:val="005861F2"/>
    <w:rsid w:val="00586296"/>
    <w:rsid w:val="005862B4"/>
    <w:rsid w:val="00586AA7"/>
    <w:rsid w:val="005902C3"/>
    <w:rsid w:val="00590F08"/>
    <w:rsid w:val="0059282F"/>
    <w:rsid w:val="00592CF1"/>
    <w:rsid w:val="00594AE2"/>
    <w:rsid w:val="005A005C"/>
    <w:rsid w:val="005A3043"/>
    <w:rsid w:val="005A365E"/>
    <w:rsid w:val="005A4FB1"/>
    <w:rsid w:val="005B1C1A"/>
    <w:rsid w:val="005B505D"/>
    <w:rsid w:val="005B6B50"/>
    <w:rsid w:val="005C1BFF"/>
    <w:rsid w:val="005C35CE"/>
    <w:rsid w:val="005C626B"/>
    <w:rsid w:val="005C682D"/>
    <w:rsid w:val="005C68EA"/>
    <w:rsid w:val="005C6FAE"/>
    <w:rsid w:val="005D5AB4"/>
    <w:rsid w:val="005D5C28"/>
    <w:rsid w:val="005D6322"/>
    <w:rsid w:val="005E0651"/>
    <w:rsid w:val="005E2659"/>
    <w:rsid w:val="005E5D8E"/>
    <w:rsid w:val="005F3123"/>
    <w:rsid w:val="005F39A7"/>
    <w:rsid w:val="005F49B9"/>
    <w:rsid w:val="005F583B"/>
    <w:rsid w:val="00603EBB"/>
    <w:rsid w:val="0060496D"/>
    <w:rsid w:val="006059E0"/>
    <w:rsid w:val="0060692E"/>
    <w:rsid w:val="00611FC9"/>
    <w:rsid w:val="0061287C"/>
    <w:rsid w:val="00614F49"/>
    <w:rsid w:val="006150AF"/>
    <w:rsid w:val="006228AF"/>
    <w:rsid w:val="006231B4"/>
    <w:rsid w:val="00623356"/>
    <w:rsid w:val="00626A93"/>
    <w:rsid w:val="00627E81"/>
    <w:rsid w:val="00640099"/>
    <w:rsid w:val="00642D8D"/>
    <w:rsid w:val="00642FED"/>
    <w:rsid w:val="00644BAC"/>
    <w:rsid w:val="00646CD0"/>
    <w:rsid w:val="00646F39"/>
    <w:rsid w:val="00650E94"/>
    <w:rsid w:val="0065239E"/>
    <w:rsid w:val="00653BA7"/>
    <w:rsid w:val="00654948"/>
    <w:rsid w:val="00656F47"/>
    <w:rsid w:val="00657592"/>
    <w:rsid w:val="0066078F"/>
    <w:rsid w:val="0066091E"/>
    <w:rsid w:val="00662A2D"/>
    <w:rsid w:val="006652E4"/>
    <w:rsid w:val="00665FE6"/>
    <w:rsid w:val="0066744A"/>
    <w:rsid w:val="0066753C"/>
    <w:rsid w:val="00670B04"/>
    <w:rsid w:val="006719DC"/>
    <w:rsid w:val="0067664D"/>
    <w:rsid w:val="00676F0C"/>
    <w:rsid w:val="00685E6A"/>
    <w:rsid w:val="00685F75"/>
    <w:rsid w:val="00687575"/>
    <w:rsid w:val="006943BE"/>
    <w:rsid w:val="00695526"/>
    <w:rsid w:val="006A0064"/>
    <w:rsid w:val="006A25F7"/>
    <w:rsid w:val="006A296F"/>
    <w:rsid w:val="006A3D6C"/>
    <w:rsid w:val="006A439A"/>
    <w:rsid w:val="006A5774"/>
    <w:rsid w:val="006A6465"/>
    <w:rsid w:val="006A6BB1"/>
    <w:rsid w:val="006A777D"/>
    <w:rsid w:val="006A7DF8"/>
    <w:rsid w:val="006B0671"/>
    <w:rsid w:val="006B1626"/>
    <w:rsid w:val="006B2CEB"/>
    <w:rsid w:val="006B37C6"/>
    <w:rsid w:val="006B47B7"/>
    <w:rsid w:val="006B560C"/>
    <w:rsid w:val="006C1624"/>
    <w:rsid w:val="006C2C9C"/>
    <w:rsid w:val="006C30AD"/>
    <w:rsid w:val="006C3AA3"/>
    <w:rsid w:val="006C5547"/>
    <w:rsid w:val="006C7754"/>
    <w:rsid w:val="006D014F"/>
    <w:rsid w:val="006D1D70"/>
    <w:rsid w:val="006D1FFC"/>
    <w:rsid w:val="006D2B95"/>
    <w:rsid w:val="006D7382"/>
    <w:rsid w:val="006D7D13"/>
    <w:rsid w:val="006E16E4"/>
    <w:rsid w:val="006E470B"/>
    <w:rsid w:val="006E795D"/>
    <w:rsid w:val="006F4BCD"/>
    <w:rsid w:val="006F54CB"/>
    <w:rsid w:val="007051B6"/>
    <w:rsid w:val="00705AB3"/>
    <w:rsid w:val="0070601E"/>
    <w:rsid w:val="00706C55"/>
    <w:rsid w:val="00706ED8"/>
    <w:rsid w:val="007074C1"/>
    <w:rsid w:val="00710178"/>
    <w:rsid w:val="00711C8F"/>
    <w:rsid w:val="007130BC"/>
    <w:rsid w:val="0071659D"/>
    <w:rsid w:val="00717F25"/>
    <w:rsid w:val="00722653"/>
    <w:rsid w:val="007233D0"/>
    <w:rsid w:val="00724CB1"/>
    <w:rsid w:val="00725114"/>
    <w:rsid w:val="00726121"/>
    <w:rsid w:val="007271D5"/>
    <w:rsid w:val="00727C75"/>
    <w:rsid w:val="007302C0"/>
    <w:rsid w:val="007379FF"/>
    <w:rsid w:val="00737B78"/>
    <w:rsid w:val="00740754"/>
    <w:rsid w:val="00740B69"/>
    <w:rsid w:val="00741FFB"/>
    <w:rsid w:val="0074534D"/>
    <w:rsid w:val="007465C0"/>
    <w:rsid w:val="007509DF"/>
    <w:rsid w:val="00750B6B"/>
    <w:rsid w:val="00753EED"/>
    <w:rsid w:val="00756DBA"/>
    <w:rsid w:val="0077291C"/>
    <w:rsid w:val="007770C4"/>
    <w:rsid w:val="0078254B"/>
    <w:rsid w:val="00783F3E"/>
    <w:rsid w:val="007840DE"/>
    <w:rsid w:val="00785A92"/>
    <w:rsid w:val="00791218"/>
    <w:rsid w:val="00791E3D"/>
    <w:rsid w:val="00793050"/>
    <w:rsid w:val="0079325D"/>
    <w:rsid w:val="00794733"/>
    <w:rsid w:val="0079771C"/>
    <w:rsid w:val="007A07F2"/>
    <w:rsid w:val="007A1214"/>
    <w:rsid w:val="007A35B9"/>
    <w:rsid w:val="007B0FD9"/>
    <w:rsid w:val="007B235A"/>
    <w:rsid w:val="007B349B"/>
    <w:rsid w:val="007B4120"/>
    <w:rsid w:val="007B48D0"/>
    <w:rsid w:val="007B55B9"/>
    <w:rsid w:val="007B605D"/>
    <w:rsid w:val="007B7F27"/>
    <w:rsid w:val="007C69F8"/>
    <w:rsid w:val="007D00D0"/>
    <w:rsid w:val="007D016F"/>
    <w:rsid w:val="007D24E7"/>
    <w:rsid w:val="007D398C"/>
    <w:rsid w:val="007D3AC5"/>
    <w:rsid w:val="007D4B91"/>
    <w:rsid w:val="007D4CB5"/>
    <w:rsid w:val="007D7B17"/>
    <w:rsid w:val="007E1358"/>
    <w:rsid w:val="007E30CE"/>
    <w:rsid w:val="007E3441"/>
    <w:rsid w:val="007E4D79"/>
    <w:rsid w:val="007E7CDC"/>
    <w:rsid w:val="007F0340"/>
    <w:rsid w:val="007F114A"/>
    <w:rsid w:val="007F1CEE"/>
    <w:rsid w:val="007F66B4"/>
    <w:rsid w:val="007F6912"/>
    <w:rsid w:val="007F7AA6"/>
    <w:rsid w:val="00802436"/>
    <w:rsid w:val="00803CD7"/>
    <w:rsid w:val="00806764"/>
    <w:rsid w:val="00814652"/>
    <w:rsid w:val="008155C6"/>
    <w:rsid w:val="008157F7"/>
    <w:rsid w:val="00820B3D"/>
    <w:rsid w:val="0082380E"/>
    <w:rsid w:val="008242ED"/>
    <w:rsid w:val="008244F0"/>
    <w:rsid w:val="00831E8E"/>
    <w:rsid w:val="00833758"/>
    <w:rsid w:val="00834BAB"/>
    <w:rsid w:val="0083509A"/>
    <w:rsid w:val="008408DE"/>
    <w:rsid w:val="00840B99"/>
    <w:rsid w:val="008410EF"/>
    <w:rsid w:val="00843245"/>
    <w:rsid w:val="00847B01"/>
    <w:rsid w:val="00847B04"/>
    <w:rsid w:val="00847C00"/>
    <w:rsid w:val="008504A9"/>
    <w:rsid w:val="008540C2"/>
    <w:rsid w:val="00854ADB"/>
    <w:rsid w:val="00854C01"/>
    <w:rsid w:val="008562EE"/>
    <w:rsid w:val="008573DC"/>
    <w:rsid w:val="00860E8D"/>
    <w:rsid w:val="0086267C"/>
    <w:rsid w:val="00865A46"/>
    <w:rsid w:val="0086658B"/>
    <w:rsid w:val="00866703"/>
    <w:rsid w:val="00867BD7"/>
    <w:rsid w:val="00871866"/>
    <w:rsid w:val="00872BDD"/>
    <w:rsid w:val="00874A19"/>
    <w:rsid w:val="008751A0"/>
    <w:rsid w:val="00876297"/>
    <w:rsid w:val="0088291F"/>
    <w:rsid w:val="00882BDD"/>
    <w:rsid w:val="00882CA2"/>
    <w:rsid w:val="00884EE0"/>
    <w:rsid w:val="00884EF6"/>
    <w:rsid w:val="00885E3D"/>
    <w:rsid w:val="00894D6B"/>
    <w:rsid w:val="008960D3"/>
    <w:rsid w:val="008A0FB7"/>
    <w:rsid w:val="008A1BEF"/>
    <w:rsid w:val="008A26BE"/>
    <w:rsid w:val="008A2AF9"/>
    <w:rsid w:val="008A4341"/>
    <w:rsid w:val="008A4F42"/>
    <w:rsid w:val="008A6A01"/>
    <w:rsid w:val="008A763C"/>
    <w:rsid w:val="008A76B8"/>
    <w:rsid w:val="008B09B9"/>
    <w:rsid w:val="008B3EF4"/>
    <w:rsid w:val="008B6DCC"/>
    <w:rsid w:val="008C0730"/>
    <w:rsid w:val="008C2E90"/>
    <w:rsid w:val="008C37D7"/>
    <w:rsid w:val="008C4240"/>
    <w:rsid w:val="008C4C98"/>
    <w:rsid w:val="008D3ECB"/>
    <w:rsid w:val="008D6A58"/>
    <w:rsid w:val="008D6EDE"/>
    <w:rsid w:val="008D7D33"/>
    <w:rsid w:val="008E0A1A"/>
    <w:rsid w:val="008E13DB"/>
    <w:rsid w:val="008E183B"/>
    <w:rsid w:val="008E6C4A"/>
    <w:rsid w:val="008F48A0"/>
    <w:rsid w:val="009009D1"/>
    <w:rsid w:val="009015A0"/>
    <w:rsid w:val="00901B89"/>
    <w:rsid w:val="009114B3"/>
    <w:rsid w:val="00915F64"/>
    <w:rsid w:val="009161E4"/>
    <w:rsid w:val="009235F7"/>
    <w:rsid w:val="00923629"/>
    <w:rsid w:val="00924616"/>
    <w:rsid w:val="009320AA"/>
    <w:rsid w:val="00932622"/>
    <w:rsid w:val="009350CC"/>
    <w:rsid w:val="00937746"/>
    <w:rsid w:val="00937A1D"/>
    <w:rsid w:val="00940BDD"/>
    <w:rsid w:val="00941270"/>
    <w:rsid w:val="0094224A"/>
    <w:rsid w:val="00943B76"/>
    <w:rsid w:val="00944846"/>
    <w:rsid w:val="009464CF"/>
    <w:rsid w:val="009511BF"/>
    <w:rsid w:val="009604EC"/>
    <w:rsid w:val="0096347E"/>
    <w:rsid w:val="00965629"/>
    <w:rsid w:val="00966524"/>
    <w:rsid w:val="00967EA9"/>
    <w:rsid w:val="00970DA2"/>
    <w:rsid w:val="009715D4"/>
    <w:rsid w:val="00973965"/>
    <w:rsid w:val="00977A8C"/>
    <w:rsid w:val="00981413"/>
    <w:rsid w:val="0098205A"/>
    <w:rsid w:val="009836AB"/>
    <w:rsid w:val="00983999"/>
    <w:rsid w:val="00984F29"/>
    <w:rsid w:val="00985A57"/>
    <w:rsid w:val="00990F8A"/>
    <w:rsid w:val="00991E02"/>
    <w:rsid w:val="00993E28"/>
    <w:rsid w:val="00996668"/>
    <w:rsid w:val="00996E63"/>
    <w:rsid w:val="009A044A"/>
    <w:rsid w:val="009A62EC"/>
    <w:rsid w:val="009A7029"/>
    <w:rsid w:val="009B12D9"/>
    <w:rsid w:val="009B31F3"/>
    <w:rsid w:val="009B4C8C"/>
    <w:rsid w:val="009B6368"/>
    <w:rsid w:val="009B63CD"/>
    <w:rsid w:val="009B77EC"/>
    <w:rsid w:val="009B7936"/>
    <w:rsid w:val="009C35E8"/>
    <w:rsid w:val="009C4AE5"/>
    <w:rsid w:val="009C5415"/>
    <w:rsid w:val="009C6FE4"/>
    <w:rsid w:val="009E3B80"/>
    <w:rsid w:val="009F2AA0"/>
    <w:rsid w:val="009F2BE5"/>
    <w:rsid w:val="009F3690"/>
    <w:rsid w:val="009F4613"/>
    <w:rsid w:val="009F4E41"/>
    <w:rsid w:val="009F6780"/>
    <w:rsid w:val="009F6ABE"/>
    <w:rsid w:val="00A02971"/>
    <w:rsid w:val="00A04168"/>
    <w:rsid w:val="00A06080"/>
    <w:rsid w:val="00A07BC9"/>
    <w:rsid w:val="00A10F72"/>
    <w:rsid w:val="00A115E9"/>
    <w:rsid w:val="00A12D02"/>
    <w:rsid w:val="00A1741B"/>
    <w:rsid w:val="00A216C7"/>
    <w:rsid w:val="00A2277E"/>
    <w:rsid w:val="00A2287C"/>
    <w:rsid w:val="00A26572"/>
    <w:rsid w:val="00A300AF"/>
    <w:rsid w:val="00A316F1"/>
    <w:rsid w:val="00A31FFC"/>
    <w:rsid w:val="00A3227C"/>
    <w:rsid w:val="00A351DB"/>
    <w:rsid w:val="00A37439"/>
    <w:rsid w:val="00A37834"/>
    <w:rsid w:val="00A422FC"/>
    <w:rsid w:val="00A42BD5"/>
    <w:rsid w:val="00A43514"/>
    <w:rsid w:val="00A43919"/>
    <w:rsid w:val="00A455BA"/>
    <w:rsid w:val="00A46072"/>
    <w:rsid w:val="00A53C7C"/>
    <w:rsid w:val="00A55994"/>
    <w:rsid w:val="00A572B6"/>
    <w:rsid w:val="00A6029B"/>
    <w:rsid w:val="00A62016"/>
    <w:rsid w:val="00A649B2"/>
    <w:rsid w:val="00A731A9"/>
    <w:rsid w:val="00A74DCA"/>
    <w:rsid w:val="00A76095"/>
    <w:rsid w:val="00A8151F"/>
    <w:rsid w:val="00A820E9"/>
    <w:rsid w:val="00A8463E"/>
    <w:rsid w:val="00A902D0"/>
    <w:rsid w:val="00AA09DE"/>
    <w:rsid w:val="00AA1277"/>
    <w:rsid w:val="00AA2B95"/>
    <w:rsid w:val="00AA572E"/>
    <w:rsid w:val="00AA74A3"/>
    <w:rsid w:val="00AA7596"/>
    <w:rsid w:val="00AB0D36"/>
    <w:rsid w:val="00AB34A6"/>
    <w:rsid w:val="00AB37CC"/>
    <w:rsid w:val="00AB3C09"/>
    <w:rsid w:val="00AB4EC3"/>
    <w:rsid w:val="00AB5E07"/>
    <w:rsid w:val="00AB6488"/>
    <w:rsid w:val="00AB7A7D"/>
    <w:rsid w:val="00AB7EF9"/>
    <w:rsid w:val="00AC06A4"/>
    <w:rsid w:val="00AC0B27"/>
    <w:rsid w:val="00AC0E12"/>
    <w:rsid w:val="00AC180C"/>
    <w:rsid w:val="00AC1E28"/>
    <w:rsid w:val="00AC3604"/>
    <w:rsid w:val="00AC3721"/>
    <w:rsid w:val="00AC4ECD"/>
    <w:rsid w:val="00AC5360"/>
    <w:rsid w:val="00AC6749"/>
    <w:rsid w:val="00AD0131"/>
    <w:rsid w:val="00AD0CA4"/>
    <w:rsid w:val="00AD16B9"/>
    <w:rsid w:val="00AD2C94"/>
    <w:rsid w:val="00AE2944"/>
    <w:rsid w:val="00AE2B0D"/>
    <w:rsid w:val="00AE3DE0"/>
    <w:rsid w:val="00AE7B32"/>
    <w:rsid w:val="00AF6BDC"/>
    <w:rsid w:val="00AF7628"/>
    <w:rsid w:val="00B00C47"/>
    <w:rsid w:val="00B0229B"/>
    <w:rsid w:val="00B12A7A"/>
    <w:rsid w:val="00B13C6A"/>
    <w:rsid w:val="00B15172"/>
    <w:rsid w:val="00B2592F"/>
    <w:rsid w:val="00B27BC3"/>
    <w:rsid w:val="00B30191"/>
    <w:rsid w:val="00B3180A"/>
    <w:rsid w:val="00B318E8"/>
    <w:rsid w:val="00B32375"/>
    <w:rsid w:val="00B34481"/>
    <w:rsid w:val="00B40A33"/>
    <w:rsid w:val="00B41B37"/>
    <w:rsid w:val="00B4387E"/>
    <w:rsid w:val="00B464FE"/>
    <w:rsid w:val="00B47E5C"/>
    <w:rsid w:val="00B47F02"/>
    <w:rsid w:val="00B50219"/>
    <w:rsid w:val="00B5060E"/>
    <w:rsid w:val="00B51718"/>
    <w:rsid w:val="00B54208"/>
    <w:rsid w:val="00B56A33"/>
    <w:rsid w:val="00B61946"/>
    <w:rsid w:val="00B661B5"/>
    <w:rsid w:val="00B669A9"/>
    <w:rsid w:val="00B6701C"/>
    <w:rsid w:val="00B70058"/>
    <w:rsid w:val="00B736B1"/>
    <w:rsid w:val="00B76A63"/>
    <w:rsid w:val="00B8084B"/>
    <w:rsid w:val="00B83F4C"/>
    <w:rsid w:val="00B87E85"/>
    <w:rsid w:val="00B9072A"/>
    <w:rsid w:val="00B91235"/>
    <w:rsid w:val="00B91AE3"/>
    <w:rsid w:val="00B97060"/>
    <w:rsid w:val="00BA1A02"/>
    <w:rsid w:val="00BA2F20"/>
    <w:rsid w:val="00BA548B"/>
    <w:rsid w:val="00BA590C"/>
    <w:rsid w:val="00BA63BB"/>
    <w:rsid w:val="00BB1243"/>
    <w:rsid w:val="00BB2D16"/>
    <w:rsid w:val="00BB34CA"/>
    <w:rsid w:val="00BB581F"/>
    <w:rsid w:val="00BC08D9"/>
    <w:rsid w:val="00BC0D65"/>
    <w:rsid w:val="00BC163E"/>
    <w:rsid w:val="00BC39C7"/>
    <w:rsid w:val="00BC7DB3"/>
    <w:rsid w:val="00BD065B"/>
    <w:rsid w:val="00BD15B7"/>
    <w:rsid w:val="00BD2D79"/>
    <w:rsid w:val="00BD30EB"/>
    <w:rsid w:val="00BD3717"/>
    <w:rsid w:val="00BD6A9D"/>
    <w:rsid w:val="00BD73D1"/>
    <w:rsid w:val="00BD79A3"/>
    <w:rsid w:val="00BD7E48"/>
    <w:rsid w:val="00BE40FB"/>
    <w:rsid w:val="00BF2021"/>
    <w:rsid w:val="00BF5A28"/>
    <w:rsid w:val="00BF6B0A"/>
    <w:rsid w:val="00BF6BA9"/>
    <w:rsid w:val="00C0070C"/>
    <w:rsid w:val="00C02D96"/>
    <w:rsid w:val="00C05376"/>
    <w:rsid w:val="00C06891"/>
    <w:rsid w:val="00C07F78"/>
    <w:rsid w:val="00C10EF4"/>
    <w:rsid w:val="00C137DD"/>
    <w:rsid w:val="00C13994"/>
    <w:rsid w:val="00C14C3D"/>
    <w:rsid w:val="00C16B21"/>
    <w:rsid w:val="00C1781F"/>
    <w:rsid w:val="00C20B9B"/>
    <w:rsid w:val="00C20C81"/>
    <w:rsid w:val="00C22C7D"/>
    <w:rsid w:val="00C23122"/>
    <w:rsid w:val="00C26910"/>
    <w:rsid w:val="00C27337"/>
    <w:rsid w:val="00C2739A"/>
    <w:rsid w:val="00C27C6D"/>
    <w:rsid w:val="00C31584"/>
    <w:rsid w:val="00C31C0B"/>
    <w:rsid w:val="00C3501B"/>
    <w:rsid w:val="00C37DDF"/>
    <w:rsid w:val="00C410C9"/>
    <w:rsid w:val="00C424EB"/>
    <w:rsid w:val="00C45009"/>
    <w:rsid w:val="00C461B6"/>
    <w:rsid w:val="00C501FD"/>
    <w:rsid w:val="00C50A9B"/>
    <w:rsid w:val="00C52122"/>
    <w:rsid w:val="00C5359C"/>
    <w:rsid w:val="00C551D8"/>
    <w:rsid w:val="00C5572A"/>
    <w:rsid w:val="00C60D0A"/>
    <w:rsid w:val="00C60EF7"/>
    <w:rsid w:val="00C611FF"/>
    <w:rsid w:val="00C61F91"/>
    <w:rsid w:val="00C64C2F"/>
    <w:rsid w:val="00C6542C"/>
    <w:rsid w:val="00C70D83"/>
    <w:rsid w:val="00C71390"/>
    <w:rsid w:val="00C73ABD"/>
    <w:rsid w:val="00C75814"/>
    <w:rsid w:val="00C75E92"/>
    <w:rsid w:val="00C7794B"/>
    <w:rsid w:val="00C8334B"/>
    <w:rsid w:val="00C8581D"/>
    <w:rsid w:val="00C91EBE"/>
    <w:rsid w:val="00C92551"/>
    <w:rsid w:val="00C9331C"/>
    <w:rsid w:val="00C95721"/>
    <w:rsid w:val="00C96337"/>
    <w:rsid w:val="00C97DA5"/>
    <w:rsid w:val="00CA0767"/>
    <w:rsid w:val="00CA2DFE"/>
    <w:rsid w:val="00CA49B5"/>
    <w:rsid w:val="00CB36CF"/>
    <w:rsid w:val="00CB693D"/>
    <w:rsid w:val="00CC0112"/>
    <w:rsid w:val="00CC3215"/>
    <w:rsid w:val="00CC6D54"/>
    <w:rsid w:val="00CC6D8C"/>
    <w:rsid w:val="00CC7C2E"/>
    <w:rsid w:val="00CD08D8"/>
    <w:rsid w:val="00CD1D1A"/>
    <w:rsid w:val="00CD2526"/>
    <w:rsid w:val="00CD380E"/>
    <w:rsid w:val="00CD5BD1"/>
    <w:rsid w:val="00CE03AD"/>
    <w:rsid w:val="00CE0F24"/>
    <w:rsid w:val="00CE3636"/>
    <w:rsid w:val="00CE51C7"/>
    <w:rsid w:val="00CE5BE4"/>
    <w:rsid w:val="00CE74E6"/>
    <w:rsid w:val="00CE7C42"/>
    <w:rsid w:val="00CF020A"/>
    <w:rsid w:val="00CF08F4"/>
    <w:rsid w:val="00CF1566"/>
    <w:rsid w:val="00CF7EA8"/>
    <w:rsid w:val="00D03DD9"/>
    <w:rsid w:val="00D04BFA"/>
    <w:rsid w:val="00D110CE"/>
    <w:rsid w:val="00D119DC"/>
    <w:rsid w:val="00D11FAC"/>
    <w:rsid w:val="00D14EA5"/>
    <w:rsid w:val="00D1605C"/>
    <w:rsid w:val="00D16E8B"/>
    <w:rsid w:val="00D17E02"/>
    <w:rsid w:val="00D215D2"/>
    <w:rsid w:val="00D23908"/>
    <w:rsid w:val="00D26083"/>
    <w:rsid w:val="00D269B2"/>
    <w:rsid w:val="00D272D5"/>
    <w:rsid w:val="00D27FBD"/>
    <w:rsid w:val="00D3150A"/>
    <w:rsid w:val="00D325AE"/>
    <w:rsid w:val="00D3568F"/>
    <w:rsid w:val="00D373B6"/>
    <w:rsid w:val="00D436CC"/>
    <w:rsid w:val="00D43973"/>
    <w:rsid w:val="00D44E88"/>
    <w:rsid w:val="00D46D5F"/>
    <w:rsid w:val="00D47F52"/>
    <w:rsid w:val="00D546A3"/>
    <w:rsid w:val="00D63CEA"/>
    <w:rsid w:val="00D66066"/>
    <w:rsid w:val="00D668B1"/>
    <w:rsid w:val="00D7118C"/>
    <w:rsid w:val="00D73C70"/>
    <w:rsid w:val="00D80DFC"/>
    <w:rsid w:val="00D8156A"/>
    <w:rsid w:val="00D82567"/>
    <w:rsid w:val="00D86341"/>
    <w:rsid w:val="00D87A7E"/>
    <w:rsid w:val="00D900E8"/>
    <w:rsid w:val="00D906E8"/>
    <w:rsid w:val="00D90875"/>
    <w:rsid w:val="00D91524"/>
    <w:rsid w:val="00D91EF1"/>
    <w:rsid w:val="00D934BF"/>
    <w:rsid w:val="00D935C0"/>
    <w:rsid w:val="00DA0E9D"/>
    <w:rsid w:val="00DA341F"/>
    <w:rsid w:val="00DA5706"/>
    <w:rsid w:val="00DA6289"/>
    <w:rsid w:val="00DA7872"/>
    <w:rsid w:val="00DA7BD2"/>
    <w:rsid w:val="00DA7D86"/>
    <w:rsid w:val="00DB0691"/>
    <w:rsid w:val="00DB435C"/>
    <w:rsid w:val="00DB781D"/>
    <w:rsid w:val="00DC17E0"/>
    <w:rsid w:val="00DC1AF0"/>
    <w:rsid w:val="00DC1B10"/>
    <w:rsid w:val="00DC1B8A"/>
    <w:rsid w:val="00DC2337"/>
    <w:rsid w:val="00DC4212"/>
    <w:rsid w:val="00DC5FA3"/>
    <w:rsid w:val="00DC657E"/>
    <w:rsid w:val="00DC7394"/>
    <w:rsid w:val="00DD2349"/>
    <w:rsid w:val="00DD350A"/>
    <w:rsid w:val="00DD5946"/>
    <w:rsid w:val="00DD6D7D"/>
    <w:rsid w:val="00DE0C40"/>
    <w:rsid w:val="00DE120A"/>
    <w:rsid w:val="00DE13B8"/>
    <w:rsid w:val="00DE351D"/>
    <w:rsid w:val="00DE3569"/>
    <w:rsid w:val="00DF0A31"/>
    <w:rsid w:val="00DF17C8"/>
    <w:rsid w:val="00DF2694"/>
    <w:rsid w:val="00DF35B1"/>
    <w:rsid w:val="00DF5E4C"/>
    <w:rsid w:val="00DF7081"/>
    <w:rsid w:val="00E0037F"/>
    <w:rsid w:val="00E003A4"/>
    <w:rsid w:val="00E0100A"/>
    <w:rsid w:val="00E02835"/>
    <w:rsid w:val="00E02901"/>
    <w:rsid w:val="00E040A5"/>
    <w:rsid w:val="00E04A3A"/>
    <w:rsid w:val="00E05A6C"/>
    <w:rsid w:val="00E10CD0"/>
    <w:rsid w:val="00E118AF"/>
    <w:rsid w:val="00E1244E"/>
    <w:rsid w:val="00E137C3"/>
    <w:rsid w:val="00E2005D"/>
    <w:rsid w:val="00E216F0"/>
    <w:rsid w:val="00E236CD"/>
    <w:rsid w:val="00E30980"/>
    <w:rsid w:val="00E31135"/>
    <w:rsid w:val="00E317DE"/>
    <w:rsid w:val="00E3692E"/>
    <w:rsid w:val="00E438DF"/>
    <w:rsid w:val="00E50CD4"/>
    <w:rsid w:val="00E53734"/>
    <w:rsid w:val="00E56BDE"/>
    <w:rsid w:val="00E56DBE"/>
    <w:rsid w:val="00E56E90"/>
    <w:rsid w:val="00E606E3"/>
    <w:rsid w:val="00E60FB4"/>
    <w:rsid w:val="00E62E88"/>
    <w:rsid w:val="00E62F75"/>
    <w:rsid w:val="00E64202"/>
    <w:rsid w:val="00E66AB7"/>
    <w:rsid w:val="00E72244"/>
    <w:rsid w:val="00E72EC5"/>
    <w:rsid w:val="00E73D31"/>
    <w:rsid w:val="00E74D01"/>
    <w:rsid w:val="00E760CE"/>
    <w:rsid w:val="00E7651C"/>
    <w:rsid w:val="00E8656E"/>
    <w:rsid w:val="00E86CC7"/>
    <w:rsid w:val="00E8725B"/>
    <w:rsid w:val="00E87617"/>
    <w:rsid w:val="00E877BB"/>
    <w:rsid w:val="00E90B95"/>
    <w:rsid w:val="00E91EAC"/>
    <w:rsid w:val="00E94C0D"/>
    <w:rsid w:val="00E95FDD"/>
    <w:rsid w:val="00E96731"/>
    <w:rsid w:val="00E96A75"/>
    <w:rsid w:val="00E97908"/>
    <w:rsid w:val="00EA2D0A"/>
    <w:rsid w:val="00EA39C8"/>
    <w:rsid w:val="00EA44AC"/>
    <w:rsid w:val="00EA5365"/>
    <w:rsid w:val="00EA74CD"/>
    <w:rsid w:val="00EB0AB7"/>
    <w:rsid w:val="00EB20B8"/>
    <w:rsid w:val="00EB7410"/>
    <w:rsid w:val="00EC01D4"/>
    <w:rsid w:val="00EC0667"/>
    <w:rsid w:val="00EC1065"/>
    <w:rsid w:val="00EC3017"/>
    <w:rsid w:val="00EC3BBD"/>
    <w:rsid w:val="00EC77E8"/>
    <w:rsid w:val="00ED139C"/>
    <w:rsid w:val="00ED33DD"/>
    <w:rsid w:val="00ED3452"/>
    <w:rsid w:val="00ED59C8"/>
    <w:rsid w:val="00ED5AFB"/>
    <w:rsid w:val="00EE1AEF"/>
    <w:rsid w:val="00EE1DEF"/>
    <w:rsid w:val="00EE226E"/>
    <w:rsid w:val="00EE4DB2"/>
    <w:rsid w:val="00EE4E5D"/>
    <w:rsid w:val="00EE5CAD"/>
    <w:rsid w:val="00EE5DBF"/>
    <w:rsid w:val="00EF5C5A"/>
    <w:rsid w:val="00EF7E58"/>
    <w:rsid w:val="00F0375E"/>
    <w:rsid w:val="00F04BB9"/>
    <w:rsid w:val="00F04EE6"/>
    <w:rsid w:val="00F06077"/>
    <w:rsid w:val="00F10168"/>
    <w:rsid w:val="00F1128F"/>
    <w:rsid w:val="00F125DB"/>
    <w:rsid w:val="00F14895"/>
    <w:rsid w:val="00F1695C"/>
    <w:rsid w:val="00F241AF"/>
    <w:rsid w:val="00F25B67"/>
    <w:rsid w:val="00F26E46"/>
    <w:rsid w:val="00F26F55"/>
    <w:rsid w:val="00F3169E"/>
    <w:rsid w:val="00F335D0"/>
    <w:rsid w:val="00F33827"/>
    <w:rsid w:val="00F343EB"/>
    <w:rsid w:val="00F345F6"/>
    <w:rsid w:val="00F36D0C"/>
    <w:rsid w:val="00F37279"/>
    <w:rsid w:val="00F412F1"/>
    <w:rsid w:val="00F42286"/>
    <w:rsid w:val="00F42ED9"/>
    <w:rsid w:val="00F449C1"/>
    <w:rsid w:val="00F45D9B"/>
    <w:rsid w:val="00F54F07"/>
    <w:rsid w:val="00F56383"/>
    <w:rsid w:val="00F568C1"/>
    <w:rsid w:val="00F576E9"/>
    <w:rsid w:val="00F60C17"/>
    <w:rsid w:val="00F628D0"/>
    <w:rsid w:val="00F64582"/>
    <w:rsid w:val="00F6620C"/>
    <w:rsid w:val="00F66D25"/>
    <w:rsid w:val="00F670D9"/>
    <w:rsid w:val="00F715D0"/>
    <w:rsid w:val="00F74CAA"/>
    <w:rsid w:val="00F75C8F"/>
    <w:rsid w:val="00F77059"/>
    <w:rsid w:val="00F8011D"/>
    <w:rsid w:val="00F835B5"/>
    <w:rsid w:val="00F8481B"/>
    <w:rsid w:val="00F93306"/>
    <w:rsid w:val="00F94AA0"/>
    <w:rsid w:val="00F957D8"/>
    <w:rsid w:val="00FA3E65"/>
    <w:rsid w:val="00FA5977"/>
    <w:rsid w:val="00FA6869"/>
    <w:rsid w:val="00FB05F1"/>
    <w:rsid w:val="00FB477B"/>
    <w:rsid w:val="00FB5876"/>
    <w:rsid w:val="00FB599D"/>
    <w:rsid w:val="00FC103F"/>
    <w:rsid w:val="00FC4CF9"/>
    <w:rsid w:val="00FC5E6E"/>
    <w:rsid w:val="00FC67BC"/>
    <w:rsid w:val="00FD4704"/>
    <w:rsid w:val="00FD507A"/>
    <w:rsid w:val="00FD5750"/>
    <w:rsid w:val="00FD71A9"/>
    <w:rsid w:val="00FD75BA"/>
    <w:rsid w:val="00FE0C0A"/>
    <w:rsid w:val="00FE48A0"/>
    <w:rsid w:val="00FE4D25"/>
    <w:rsid w:val="00FE4FC7"/>
    <w:rsid w:val="00FE6DC8"/>
    <w:rsid w:val="00FE7605"/>
    <w:rsid w:val="00FF24A1"/>
    <w:rsid w:val="00FF3933"/>
    <w:rsid w:val="00FF5AEE"/>
    <w:rsid w:val="00FF7B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7EF42B6-2750-4554-8AE7-5EB4ACC7F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72106"/>
    <w:rPr>
      <w:sz w:val="24"/>
      <w:szCs w:val="24"/>
    </w:rPr>
  </w:style>
  <w:style w:type="paragraph" w:styleId="Nadpis1">
    <w:name w:val="heading 1"/>
    <w:basedOn w:val="Normlny"/>
    <w:next w:val="Normlny"/>
    <w:link w:val="Nadpis1Char"/>
    <w:qFormat/>
    <w:rsid w:val="00D934BF"/>
    <w:pPr>
      <w:keepNext/>
      <w:spacing w:before="240" w:after="60"/>
      <w:outlineLvl w:val="0"/>
    </w:pPr>
    <w:rPr>
      <w:rFonts w:ascii="Arial" w:hAnsi="Arial" w:cs="Arial"/>
      <w:b/>
      <w:bCs/>
      <w:kern w:val="32"/>
      <w:sz w:val="32"/>
      <w:szCs w:val="32"/>
    </w:rPr>
  </w:style>
  <w:style w:type="paragraph" w:styleId="Nadpis2">
    <w:name w:val="heading 2"/>
    <w:aliases w:val="Char24 Char Char,Char24 Char Char Char"/>
    <w:basedOn w:val="Normlny"/>
    <w:next w:val="Normlny"/>
    <w:link w:val="Nadpis2Char"/>
    <w:qFormat/>
    <w:rsid w:val="001424FB"/>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qFormat/>
    <w:rsid w:val="001424FB"/>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D934BF"/>
    <w:rPr>
      <w:rFonts w:ascii="Arial" w:hAnsi="Arial" w:cs="Arial"/>
      <w:b/>
      <w:bCs/>
      <w:kern w:val="32"/>
      <w:sz w:val="32"/>
      <w:szCs w:val="32"/>
    </w:rPr>
  </w:style>
  <w:style w:type="character" w:styleId="Odkaznakomentr">
    <w:name w:val="annotation reference"/>
    <w:uiPriority w:val="99"/>
    <w:semiHidden/>
    <w:unhideWhenUsed/>
    <w:rsid w:val="00107DE0"/>
    <w:rPr>
      <w:sz w:val="16"/>
      <w:szCs w:val="16"/>
    </w:rPr>
  </w:style>
  <w:style w:type="paragraph" w:styleId="Textkomentra">
    <w:name w:val="annotation text"/>
    <w:basedOn w:val="Normlny"/>
    <w:link w:val="TextkomentraChar"/>
    <w:uiPriority w:val="99"/>
    <w:semiHidden/>
    <w:unhideWhenUsed/>
    <w:rsid w:val="00107DE0"/>
    <w:rPr>
      <w:sz w:val="20"/>
      <w:szCs w:val="20"/>
    </w:rPr>
  </w:style>
  <w:style w:type="character" w:customStyle="1" w:styleId="TextkomentraChar">
    <w:name w:val="Text komentára Char"/>
    <w:link w:val="Textkomentra"/>
    <w:uiPriority w:val="99"/>
    <w:semiHidden/>
    <w:rsid w:val="00107DE0"/>
    <w:rPr>
      <w:lang w:val="sk-SK" w:eastAsia="sk-SK"/>
    </w:rPr>
  </w:style>
  <w:style w:type="paragraph" w:styleId="Predmetkomentra">
    <w:name w:val="annotation subject"/>
    <w:basedOn w:val="Textkomentra"/>
    <w:next w:val="Textkomentra"/>
    <w:link w:val="PredmetkomentraChar"/>
    <w:uiPriority w:val="99"/>
    <w:semiHidden/>
    <w:unhideWhenUsed/>
    <w:rsid w:val="00107DE0"/>
    <w:rPr>
      <w:b/>
      <w:bCs/>
    </w:rPr>
  </w:style>
  <w:style w:type="character" w:customStyle="1" w:styleId="PredmetkomentraChar">
    <w:name w:val="Predmet komentára Char"/>
    <w:link w:val="Predmetkomentra"/>
    <w:uiPriority w:val="99"/>
    <w:semiHidden/>
    <w:rsid w:val="00107DE0"/>
    <w:rPr>
      <w:b/>
      <w:bCs/>
      <w:lang w:val="sk-SK" w:eastAsia="sk-SK"/>
    </w:rPr>
  </w:style>
  <w:style w:type="paragraph" w:styleId="Textbubliny">
    <w:name w:val="Balloon Text"/>
    <w:basedOn w:val="Normlny"/>
    <w:link w:val="TextbublinyChar"/>
    <w:uiPriority w:val="99"/>
    <w:semiHidden/>
    <w:unhideWhenUsed/>
    <w:rsid w:val="00107DE0"/>
    <w:rPr>
      <w:rFonts w:ascii="Tahoma" w:hAnsi="Tahoma" w:cs="Tahoma"/>
      <w:sz w:val="16"/>
      <w:szCs w:val="16"/>
    </w:rPr>
  </w:style>
  <w:style w:type="character" w:customStyle="1" w:styleId="TextbublinyChar">
    <w:name w:val="Text bubliny Char"/>
    <w:link w:val="Textbubliny"/>
    <w:uiPriority w:val="99"/>
    <w:semiHidden/>
    <w:rsid w:val="00107DE0"/>
    <w:rPr>
      <w:rFonts w:ascii="Tahoma" w:hAnsi="Tahoma" w:cs="Tahoma"/>
      <w:sz w:val="16"/>
      <w:szCs w:val="16"/>
      <w:lang w:val="sk-SK" w:eastAsia="sk-SK"/>
    </w:rPr>
  </w:style>
  <w:style w:type="paragraph" w:styleId="Hlavika">
    <w:name w:val="header"/>
    <w:basedOn w:val="Normlny"/>
    <w:link w:val="HlavikaChar"/>
    <w:uiPriority w:val="99"/>
    <w:rsid w:val="00BD065B"/>
    <w:pPr>
      <w:tabs>
        <w:tab w:val="center" w:pos="4536"/>
        <w:tab w:val="right" w:pos="9072"/>
      </w:tabs>
      <w:spacing w:after="240"/>
      <w:ind w:firstLine="284"/>
      <w:jc w:val="both"/>
    </w:pPr>
    <w:rPr>
      <w:rFonts w:ascii="Arial Narrow" w:hAnsi="Arial Narrow" w:cs="Arial Narrow"/>
      <w:sz w:val="22"/>
      <w:szCs w:val="22"/>
    </w:rPr>
  </w:style>
  <w:style w:type="character" w:customStyle="1" w:styleId="HlavikaChar">
    <w:name w:val="Hlavička Char"/>
    <w:link w:val="Hlavika"/>
    <w:uiPriority w:val="99"/>
    <w:rsid w:val="00BD065B"/>
    <w:rPr>
      <w:rFonts w:ascii="Arial Narrow" w:hAnsi="Arial Narrow" w:cs="Arial Narrow"/>
      <w:sz w:val="22"/>
      <w:szCs w:val="22"/>
    </w:rPr>
  </w:style>
  <w:style w:type="paragraph" w:customStyle="1" w:styleId="CharCharChar2CharCharCharCharCharCharCharCharCharCharCharCharCharCharCharCharCharCharCharCharCharCharCharCharCharCharCharCharCharCharCharCharCharCharCharChar1CharCharCharChar">
    <w:name w:val="Char Char Char2 Char Char Char Char Char Char Char Char Char Char Char Char Char Char Char Char Char Char Char Char Char Char Char Char Char Char Char Char Char Char Char Char Char Char Char Char1 Char Char Char Char"/>
    <w:basedOn w:val="Normlny"/>
    <w:uiPriority w:val="99"/>
    <w:rsid w:val="00BD065B"/>
    <w:pPr>
      <w:spacing w:after="160" w:line="240" w:lineRule="exact"/>
    </w:pPr>
    <w:rPr>
      <w:rFonts w:ascii="Tahoma" w:hAnsi="Tahoma" w:cs="Tahoma"/>
      <w:sz w:val="20"/>
      <w:szCs w:val="20"/>
      <w:lang w:val="en-US" w:eastAsia="en-US"/>
    </w:rPr>
  </w:style>
  <w:style w:type="paragraph" w:styleId="Odsekzoznamu">
    <w:name w:val="List Paragraph"/>
    <w:basedOn w:val="Normlny"/>
    <w:uiPriority w:val="34"/>
    <w:qFormat/>
    <w:rsid w:val="001859B0"/>
    <w:pPr>
      <w:ind w:left="708"/>
    </w:pPr>
  </w:style>
  <w:style w:type="paragraph" w:styleId="Obsah2">
    <w:name w:val="toc 2"/>
    <w:basedOn w:val="Normlny"/>
    <w:next w:val="Normlny"/>
    <w:autoRedefine/>
    <w:uiPriority w:val="39"/>
    <w:unhideWhenUsed/>
    <w:rsid w:val="004869EF"/>
    <w:pPr>
      <w:tabs>
        <w:tab w:val="right" w:leader="dot" w:pos="9062"/>
      </w:tabs>
    </w:pPr>
  </w:style>
  <w:style w:type="paragraph" w:styleId="Obsah3">
    <w:name w:val="toc 3"/>
    <w:basedOn w:val="Normlny"/>
    <w:next w:val="Normlny"/>
    <w:autoRedefine/>
    <w:uiPriority w:val="39"/>
    <w:unhideWhenUsed/>
    <w:rsid w:val="001163C6"/>
    <w:pPr>
      <w:ind w:left="480"/>
    </w:pPr>
  </w:style>
  <w:style w:type="paragraph" w:styleId="Obsah1">
    <w:name w:val="toc 1"/>
    <w:basedOn w:val="Normlny"/>
    <w:next w:val="Normlny"/>
    <w:autoRedefine/>
    <w:uiPriority w:val="39"/>
    <w:unhideWhenUsed/>
    <w:rsid w:val="005350B3"/>
    <w:pPr>
      <w:tabs>
        <w:tab w:val="left" w:pos="660"/>
        <w:tab w:val="right" w:leader="dot" w:pos="9062"/>
      </w:tabs>
      <w:spacing w:before="120" w:after="120"/>
    </w:pPr>
  </w:style>
  <w:style w:type="character" w:styleId="Hypertextovprepojenie">
    <w:name w:val="Hyperlink"/>
    <w:uiPriority w:val="99"/>
    <w:unhideWhenUsed/>
    <w:rsid w:val="001163C6"/>
    <w:rPr>
      <w:color w:val="0000FF"/>
      <w:u w:val="single"/>
    </w:rPr>
  </w:style>
  <w:style w:type="paragraph" w:styleId="Textpoznmkypodiarou">
    <w:name w:val="footnote text"/>
    <w:aliases w:val="Footnote Text Char2,Footnote Text Char1 Char,Footnote Text Char2 Char Char,Footnote Text Char1 Char Char Char,Footnote Text Char2 Char Char Char Char,Footnote Text Char Char1 Char Char Char Char,Footnote Text Char1,f"/>
    <w:basedOn w:val="Normlny"/>
    <w:link w:val="TextpoznmkypodiarouChar"/>
    <w:uiPriority w:val="99"/>
    <w:unhideWhenUsed/>
    <w:qFormat/>
    <w:rsid w:val="00F449C1"/>
    <w:rPr>
      <w:sz w:val="20"/>
      <w:szCs w:val="20"/>
    </w:rPr>
  </w:style>
  <w:style w:type="character" w:customStyle="1" w:styleId="TextpoznmkypodiarouChar">
    <w:name w:val="Text poznámky pod čiarou Char"/>
    <w:aliases w:val="Footnote Text Char2 Char,Footnote Text Char1 Char Char,Footnote Text Char2 Char Char Char,Footnote Text Char1 Char Char Char Char,Footnote Text Char2 Char Char Char Char Char,Footnote Text Char1 Char1,f Char"/>
    <w:basedOn w:val="Predvolenpsmoodseku"/>
    <w:link w:val="Textpoznmkypodiarou"/>
    <w:uiPriority w:val="99"/>
    <w:rsid w:val="00F449C1"/>
  </w:style>
  <w:style w:type="character" w:styleId="Odkaznapoznmkupodiarou">
    <w:name w:val="footnote reference"/>
    <w:aliases w:val="16 Point,Superscript 6 Point,Footnote Reference Number,Footnote Reference_LVL6,Footnote Reference_LVL61,Footnote Reference_LVL62,Footnote Reference_LVL63,Footnote Reference_LVL64,Footnote call,BVI fnr,SUPERS,Footnote symbol"/>
    <w:uiPriority w:val="99"/>
    <w:unhideWhenUsed/>
    <w:rsid w:val="00F449C1"/>
    <w:rPr>
      <w:vertAlign w:val="superscript"/>
    </w:rPr>
  </w:style>
  <w:style w:type="character" w:customStyle="1" w:styleId="Nadpis3Char">
    <w:name w:val="Nadpis 3 Char"/>
    <w:link w:val="Nadpis3"/>
    <w:rsid w:val="009E3B80"/>
    <w:rPr>
      <w:rFonts w:ascii="Arial" w:hAnsi="Arial" w:cs="Arial"/>
      <w:b/>
      <w:bCs/>
      <w:sz w:val="26"/>
      <w:szCs w:val="26"/>
    </w:rPr>
  </w:style>
  <w:style w:type="paragraph" w:customStyle="1" w:styleId="Char">
    <w:name w:val="Char"/>
    <w:basedOn w:val="Normlny"/>
    <w:uiPriority w:val="99"/>
    <w:rsid w:val="00BB581F"/>
    <w:pPr>
      <w:spacing w:after="160" w:line="240" w:lineRule="exact"/>
    </w:pPr>
    <w:rPr>
      <w:rFonts w:ascii="Tahoma" w:hAnsi="Tahoma" w:cs="Tahoma"/>
      <w:sz w:val="20"/>
      <w:szCs w:val="20"/>
      <w:lang w:val="en-US" w:eastAsia="en-US"/>
    </w:rPr>
  </w:style>
  <w:style w:type="paragraph" w:styleId="Pta">
    <w:name w:val="footer"/>
    <w:basedOn w:val="Normlny"/>
    <w:link w:val="PtaChar"/>
    <w:unhideWhenUsed/>
    <w:rsid w:val="006F4BCD"/>
    <w:pPr>
      <w:tabs>
        <w:tab w:val="center" w:pos="4536"/>
        <w:tab w:val="right" w:pos="9072"/>
      </w:tabs>
    </w:pPr>
  </w:style>
  <w:style w:type="character" w:customStyle="1" w:styleId="PtaChar">
    <w:name w:val="Päta Char"/>
    <w:link w:val="Pta"/>
    <w:uiPriority w:val="99"/>
    <w:rsid w:val="006F4BCD"/>
    <w:rPr>
      <w:sz w:val="24"/>
      <w:szCs w:val="24"/>
    </w:rPr>
  </w:style>
  <w:style w:type="paragraph" w:styleId="Revzia">
    <w:name w:val="Revision"/>
    <w:hidden/>
    <w:uiPriority w:val="99"/>
    <w:semiHidden/>
    <w:rsid w:val="00C64C2F"/>
    <w:rPr>
      <w:sz w:val="24"/>
      <w:szCs w:val="24"/>
    </w:rPr>
  </w:style>
  <w:style w:type="character" w:customStyle="1" w:styleId="Nadpis2Char">
    <w:name w:val="Nadpis 2 Char"/>
    <w:aliases w:val="Char24 Char Char Char1,Char24 Char Char Char Char"/>
    <w:link w:val="Nadpis2"/>
    <w:uiPriority w:val="99"/>
    <w:locked/>
    <w:rsid w:val="0024610E"/>
    <w:rPr>
      <w:rFonts w:ascii="Arial" w:hAnsi="Arial" w:cs="Arial"/>
      <w:b/>
      <w:bCs/>
      <w:i/>
      <w:iCs/>
      <w:sz w:val="28"/>
      <w:szCs w:val="28"/>
    </w:rPr>
  </w:style>
  <w:style w:type="paragraph" w:styleId="Normlnywebov">
    <w:name w:val="Normal (Web)"/>
    <w:basedOn w:val="Normlny"/>
    <w:uiPriority w:val="99"/>
    <w:semiHidden/>
    <w:unhideWhenUsed/>
    <w:rsid w:val="00AA74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48">
      <w:bodyDiv w:val="1"/>
      <w:marLeft w:val="0"/>
      <w:marRight w:val="0"/>
      <w:marTop w:val="0"/>
      <w:marBottom w:val="0"/>
      <w:divBdr>
        <w:top w:val="none" w:sz="0" w:space="0" w:color="auto"/>
        <w:left w:val="none" w:sz="0" w:space="0" w:color="auto"/>
        <w:bottom w:val="none" w:sz="0" w:space="0" w:color="auto"/>
        <w:right w:val="none" w:sz="0" w:space="0" w:color="auto"/>
      </w:divBdr>
    </w:div>
    <w:div w:id="8265311">
      <w:bodyDiv w:val="1"/>
      <w:marLeft w:val="0"/>
      <w:marRight w:val="0"/>
      <w:marTop w:val="0"/>
      <w:marBottom w:val="0"/>
      <w:divBdr>
        <w:top w:val="none" w:sz="0" w:space="0" w:color="auto"/>
        <w:left w:val="none" w:sz="0" w:space="0" w:color="auto"/>
        <w:bottom w:val="none" w:sz="0" w:space="0" w:color="auto"/>
        <w:right w:val="none" w:sz="0" w:space="0" w:color="auto"/>
      </w:divBdr>
    </w:div>
    <w:div w:id="216360097">
      <w:bodyDiv w:val="1"/>
      <w:marLeft w:val="0"/>
      <w:marRight w:val="0"/>
      <w:marTop w:val="0"/>
      <w:marBottom w:val="0"/>
      <w:divBdr>
        <w:top w:val="none" w:sz="0" w:space="0" w:color="auto"/>
        <w:left w:val="none" w:sz="0" w:space="0" w:color="auto"/>
        <w:bottom w:val="none" w:sz="0" w:space="0" w:color="auto"/>
        <w:right w:val="none" w:sz="0" w:space="0" w:color="auto"/>
      </w:divBdr>
    </w:div>
    <w:div w:id="335423912">
      <w:bodyDiv w:val="1"/>
      <w:marLeft w:val="0"/>
      <w:marRight w:val="0"/>
      <w:marTop w:val="0"/>
      <w:marBottom w:val="0"/>
      <w:divBdr>
        <w:top w:val="none" w:sz="0" w:space="0" w:color="auto"/>
        <w:left w:val="none" w:sz="0" w:space="0" w:color="auto"/>
        <w:bottom w:val="none" w:sz="0" w:space="0" w:color="auto"/>
        <w:right w:val="none" w:sz="0" w:space="0" w:color="auto"/>
      </w:divBdr>
    </w:div>
    <w:div w:id="426737518">
      <w:bodyDiv w:val="1"/>
      <w:marLeft w:val="0"/>
      <w:marRight w:val="0"/>
      <w:marTop w:val="0"/>
      <w:marBottom w:val="0"/>
      <w:divBdr>
        <w:top w:val="none" w:sz="0" w:space="0" w:color="auto"/>
        <w:left w:val="none" w:sz="0" w:space="0" w:color="auto"/>
        <w:bottom w:val="none" w:sz="0" w:space="0" w:color="auto"/>
        <w:right w:val="none" w:sz="0" w:space="0" w:color="auto"/>
      </w:divBdr>
    </w:div>
    <w:div w:id="488598320">
      <w:bodyDiv w:val="1"/>
      <w:marLeft w:val="0"/>
      <w:marRight w:val="0"/>
      <w:marTop w:val="0"/>
      <w:marBottom w:val="0"/>
      <w:divBdr>
        <w:top w:val="none" w:sz="0" w:space="0" w:color="auto"/>
        <w:left w:val="none" w:sz="0" w:space="0" w:color="auto"/>
        <w:bottom w:val="none" w:sz="0" w:space="0" w:color="auto"/>
        <w:right w:val="none" w:sz="0" w:space="0" w:color="auto"/>
      </w:divBdr>
    </w:div>
    <w:div w:id="719282439">
      <w:bodyDiv w:val="1"/>
      <w:marLeft w:val="0"/>
      <w:marRight w:val="0"/>
      <w:marTop w:val="0"/>
      <w:marBottom w:val="0"/>
      <w:divBdr>
        <w:top w:val="none" w:sz="0" w:space="0" w:color="auto"/>
        <w:left w:val="none" w:sz="0" w:space="0" w:color="auto"/>
        <w:bottom w:val="none" w:sz="0" w:space="0" w:color="auto"/>
        <w:right w:val="none" w:sz="0" w:space="0" w:color="auto"/>
      </w:divBdr>
    </w:div>
    <w:div w:id="808398783">
      <w:bodyDiv w:val="1"/>
      <w:marLeft w:val="0"/>
      <w:marRight w:val="0"/>
      <w:marTop w:val="0"/>
      <w:marBottom w:val="0"/>
      <w:divBdr>
        <w:top w:val="none" w:sz="0" w:space="0" w:color="auto"/>
        <w:left w:val="none" w:sz="0" w:space="0" w:color="auto"/>
        <w:bottom w:val="none" w:sz="0" w:space="0" w:color="auto"/>
        <w:right w:val="none" w:sz="0" w:space="0" w:color="auto"/>
      </w:divBdr>
    </w:div>
    <w:div w:id="835340429">
      <w:bodyDiv w:val="1"/>
      <w:marLeft w:val="0"/>
      <w:marRight w:val="0"/>
      <w:marTop w:val="0"/>
      <w:marBottom w:val="0"/>
      <w:divBdr>
        <w:top w:val="none" w:sz="0" w:space="0" w:color="auto"/>
        <w:left w:val="none" w:sz="0" w:space="0" w:color="auto"/>
        <w:bottom w:val="none" w:sz="0" w:space="0" w:color="auto"/>
        <w:right w:val="none" w:sz="0" w:space="0" w:color="auto"/>
      </w:divBdr>
    </w:div>
    <w:div w:id="1107777181">
      <w:bodyDiv w:val="1"/>
      <w:marLeft w:val="0"/>
      <w:marRight w:val="0"/>
      <w:marTop w:val="0"/>
      <w:marBottom w:val="0"/>
      <w:divBdr>
        <w:top w:val="none" w:sz="0" w:space="0" w:color="auto"/>
        <w:left w:val="none" w:sz="0" w:space="0" w:color="auto"/>
        <w:bottom w:val="none" w:sz="0" w:space="0" w:color="auto"/>
        <w:right w:val="none" w:sz="0" w:space="0" w:color="auto"/>
      </w:divBdr>
    </w:div>
    <w:div w:id="1199706375">
      <w:bodyDiv w:val="1"/>
      <w:marLeft w:val="0"/>
      <w:marRight w:val="0"/>
      <w:marTop w:val="0"/>
      <w:marBottom w:val="0"/>
      <w:divBdr>
        <w:top w:val="none" w:sz="0" w:space="0" w:color="auto"/>
        <w:left w:val="none" w:sz="0" w:space="0" w:color="auto"/>
        <w:bottom w:val="none" w:sz="0" w:space="0" w:color="auto"/>
        <w:right w:val="none" w:sz="0" w:space="0" w:color="auto"/>
      </w:divBdr>
    </w:div>
    <w:div w:id="1292328151">
      <w:bodyDiv w:val="1"/>
      <w:marLeft w:val="0"/>
      <w:marRight w:val="0"/>
      <w:marTop w:val="0"/>
      <w:marBottom w:val="0"/>
      <w:divBdr>
        <w:top w:val="none" w:sz="0" w:space="0" w:color="auto"/>
        <w:left w:val="none" w:sz="0" w:space="0" w:color="auto"/>
        <w:bottom w:val="none" w:sz="0" w:space="0" w:color="auto"/>
        <w:right w:val="none" w:sz="0" w:space="0" w:color="auto"/>
      </w:divBdr>
    </w:div>
    <w:div w:id="1341152818">
      <w:bodyDiv w:val="1"/>
      <w:marLeft w:val="0"/>
      <w:marRight w:val="0"/>
      <w:marTop w:val="0"/>
      <w:marBottom w:val="0"/>
      <w:divBdr>
        <w:top w:val="none" w:sz="0" w:space="0" w:color="auto"/>
        <w:left w:val="none" w:sz="0" w:space="0" w:color="auto"/>
        <w:bottom w:val="none" w:sz="0" w:space="0" w:color="auto"/>
        <w:right w:val="none" w:sz="0" w:space="0" w:color="auto"/>
      </w:divBdr>
    </w:div>
    <w:div w:id="1389449960">
      <w:bodyDiv w:val="1"/>
      <w:marLeft w:val="0"/>
      <w:marRight w:val="0"/>
      <w:marTop w:val="0"/>
      <w:marBottom w:val="0"/>
      <w:divBdr>
        <w:top w:val="none" w:sz="0" w:space="0" w:color="auto"/>
        <w:left w:val="none" w:sz="0" w:space="0" w:color="auto"/>
        <w:bottom w:val="none" w:sz="0" w:space="0" w:color="auto"/>
        <w:right w:val="none" w:sz="0" w:space="0" w:color="auto"/>
      </w:divBdr>
    </w:div>
    <w:div w:id="1393313998">
      <w:bodyDiv w:val="1"/>
      <w:marLeft w:val="0"/>
      <w:marRight w:val="0"/>
      <w:marTop w:val="0"/>
      <w:marBottom w:val="0"/>
      <w:divBdr>
        <w:top w:val="none" w:sz="0" w:space="0" w:color="auto"/>
        <w:left w:val="none" w:sz="0" w:space="0" w:color="auto"/>
        <w:bottom w:val="none" w:sz="0" w:space="0" w:color="auto"/>
        <w:right w:val="none" w:sz="0" w:space="0" w:color="auto"/>
      </w:divBdr>
    </w:div>
    <w:div w:id="1536039516">
      <w:bodyDiv w:val="1"/>
      <w:marLeft w:val="0"/>
      <w:marRight w:val="0"/>
      <w:marTop w:val="0"/>
      <w:marBottom w:val="0"/>
      <w:divBdr>
        <w:top w:val="none" w:sz="0" w:space="0" w:color="auto"/>
        <w:left w:val="none" w:sz="0" w:space="0" w:color="auto"/>
        <w:bottom w:val="none" w:sz="0" w:space="0" w:color="auto"/>
        <w:right w:val="none" w:sz="0" w:space="0" w:color="auto"/>
      </w:divBdr>
    </w:div>
    <w:div w:id="1556963804">
      <w:bodyDiv w:val="1"/>
      <w:marLeft w:val="0"/>
      <w:marRight w:val="0"/>
      <w:marTop w:val="0"/>
      <w:marBottom w:val="0"/>
      <w:divBdr>
        <w:top w:val="none" w:sz="0" w:space="0" w:color="auto"/>
        <w:left w:val="none" w:sz="0" w:space="0" w:color="auto"/>
        <w:bottom w:val="none" w:sz="0" w:space="0" w:color="auto"/>
        <w:right w:val="none" w:sz="0" w:space="0" w:color="auto"/>
      </w:divBdr>
    </w:div>
    <w:div w:id="1984580144">
      <w:bodyDiv w:val="1"/>
      <w:marLeft w:val="0"/>
      <w:marRight w:val="0"/>
      <w:marTop w:val="0"/>
      <w:marBottom w:val="0"/>
      <w:divBdr>
        <w:top w:val="none" w:sz="0" w:space="0" w:color="auto"/>
        <w:left w:val="none" w:sz="0" w:space="0" w:color="auto"/>
        <w:bottom w:val="none" w:sz="0" w:space="0" w:color="auto"/>
        <w:right w:val="none" w:sz="0" w:space="0" w:color="auto"/>
      </w:divBdr>
    </w:div>
    <w:div w:id="2067757149">
      <w:bodyDiv w:val="1"/>
      <w:marLeft w:val="0"/>
      <w:marRight w:val="0"/>
      <w:marTop w:val="0"/>
      <w:marBottom w:val="0"/>
      <w:divBdr>
        <w:top w:val="none" w:sz="0" w:space="0" w:color="auto"/>
        <w:left w:val="none" w:sz="0" w:space="0" w:color="auto"/>
        <w:bottom w:val="none" w:sz="0" w:space="0" w:color="auto"/>
        <w:right w:val="none" w:sz="0" w:space="0" w:color="auto"/>
      </w:divBdr>
    </w:div>
    <w:div w:id="213136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F:\SRSD_oct_20116.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mf.mfsr.sk\DfsRoot\ADRESARE\IFP_NEW\3_MAKRO\3_6_ARDAL_agenda\1_CASH_REZERVA\Monthly_forecast\Prognoza%20koniec%20roka%202016_alco_23_9_2016.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se-fs-pdc\data\Odbor-riad-dlhu\SRSD\Vyhodnotenie%20strategie%202015-2018_update_201609.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047003499562555E-2"/>
          <c:y val="2.7199620880723252E-2"/>
          <c:w val="0.88897440944881889"/>
          <c:h val="0.81101742490522022"/>
        </c:manualLayout>
      </c:layout>
      <c:lineChart>
        <c:grouping val="standard"/>
        <c:varyColors val="0"/>
        <c:ser>
          <c:idx val="0"/>
          <c:order val="0"/>
          <c:tx>
            <c:strRef>
              <c:f>Worksheet!$B$5</c:f>
              <c:strCache>
                <c:ptCount val="1"/>
                <c:pt idx="0">
                  <c:v>Slovensko</c:v>
                </c:pt>
              </c:strCache>
            </c:strRef>
          </c:tx>
          <c:spPr>
            <a:ln w="19050" cap="rnd">
              <a:solidFill>
                <a:schemeClr val="tx1"/>
              </a:solidFill>
              <a:round/>
            </a:ln>
            <a:effectLst/>
          </c:spPr>
          <c:marker>
            <c:symbol val="none"/>
          </c:marker>
          <c:cat>
            <c:numRef>
              <c:f>Worksheet!$E$8:$E$110</c:f>
              <c:numCache>
                <c:formatCode>m/d/yyyy</c:formatCode>
                <c:ptCount val="103"/>
                <c:pt idx="0">
                  <c:v>42629</c:v>
                </c:pt>
                <c:pt idx="1">
                  <c:v>42622</c:v>
                </c:pt>
                <c:pt idx="2">
                  <c:v>42615</c:v>
                </c:pt>
                <c:pt idx="3">
                  <c:v>42608</c:v>
                </c:pt>
                <c:pt idx="4">
                  <c:v>42601</c:v>
                </c:pt>
                <c:pt idx="5">
                  <c:v>42594</c:v>
                </c:pt>
                <c:pt idx="6">
                  <c:v>42587</c:v>
                </c:pt>
                <c:pt idx="7">
                  <c:v>42580</c:v>
                </c:pt>
                <c:pt idx="8">
                  <c:v>42573</c:v>
                </c:pt>
                <c:pt idx="9">
                  <c:v>42566</c:v>
                </c:pt>
                <c:pt idx="10">
                  <c:v>42559</c:v>
                </c:pt>
                <c:pt idx="11">
                  <c:v>42552</c:v>
                </c:pt>
                <c:pt idx="12">
                  <c:v>42545</c:v>
                </c:pt>
                <c:pt idx="13">
                  <c:v>42538</c:v>
                </c:pt>
                <c:pt idx="14">
                  <c:v>42531</c:v>
                </c:pt>
                <c:pt idx="15">
                  <c:v>42524</c:v>
                </c:pt>
                <c:pt idx="16">
                  <c:v>42517</c:v>
                </c:pt>
                <c:pt idx="17">
                  <c:v>42510</c:v>
                </c:pt>
                <c:pt idx="18">
                  <c:v>42503</c:v>
                </c:pt>
                <c:pt idx="19">
                  <c:v>42496</c:v>
                </c:pt>
                <c:pt idx="20">
                  <c:v>42489</c:v>
                </c:pt>
                <c:pt idx="21">
                  <c:v>42482</c:v>
                </c:pt>
                <c:pt idx="22">
                  <c:v>42475</c:v>
                </c:pt>
                <c:pt idx="23">
                  <c:v>42468</c:v>
                </c:pt>
                <c:pt idx="24">
                  <c:v>42461</c:v>
                </c:pt>
                <c:pt idx="25">
                  <c:v>42454</c:v>
                </c:pt>
                <c:pt idx="26">
                  <c:v>42447</c:v>
                </c:pt>
                <c:pt idx="27">
                  <c:v>42440</c:v>
                </c:pt>
                <c:pt idx="28">
                  <c:v>42433</c:v>
                </c:pt>
                <c:pt idx="29">
                  <c:v>42426</c:v>
                </c:pt>
                <c:pt idx="30">
                  <c:v>42419</c:v>
                </c:pt>
                <c:pt idx="31">
                  <c:v>42412</c:v>
                </c:pt>
                <c:pt idx="32">
                  <c:v>42405</c:v>
                </c:pt>
                <c:pt idx="33">
                  <c:v>42398</c:v>
                </c:pt>
                <c:pt idx="34">
                  <c:v>42391</c:v>
                </c:pt>
                <c:pt idx="35">
                  <c:v>42384</c:v>
                </c:pt>
                <c:pt idx="36">
                  <c:v>42377</c:v>
                </c:pt>
                <c:pt idx="37">
                  <c:v>42370</c:v>
                </c:pt>
                <c:pt idx="38">
                  <c:v>42363</c:v>
                </c:pt>
                <c:pt idx="39">
                  <c:v>42356</c:v>
                </c:pt>
                <c:pt idx="40">
                  <c:v>42349</c:v>
                </c:pt>
                <c:pt idx="41">
                  <c:v>42342</c:v>
                </c:pt>
                <c:pt idx="42">
                  <c:v>42335</c:v>
                </c:pt>
                <c:pt idx="43">
                  <c:v>42328</c:v>
                </c:pt>
                <c:pt idx="44">
                  <c:v>42321</c:v>
                </c:pt>
                <c:pt idx="45">
                  <c:v>42314</c:v>
                </c:pt>
                <c:pt idx="46">
                  <c:v>42307</c:v>
                </c:pt>
                <c:pt idx="47">
                  <c:v>42300</c:v>
                </c:pt>
                <c:pt idx="48">
                  <c:v>42293</c:v>
                </c:pt>
                <c:pt idx="49">
                  <c:v>42286</c:v>
                </c:pt>
                <c:pt idx="50">
                  <c:v>42279</c:v>
                </c:pt>
                <c:pt idx="51">
                  <c:v>42272</c:v>
                </c:pt>
                <c:pt idx="52">
                  <c:v>42265</c:v>
                </c:pt>
                <c:pt idx="53">
                  <c:v>42258</c:v>
                </c:pt>
                <c:pt idx="54">
                  <c:v>42251</c:v>
                </c:pt>
                <c:pt idx="55">
                  <c:v>42244</c:v>
                </c:pt>
                <c:pt idx="56">
                  <c:v>42237</c:v>
                </c:pt>
                <c:pt idx="57">
                  <c:v>42230</c:v>
                </c:pt>
                <c:pt idx="58">
                  <c:v>42223</c:v>
                </c:pt>
                <c:pt idx="59">
                  <c:v>42216</c:v>
                </c:pt>
                <c:pt idx="60">
                  <c:v>42209</c:v>
                </c:pt>
                <c:pt idx="61">
                  <c:v>42202</c:v>
                </c:pt>
                <c:pt idx="62">
                  <c:v>42195</c:v>
                </c:pt>
                <c:pt idx="63">
                  <c:v>42188</c:v>
                </c:pt>
                <c:pt idx="64">
                  <c:v>42181</c:v>
                </c:pt>
                <c:pt idx="65">
                  <c:v>42174</c:v>
                </c:pt>
                <c:pt idx="66">
                  <c:v>42167</c:v>
                </c:pt>
                <c:pt idx="67">
                  <c:v>42160</c:v>
                </c:pt>
                <c:pt idx="68">
                  <c:v>42153</c:v>
                </c:pt>
                <c:pt idx="69">
                  <c:v>42146</c:v>
                </c:pt>
                <c:pt idx="70">
                  <c:v>42139</c:v>
                </c:pt>
                <c:pt idx="71">
                  <c:v>42132</c:v>
                </c:pt>
                <c:pt idx="72">
                  <c:v>42125</c:v>
                </c:pt>
                <c:pt idx="73">
                  <c:v>42118</c:v>
                </c:pt>
                <c:pt idx="74">
                  <c:v>42111</c:v>
                </c:pt>
                <c:pt idx="75">
                  <c:v>42104</c:v>
                </c:pt>
                <c:pt idx="76">
                  <c:v>42097</c:v>
                </c:pt>
                <c:pt idx="77">
                  <c:v>42090</c:v>
                </c:pt>
                <c:pt idx="78">
                  <c:v>42083</c:v>
                </c:pt>
                <c:pt idx="79">
                  <c:v>42076</c:v>
                </c:pt>
                <c:pt idx="80">
                  <c:v>42069</c:v>
                </c:pt>
                <c:pt idx="81">
                  <c:v>42062</c:v>
                </c:pt>
                <c:pt idx="82">
                  <c:v>42055</c:v>
                </c:pt>
                <c:pt idx="83">
                  <c:v>42048</c:v>
                </c:pt>
                <c:pt idx="84">
                  <c:v>42041</c:v>
                </c:pt>
                <c:pt idx="85">
                  <c:v>42034</c:v>
                </c:pt>
                <c:pt idx="86">
                  <c:v>42027</c:v>
                </c:pt>
                <c:pt idx="87">
                  <c:v>42020</c:v>
                </c:pt>
                <c:pt idx="88">
                  <c:v>42013</c:v>
                </c:pt>
                <c:pt idx="89">
                  <c:v>42006</c:v>
                </c:pt>
                <c:pt idx="90">
                  <c:v>41999</c:v>
                </c:pt>
                <c:pt idx="91">
                  <c:v>41992</c:v>
                </c:pt>
                <c:pt idx="92">
                  <c:v>41985</c:v>
                </c:pt>
                <c:pt idx="93">
                  <c:v>41978</c:v>
                </c:pt>
                <c:pt idx="94">
                  <c:v>41971</c:v>
                </c:pt>
                <c:pt idx="95">
                  <c:v>41964</c:v>
                </c:pt>
                <c:pt idx="96">
                  <c:v>41957</c:v>
                </c:pt>
                <c:pt idx="97">
                  <c:v>41950</c:v>
                </c:pt>
                <c:pt idx="98">
                  <c:v>41943</c:v>
                </c:pt>
                <c:pt idx="99">
                  <c:v>41936</c:v>
                </c:pt>
                <c:pt idx="100">
                  <c:v>41929</c:v>
                </c:pt>
                <c:pt idx="101">
                  <c:v>41922</c:v>
                </c:pt>
                <c:pt idx="102">
                  <c:v>41915</c:v>
                </c:pt>
              </c:numCache>
            </c:numRef>
          </c:cat>
          <c:val>
            <c:numRef>
              <c:f>Worksheet!$B$7:$B$110</c:f>
              <c:numCache>
                <c:formatCode>General</c:formatCode>
                <c:ptCount val="104"/>
                <c:pt idx="0">
                  <c:v>0.30299999999999999</c:v>
                </c:pt>
                <c:pt idx="1">
                  <c:v>0.375</c:v>
                </c:pt>
                <c:pt idx="2">
                  <c:v>0.316</c:v>
                </c:pt>
                <c:pt idx="3">
                  <c:v>0.28699999999999998</c:v>
                </c:pt>
                <c:pt idx="4">
                  <c:v>0.25900000000000001</c:v>
                </c:pt>
                <c:pt idx="5">
                  <c:v>0.29699999999999999</c:v>
                </c:pt>
                <c:pt idx="6">
                  <c:v>0.245</c:v>
                </c:pt>
                <c:pt idx="7">
                  <c:v>0.31</c:v>
                </c:pt>
                <c:pt idx="8">
                  <c:v>0.28899999999999998</c:v>
                </c:pt>
                <c:pt idx="9">
                  <c:v>0.45900000000000002</c:v>
                </c:pt>
                <c:pt idx="10">
                  <c:v>0.501</c:v>
                </c:pt>
                <c:pt idx="11">
                  <c:v>0.44</c:v>
                </c:pt>
                <c:pt idx="12">
                  <c:v>0.54200000000000004</c:v>
                </c:pt>
                <c:pt idx="13">
                  <c:v>0.73199999999999998</c:v>
                </c:pt>
                <c:pt idx="14">
                  <c:v>0.72599999999999998</c:v>
                </c:pt>
                <c:pt idx="15">
                  <c:v>0.73399999999999999</c:v>
                </c:pt>
                <c:pt idx="16">
                  <c:v>0.77300000000000002</c:v>
                </c:pt>
                <c:pt idx="17">
                  <c:v>0.84099999999999997</c:v>
                </c:pt>
                <c:pt idx="18">
                  <c:v>0.38400000000000001</c:v>
                </c:pt>
                <c:pt idx="19">
                  <c:v>0.36599999999999999</c:v>
                </c:pt>
                <c:pt idx="20">
                  <c:v>0.376</c:v>
                </c:pt>
                <c:pt idx="21">
                  <c:v>0.48099999999999998</c:v>
                </c:pt>
                <c:pt idx="22">
                  <c:v>0.39900000000000002</c:v>
                </c:pt>
                <c:pt idx="23">
                  <c:v>0.34499999999999997</c:v>
                </c:pt>
                <c:pt idx="24">
                  <c:v>0.31900000000000001</c:v>
                </c:pt>
                <c:pt idx="25">
                  <c:v>0.35</c:v>
                </c:pt>
                <c:pt idx="26">
                  <c:v>0.38600000000000001</c:v>
                </c:pt>
                <c:pt idx="27">
                  <c:v>0.4</c:v>
                </c:pt>
                <c:pt idx="28">
                  <c:v>0.437</c:v>
                </c:pt>
                <c:pt idx="29">
                  <c:v>0.44800000000000001</c:v>
                </c:pt>
                <c:pt idx="30">
                  <c:v>0.40200000000000002</c:v>
                </c:pt>
                <c:pt idx="31">
                  <c:v>0.44900000000000001</c:v>
                </c:pt>
                <c:pt idx="32">
                  <c:v>0.53400000000000003</c:v>
                </c:pt>
                <c:pt idx="33">
                  <c:v>0.55800000000000005</c:v>
                </c:pt>
                <c:pt idx="34">
                  <c:v>0.59299999999999997</c:v>
                </c:pt>
                <c:pt idx="35">
                  <c:v>0.73099999999999998</c:v>
                </c:pt>
                <c:pt idx="36">
                  <c:v>0.76200000000000001</c:v>
                </c:pt>
                <c:pt idx="37">
                  <c:v>0.63400000000000001</c:v>
                </c:pt>
                <c:pt idx="38">
                  <c:v>0.73499999999999999</c:v>
                </c:pt>
                <c:pt idx="39">
                  <c:v>0.72</c:v>
                </c:pt>
                <c:pt idx="40">
                  <c:v>0.67200000000000004</c:v>
                </c:pt>
                <c:pt idx="41">
                  <c:v>0.64800000000000002</c:v>
                </c:pt>
                <c:pt idx="42">
                  <c:v>0.76100000000000001</c:v>
                </c:pt>
                <c:pt idx="43">
                  <c:v>0.60399999999999998</c:v>
                </c:pt>
                <c:pt idx="44">
                  <c:v>0.64</c:v>
                </c:pt>
                <c:pt idx="45">
                  <c:v>0.74299999999999999</c:v>
                </c:pt>
                <c:pt idx="46">
                  <c:v>0.8</c:v>
                </c:pt>
                <c:pt idx="47">
                  <c:v>0.71899999999999997</c:v>
                </c:pt>
                <c:pt idx="48">
                  <c:v>0.69799999999999995</c:v>
                </c:pt>
                <c:pt idx="49">
                  <c:v>0.73499999999999999</c:v>
                </c:pt>
                <c:pt idx="50">
                  <c:v>0.78700000000000003</c:v>
                </c:pt>
                <c:pt idx="51">
                  <c:v>0.72199999999999998</c:v>
                </c:pt>
                <c:pt idx="52">
                  <c:v>0.83699999999999997</c:v>
                </c:pt>
                <c:pt idx="53">
                  <c:v>0.85199999999999998</c:v>
                </c:pt>
                <c:pt idx="54">
                  <c:v>0.85199999999999998</c:v>
                </c:pt>
                <c:pt idx="55">
                  <c:v>0.88300000000000001</c:v>
                </c:pt>
                <c:pt idx="56">
                  <c:v>0.96499999999999997</c:v>
                </c:pt>
                <c:pt idx="57">
                  <c:v>0.83299999999999996</c:v>
                </c:pt>
                <c:pt idx="58">
                  <c:v>0.89500000000000002</c:v>
                </c:pt>
                <c:pt idx="59">
                  <c:v>0.95899999999999996</c:v>
                </c:pt>
                <c:pt idx="60">
                  <c:v>0.93799999999999994</c:v>
                </c:pt>
                <c:pt idx="61">
                  <c:v>1.0169999999999999</c:v>
                </c:pt>
                <c:pt idx="62">
                  <c:v>1.131</c:v>
                </c:pt>
                <c:pt idx="63">
                  <c:v>1.2730000000000001</c:v>
                </c:pt>
                <c:pt idx="64">
                  <c:v>1.286</c:v>
                </c:pt>
                <c:pt idx="65">
                  <c:v>1.383</c:v>
                </c:pt>
                <c:pt idx="66">
                  <c:v>1.367</c:v>
                </c:pt>
                <c:pt idx="67">
                  <c:v>1.1830000000000001</c:v>
                </c:pt>
                <c:pt idx="68">
                  <c:v>1.1060000000000001</c:v>
                </c:pt>
                <c:pt idx="69">
                  <c:v>0.77600000000000002</c:v>
                </c:pt>
                <c:pt idx="70">
                  <c:v>0.88400000000000001</c:v>
                </c:pt>
                <c:pt idx="71">
                  <c:v>0.84299999999999997</c:v>
                </c:pt>
                <c:pt idx="72">
                  <c:v>0.73199999999999998</c:v>
                </c:pt>
                <c:pt idx="73">
                  <c:v>0.51600000000000001</c:v>
                </c:pt>
                <c:pt idx="74">
                  <c:v>0.38500000000000001</c:v>
                </c:pt>
                <c:pt idx="75">
                  <c:v>0.378</c:v>
                </c:pt>
                <c:pt idx="76">
                  <c:v>0.45700000000000002</c:v>
                </c:pt>
                <c:pt idx="77">
                  <c:v>0.49299999999999999</c:v>
                </c:pt>
                <c:pt idx="78">
                  <c:v>0.49299999999999999</c:v>
                </c:pt>
                <c:pt idx="79">
                  <c:v>0.49299999999999999</c:v>
                </c:pt>
                <c:pt idx="80">
                  <c:v>0.52800000000000002</c:v>
                </c:pt>
                <c:pt idx="81">
                  <c:v>0.74299999999999999</c:v>
                </c:pt>
                <c:pt idx="82">
                  <c:v>0.76300000000000001</c:v>
                </c:pt>
                <c:pt idx="83">
                  <c:v>0.83599999999999997</c:v>
                </c:pt>
                <c:pt idx="84">
                  <c:v>0.78100000000000003</c:v>
                </c:pt>
                <c:pt idx="85">
                  <c:v>0.79800000000000004</c:v>
                </c:pt>
                <c:pt idx="86">
                  <c:v>0.748</c:v>
                </c:pt>
                <c:pt idx="87">
                  <c:v>0.76600000000000001</c:v>
                </c:pt>
                <c:pt idx="88">
                  <c:v>0.88600000000000001</c:v>
                </c:pt>
                <c:pt idx="89">
                  <c:v>1.0429999999999999</c:v>
                </c:pt>
                <c:pt idx="90">
                  <c:v>1.0940000000000001</c:v>
                </c:pt>
                <c:pt idx="91">
                  <c:v>1.107</c:v>
                </c:pt>
                <c:pt idx="92">
                  <c:v>1.087</c:v>
                </c:pt>
                <c:pt idx="93">
                  <c:v>1.139</c:v>
                </c:pt>
                <c:pt idx="94">
                  <c:v>1.3</c:v>
                </c:pt>
                <c:pt idx="95">
                  <c:v>1.2789999999999999</c:v>
                </c:pt>
                <c:pt idx="96">
                  <c:v>1.3820000000000001</c:v>
                </c:pt>
                <c:pt idx="97">
                  <c:v>1.3919999999999999</c:v>
                </c:pt>
                <c:pt idx="98">
                  <c:v>1.4219999999999999</c:v>
                </c:pt>
                <c:pt idx="99">
                  <c:v>1.413</c:v>
                </c:pt>
                <c:pt idx="100">
                  <c:v>1.4359999999999999</c:v>
                </c:pt>
                <c:pt idx="101">
                  <c:v>1.347</c:v>
                </c:pt>
                <c:pt idx="102">
                  <c:v>1.3900000000000001</c:v>
                </c:pt>
                <c:pt idx="103">
                  <c:v>1.4790000000000001</c:v>
                </c:pt>
              </c:numCache>
            </c:numRef>
          </c:val>
          <c:smooth val="0"/>
        </c:ser>
        <c:ser>
          <c:idx val="1"/>
          <c:order val="1"/>
          <c:tx>
            <c:strRef>
              <c:f>Worksheet!$F$5</c:f>
              <c:strCache>
                <c:ptCount val="1"/>
                <c:pt idx="0">
                  <c:v>Nemecko</c:v>
                </c:pt>
              </c:strCache>
            </c:strRef>
          </c:tx>
          <c:spPr>
            <a:ln w="19050" cap="rnd">
              <a:solidFill>
                <a:schemeClr val="bg1">
                  <a:lumMod val="50000"/>
                </a:schemeClr>
              </a:solidFill>
              <a:round/>
            </a:ln>
            <a:effectLst/>
          </c:spPr>
          <c:marker>
            <c:symbol val="none"/>
          </c:marker>
          <c:cat>
            <c:numRef>
              <c:f>Worksheet!$E$8:$E$110</c:f>
              <c:numCache>
                <c:formatCode>m/d/yyyy</c:formatCode>
                <c:ptCount val="103"/>
                <c:pt idx="0">
                  <c:v>42629</c:v>
                </c:pt>
                <c:pt idx="1">
                  <c:v>42622</c:v>
                </c:pt>
                <c:pt idx="2">
                  <c:v>42615</c:v>
                </c:pt>
                <c:pt idx="3">
                  <c:v>42608</c:v>
                </c:pt>
                <c:pt idx="4">
                  <c:v>42601</c:v>
                </c:pt>
                <c:pt idx="5">
                  <c:v>42594</c:v>
                </c:pt>
                <c:pt idx="6">
                  <c:v>42587</c:v>
                </c:pt>
                <c:pt idx="7">
                  <c:v>42580</c:v>
                </c:pt>
                <c:pt idx="8">
                  <c:v>42573</c:v>
                </c:pt>
                <c:pt idx="9">
                  <c:v>42566</c:v>
                </c:pt>
                <c:pt idx="10">
                  <c:v>42559</c:v>
                </c:pt>
                <c:pt idx="11">
                  <c:v>42552</c:v>
                </c:pt>
                <c:pt idx="12">
                  <c:v>42545</c:v>
                </c:pt>
                <c:pt idx="13">
                  <c:v>42538</c:v>
                </c:pt>
                <c:pt idx="14">
                  <c:v>42531</c:v>
                </c:pt>
                <c:pt idx="15">
                  <c:v>42524</c:v>
                </c:pt>
                <c:pt idx="16">
                  <c:v>42517</c:v>
                </c:pt>
                <c:pt idx="17">
                  <c:v>42510</c:v>
                </c:pt>
                <c:pt idx="18">
                  <c:v>42503</c:v>
                </c:pt>
                <c:pt idx="19">
                  <c:v>42496</c:v>
                </c:pt>
                <c:pt idx="20">
                  <c:v>42489</c:v>
                </c:pt>
                <c:pt idx="21">
                  <c:v>42482</c:v>
                </c:pt>
                <c:pt idx="22">
                  <c:v>42475</c:v>
                </c:pt>
                <c:pt idx="23">
                  <c:v>42468</c:v>
                </c:pt>
                <c:pt idx="24">
                  <c:v>42461</c:v>
                </c:pt>
                <c:pt idx="25">
                  <c:v>42454</c:v>
                </c:pt>
                <c:pt idx="26">
                  <c:v>42447</c:v>
                </c:pt>
                <c:pt idx="27">
                  <c:v>42440</c:v>
                </c:pt>
                <c:pt idx="28">
                  <c:v>42433</c:v>
                </c:pt>
                <c:pt idx="29">
                  <c:v>42426</c:v>
                </c:pt>
                <c:pt idx="30">
                  <c:v>42419</c:v>
                </c:pt>
                <c:pt idx="31">
                  <c:v>42412</c:v>
                </c:pt>
                <c:pt idx="32">
                  <c:v>42405</c:v>
                </c:pt>
                <c:pt idx="33">
                  <c:v>42398</c:v>
                </c:pt>
                <c:pt idx="34">
                  <c:v>42391</c:v>
                </c:pt>
                <c:pt idx="35">
                  <c:v>42384</c:v>
                </c:pt>
                <c:pt idx="36">
                  <c:v>42377</c:v>
                </c:pt>
                <c:pt idx="37">
                  <c:v>42370</c:v>
                </c:pt>
                <c:pt idx="38">
                  <c:v>42363</c:v>
                </c:pt>
                <c:pt idx="39">
                  <c:v>42356</c:v>
                </c:pt>
                <c:pt idx="40">
                  <c:v>42349</c:v>
                </c:pt>
                <c:pt idx="41">
                  <c:v>42342</c:v>
                </c:pt>
                <c:pt idx="42">
                  <c:v>42335</c:v>
                </c:pt>
                <c:pt idx="43">
                  <c:v>42328</c:v>
                </c:pt>
                <c:pt idx="44">
                  <c:v>42321</c:v>
                </c:pt>
                <c:pt idx="45">
                  <c:v>42314</c:v>
                </c:pt>
                <c:pt idx="46">
                  <c:v>42307</c:v>
                </c:pt>
                <c:pt idx="47">
                  <c:v>42300</c:v>
                </c:pt>
                <c:pt idx="48">
                  <c:v>42293</c:v>
                </c:pt>
                <c:pt idx="49">
                  <c:v>42286</c:v>
                </c:pt>
                <c:pt idx="50">
                  <c:v>42279</c:v>
                </c:pt>
                <c:pt idx="51">
                  <c:v>42272</c:v>
                </c:pt>
                <c:pt idx="52">
                  <c:v>42265</c:v>
                </c:pt>
                <c:pt idx="53">
                  <c:v>42258</c:v>
                </c:pt>
                <c:pt idx="54">
                  <c:v>42251</c:v>
                </c:pt>
                <c:pt idx="55">
                  <c:v>42244</c:v>
                </c:pt>
                <c:pt idx="56">
                  <c:v>42237</c:v>
                </c:pt>
                <c:pt idx="57">
                  <c:v>42230</c:v>
                </c:pt>
                <c:pt idx="58">
                  <c:v>42223</c:v>
                </c:pt>
                <c:pt idx="59">
                  <c:v>42216</c:v>
                </c:pt>
                <c:pt idx="60">
                  <c:v>42209</c:v>
                </c:pt>
                <c:pt idx="61">
                  <c:v>42202</c:v>
                </c:pt>
                <c:pt idx="62">
                  <c:v>42195</c:v>
                </c:pt>
                <c:pt idx="63">
                  <c:v>42188</c:v>
                </c:pt>
                <c:pt idx="64">
                  <c:v>42181</c:v>
                </c:pt>
                <c:pt idx="65">
                  <c:v>42174</c:v>
                </c:pt>
                <c:pt idx="66">
                  <c:v>42167</c:v>
                </c:pt>
                <c:pt idx="67">
                  <c:v>42160</c:v>
                </c:pt>
                <c:pt idx="68">
                  <c:v>42153</c:v>
                </c:pt>
                <c:pt idx="69">
                  <c:v>42146</c:v>
                </c:pt>
                <c:pt idx="70">
                  <c:v>42139</c:v>
                </c:pt>
                <c:pt idx="71">
                  <c:v>42132</c:v>
                </c:pt>
                <c:pt idx="72">
                  <c:v>42125</c:v>
                </c:pt>
                <c:pt idx="73">
                  <c:v>42118</c:v>
                </c:pt>
                <c:pt idx="74">
                  <c:v>42111</c:v>
                </c:pt>
                <c:pt idx="75">
                  <c:v>42104</c:v>
                </c:pt>
                <c:pt idx="76">
                  <c:v>42097</c:v>
                </c:pt>
                <c:pt idx="77">
                  <c:v>42090</c:v>
                </c:pt>
                <c:pt idx="78">
                  <c:v>42083</c:v>
                </c:pt>
                <c:pt idx="79">
                  <c:v>42076</c:v>
                </c:pt>
                <c:pt idx="80">
                  <c:v>42069</c:v>
                </c:pt>
                <c:pt idx="81">
                  <c:v>42062</c:v>
                </c:pt>
                <c:pt idx="82">
                  <c:v>42055</c:v>
                </c:pt>
                <c:pt idx="83">
                  <c:v>42048</c:v>
                </c:pt>
                <c:pt idx="84">
                  <c:v>42041</c:v>
                </c:pt>
                <c:pt idx="85">
                  <c:v>42034</c:v>
                </c:pt>
                <c:pt idx="86">
                  <c:v>42027</c:v>
                </c:pt>
                <c:pt idx="87">
                  <c:v>42020</c:v>
                </c:pt>
                <c:pt idx="88">
                  <c:v>42013</c:v>
                </c:pt>
                <c:pt idx="89">
                  <c:v>42006</c:v>
                </c:pt>
                <c:pt idx="90">
                  <c:v>41999</c:v>
                </c:pt>
                <c:pt idx="91">
                  <c:v>41992</c:v>
                </c:pt>
                <c:pt idx="92">
                  <c:v>41985</c:v>
                </c:pt>
                <c:pt idx="93">
                  <c:v>41978</c:v>
                </c:pt>
                <c:pt idx="94">
                  <c:v>41971</c:v>
                </c:pt>
                <c:pt idx="95">
                  <c:v>41964</c:v>
                </c:pt>
                <c:pt idx="96">
                  <c:v>41957</c:v>
                </c:pt>
                <c:pt idx="97">
                  <c:v>41950</c:v>
                </c:pt>
                <c:pt idx="98">
                  <c:v>41943</c:v>
                </c:pt>
                <c:pt idx="99">
                  <c:v>41936</c:v>
                </c:pt>
                <c:pt idx="100">
                  <c:v>41929</c:v>
                </c:pt>
                <c:pt idx="101">
                  <c:v>41922</c:v>
                </c:pt>
                <c:pt idx="102">
                  <c:v>41915</c:v>
                </c:pt>
              </c:numCache>
            </c:numRef>
          </c:cat>
          <c:val>
            <c:numRef>
              <c:f>Worksheet!$F$7:$F$110</c:f>
              <c:numCache>
                <c:formatCode>General</c:formatCode>
                <c:ptCount val="104"/>
                <c:pt idx="0">
                  <c:v>-8.3000000000000004E-2</c:v>
                </c:pt>
                <c:pt idx="1">
                  <c:v>6.0000000000000001E-3</c:v>
                </c:pt>
                <c:pt idx="2">
                  <c:v>8.9999999999999993E-3</c:v>
                </c:pt>
                <c:pt idx="3">
                  <c:v>-4.4999999999999998E-2</c:v>
                </c:pt>
                <c:pt idx="4">
                  <c:v>-7.2999999999999995E-2</c:v>
                </c:pt>
                <c:pt idx="5">
                  <c:v>-3.4000000000000002E-2</c:v>
                </c:pt>
                <c:pt idx="6">
                  <c:v>-0.11</c:v>
                </c:pt>
                <c:pt idx="7">
                  <c:v>-6.8000000000000005E-2</c:v>
                </c:pt>
                <c:pt idx="8">
                  <c:v>-0.121</c:v>
                </c:pt>
                <c:pt idx="9">
                  <c:v>-3.1E-2</c:v>
                </c:pt>
                <c:pt idx="10">
                  <c:v>5.0000000000000001E-3</c:v>
                </c:pt>
                <c:pt idx="11">
                  <c:v>-0.189</c:v>
                </c:pt>
                <c:pt idx="12">
                  <c:v>-0.127</c:v>
                </c:pt>
                <c:pt idx="13">
                  <c:v>-4.9000000000000002E-2</c:v>
                </c:pt>
                <c:pt idx="14">
                  <c:v>1.7999999999999999E-2</c:v>
                </c:pt>
                <c:pt idx="15">
                  <c:v>0.02</c:v>
                </c:pt>
                <c:pt idx="16">
                  <c:v>6.7000000000000004E-2</c:v>
                </c:pt>
                <c:pt idx="17">
                  <c:v>0.13700000000000001</c:v>
                </c:pt>
                <c:pt idx="18">
                  <c:v>0.16400000000000001</c:v>
                </c:pt>
                <c:pt idx="19">
                  <c:v>0.123</c:v>
                </c:pt>
                <c:pt idx="20">
                  <c:v>0.14299999999999999</c:v>
                </c:pt>
                <c:pt idx="21">
                  <c:v>0.27100000000000002</c:v>
                </c:pt>
                <c:pt idx="22">
                  <c:v>0.23</c:v>
                </c:pt>
                <c:pt idx="23">
                  <c:v>0.127</c:v>
                </c:pt>
                <c:pt idx="24">
                  <c:v>9.5000000000000001E-2</c:v>
                </c:pt>
                <c:pt idx="25">
                  <c:v>0.13300000000000001</c:v>
                </c:pt>
                <c:pt idx="26">
                  <c:v>0.17899999999999999</c:v>
                </c:pt>
                <c:pt idx="27">
                  <c:v>0.21099999999999999</c:v>
                </c:pt>
                <c:pt idx="28">
                  <c:v>0.27</c:v>
                </c:pt>
                <c:pt idx="29">
                  <c:v>0.23699999999999999</c:v>
                </c:pt>
                <c:pt idx="30">
                  <c:v>0.14599999999999999</c:v>
                </c:pt>
                <c:pt idx="31">
                  <c:v>0.20100000000000001</c:v>
                </c:pt>
                <c:pt idx="32">
                  <c:v>0.26</c:v>
                </c:pt>
                <c:pt idx="33">
                  <c:v>0.29499999999999998</c:v>
                </c:pt>
                <c:pt idx="34">
                  <c:v>0.32400000000000001</c:v>
                </c:pt>
                <c:pt idx="35">
                  <c:v>0.48299999999999998</c:v>
                </c:pt>
                <c:pt idx="36">
                  <c:v>0.53900000000000003</c:v>
                </c:pt>
                <c:pt idx="37">
                  <c:v>0.51300000000000001</c:v>
                </c:pt>
                <c:pt idx="38">
                  <c:v>0.628</c:v>
                </c:pt>
                <c:pt idx="39">
                  <c:v>0.63500000000000001</c:v>
                </c:pt>
                <c:pt idx="40">
                  <c:v>0.54700000000000004</c:v>
                </c:pt>
                <c:pt idx="41">
                  <c:v>0.53900000000000003</c:v>
                </c:pt>
                <c:pt idx="42">
                  <c:v>0.67700000000000005</c:v>
                </c:pt>
                <c:pt idx="43">
                  <c:v>0.45900000000000002</c:v>
                </c:pt>
                <c:pt idx="44">
                  <c:v>0.47899999999999998</c:v>
                </c:pt>
                <c:pt idx="45">
                  <c:v>0.55800000000000005</c:v>
                </c:pt>
                <c:pt idx="46">
                  <c:v>0.69199999999999995</c:v>
                </c:pt>
                <c:pt idx="47">
                  <c:v>0.51700000000000002</c:v>
                </c:pt>
                <c:pt idx="48">
                  <c:v>0.51100000000000001</c:v>
                </c:pt>
                <c:pt idx="49">
                  <c:v>0.54700000000000004</c:v>
                </c:pt>
                <c:pt idx="50">
                  <c:v>0.61499999999999999</c:v>
                </c:pt>
                <c:pt idx="51">
                  <c:v>0.50900000000000001</c:v>
                </c:pt>
                <c:pt idx="52">
                  <c:v>0.64700000000000002</c:v>
                </c:pt>
                <c:pt idx="53">
                  <c:v>0.66200000000000003</c:v>
                </c:pt>
                <c:pt idx="54">
                  <c:v>0.65200000000000002</c:v>
                </c:pt>
                <c:pt idx="55">
                  <c:v>0.66600000000000004</c:v>
                </c:pt>
                <c:pt idx="56">
                  <c:v>0.74099999999999999</c:v>
                </c:pt>
                <c:pt idx="57">
                  <c:v>0.56299999999999994</c:v>
                </c:pt>
                <c:pt idx="58">
                  <c:v>0.65900000000000003</c:v>
                </c:pt>
                <c:pt idx="59">
                  <c:v>0.66100000000000003</c:v>
                </c:pt>
                <c:pt idx="60">
                  <c:v>0.64300000000000002</c:v>
                </c:pt>
                <c:pt idx="61">
                  <c:v>0.69</c:v>
                </c:pt>
                <c:pt idx="62">
                  <c:v>0.78700000000000003</c:v>
                </c:pt>
                <c:pt idx="63">
                  <c:v>0.89600000000000002</c:v>
                </c:pt>
                <c:pt idx="64">
                  <c:v>0.78900000000000003</c:v>
                </c:pt>
                <c:pt idx="65">
                  <c:v>0.92100000000000004</c:v>
                </c:pt>
                <c:pt idx="66">
                  <c:v>0.75</c:v>
                </c:pt>
                <c:pt idx="67">
                  <c:v>0.83299999999999996</c:v>
                </c:pt>
                <c:pt idx="68">
                  <c:v>0.84299999999999997</c:v>
                </c:pt>
                <c:pt idx="69">
                  <c:v>0.48599999999999999</c:v>
                </c:pt>
                <c:pt idx="70">
                  <c:v>0.60199999999999998</c:v>
                </c:pt>
                <c:pt idx="71">
                  <c:v>0.623</c:v>
                </c:pt>
                <c:pt idx="72">
                  <c:v>0.54600000000000004</c:v>
                </c:pt>
                <c:pt idx="73">
                  <c:v>0.37</c:v>
                </c:pt>
                <c:pt idx="74">
                  <c:v>0.154</c:v>
                </c:pt>
                <c:pt idx="75">
                  <c:v>7.6999999999999999E-2</c:v>
                </c:pt>
                <c:pt idx="76">
                  <c:v>0.154</c:v>
                </c:pt>
                <c:pt idx="77">
                  <c:v>0.193</c:v>
                </c:pt>
                <c:pt idx="78">
                  <c:v>0.20599999999999999</c:v>
                </c:pt>
                <c:pt idx="79">
                  <c:v>0.183</c:v>
                </c:pt>
                <c:pt idx="80">
                  <c:v>0.25600000000000001</c:v>
                </c:pt>
                <c:pt idx="81">
                  <c:v>0.39300000000000002</c:v>
                </c:pt>
                <c:pt idx="82">
                  <c:v>0.32700000000000001</c:v>
                </c:pt>
                <c:pt idx="83">
                  <c:v>0.36499999999999999</c:v>
                </c:pt>
                <c:pt idx="84">
                  <c:v>0.34100000000000003</c:v>
                </c:pt>
                <c:pt idx="85">
                  <c:v>0.374</c:v>
                </c:pt>
                <c:pt idx="86">
                  <c:v>0.30199999999999999</c:v>
                </c:pt>
                <c:pt idx="87">
                  <c:v>0.36099999999999999</c:v>
                </c:pt>
                <c:pt idx="88">
                  <c:v>0.45200000000000001</c:v>
                </c:pt>
                <c:pt idx="89">
                  <c:v>0.49099999999999999</c:v>
                </c:pt>
                <c:pt idx="90">
                  <c:v>0.497</c:v>
                </c:pt>
                <c:pt idx="91">
                  <c:v>0.58699999999999997</c:v>
                </c:pt>
                <c:pt idx="92">
                  <c:v>0.59199999999999997</c:v>
                </c:pt>
                <c:pt idx="93">
                  <c:v>0.623</c:v>
                </c:pt>
                <c:pt idx="94">
                  <c:v>0.78</c:v>
                </c:pt>
                <c:pt idx="95">
                  <c:v>0.7</c:v>
                </c:pt>
                <c:pt idx="96">
                  <c:v>0.76900000000000002</c:v>
                </c:pt>
                <c:pt idx="97">
                  <c:v>0.78400000000000003</c:v>
                </c:pt>
                <c:pt idx="98">
                  <c:v>0.81599999999999995</c:v>
                </c:pt>
                <c:pt idx="99">
                  <c:v>0.84</c:v>
                </c:pt>
                <c:pt idx="100">
                  <c:v>0.89100000000000001</c:v>
                </c:pt>
                <c:pt idx="101">
                  <c:v>0.85799999999999998</c:v>
                </c:pt>
                <c:pt idx="102">
                  <c:v>0.88600000000000001</c:v>
                </c:pt>
                <c:pt idx="103">
                  <c:v>0.92500000000000004</c:v>
                </c:pt>
              </c:numCache>
            </c:numRef>
          </c:val>
          <c:smooth val="0"/>
        </c:ser>
        <c:dLbls>
          <c:showLegendKey val="0"/>
          <c:showVal val="0"/>
          <c:showCatName val="0"/>
          <c:showSerName val="0"/>
          <c:showPercent val="0"/>
          <c:showBubbleSize val="0"/>
        </c:dLbls>
        <c:smooth val="0"/>
        <c:axId val="195928080"/>
        <c:axId val="127618864"/>
      </c:lineChart>
      <c:dateAx>
        <c:axId val="195928080"/>
        <c:scaling>
          <c:orientation val="minMax"/>
        </c:scaling>
        <c:delete val="0"/>
        <c:axPos val="b"/>
        <c:numFmt formatCode="[$-41B]mmm\-yy;@" sourceLinked="0"/>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k-SK"/>
          </a:p>
        </c:txPr>
        <c:crossAx val="127618864"/>
        <c:crosses val="autoZero"/>
        <c:auto val="1"/>
        <c:lblOffset val="100"/>
        <c:baseTimeUnit val="days"/>
      </c:dateAx>
      <c:valAx>
        <c:axId val="127618864"/>
        <c:scaling>
          <c:orientation val="minMax"/>
        </c:scaling>
        <c:delete val="0"/>
        <c:axPos val="l"/>
        <c:majorGridlines>
          <c:spPr>
            <a:ln w="9525" cap="flat" cmpd="sng" algn="ctr">
              <a:solidFill>
                <a:schemeClr val="tx1">
                  <a:lumMod val="15000"/>
                  <a:lumOff val="85000"/>
                </a:schemeClr>
              </a:solidFill>
              <a:prstDash val="dash"/>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k-SK"/>
          </a:p>
        </c:txPr>
        <c:crossAx val="1959280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k-SK"/>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sk-SK"/>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8363923536106666E-2"/>
          <c:y val="1.9846502926971526E-2"/>
          <c:w val="0.90567737439899654"/>
          <c:h val="0.84370071627225462"/>
        </c:manualLayout>
      </c:layout>
      <c:lineChart>
        <c:grouping val="standard"/>
        <c:varyColors val="0"/>
        <c:ser>
          <c:idx val="2"/>
          <c:order val="2"/>
          <c:tx>
            <c:strRef>
              <c:f>krivky!$A$10</c:f>
              <c:strCache>
                <c:ptCount val="1"/>
                <c:pt idx="0">
                  <c:v>SVK 29.7.2016</c:v>
                </c:pt>
              </c:strCache>
            </c:strRef>
          </c:tx>
          <c:spPr>
            <a:ln w="19050" cap="rnd">
              <a:solidFill>
                <a:schemeClr val="tx1"/>
              </a:solidFill>
              <a:round/>
            </a:ln>
            <a:effectLst/>
          </c:spPr>
          <c:marker>
            <c:symbol val="none"/>
          </c:marker>
          <c:cat>
            <c:strRef>
              <c:f>krivky!$B$2:$P$2</c:f>
              <c:strCache>
                <c:ptCount val="15"/>
                <c:pt idx="0">
                  <c:v>1Y</c:v>
                </c:pt>
                <c:pt idx="1">
                  <c:v>2Y</c:v>
                </c:pt>
                <c:pt idx="2">
                  <c:v>3Y</c:v>
                </c:pt>
                <c:pt idx="3">
                  <c:v>4Y</c:v>
                </c:pt>
                <c:pt idx="4">
                  <c:v>5Y</c:v>
                </c:pt>
                <c:pt idx="5">
                  <c:v>6Y</c:v>
                </c:pt>
                <c:pt idx="6">
                  <c:v>7Y</c:v>
                </c:pt>
                <c:pt idx="7">
                  <c:v>8Y</c:v>
                </c:pt>
                <c:pt idx="8">
                  <c:v>9Y</c:v>
                </c:pt>
                <c:pt idx="9">
                  <c:v>10Y</c:v>
                </c:pt>
                <c:pt idx="10">
                  <c:v>11Y</c:v>
                </c:pt>
                <c:pt idx="11">
                  <c:v>12Y</c:v>
                </c:pt>
                <c:pt idx="12">
                  <c:v>13Y</c:v>
                </c:pt>
                <c:pt idx="13">
                  <c:v>14Y</c:v>
                </c:pt>
                <c:pt idx="14">
                  <c:v>15Y</c:v>
                </c:pt>
              </c:strCache>
            </c:strRef>
          </c:cat>
          <c:val>
            <c:numRef>
              <c:f>krivky!$B$10:$P$10</c:f>
              <c:numCache>
                <c:formatCode>General</c:formatCode>
                <c:ptCount val="15"/>
                <c:pt idx="0">
                  <c:v>-0.06</c:v>
                </c:pt>
                <c:pt idx="1">
                  <c:v>-0.28999999999999998</c:v>
                </c:pt>
                <c:pt idx="2">
                  <c:v>-0.45</c:v>
                </c:pt>
                <c:pt idx="3">
                  <c:v>-0.47</c:v>
                </c:pt>
                <c:pt idx="4">
                  <c:v>-0.4</c:v>
                </c:pt>
                <c:pt idx="5">
                  <c:v>-0.28000000000000003</c:v>
                </c:pt>
                <c:pt idx="6">
                  <c:v>-0.14000000000000001</c:v>
                </c:pt>
                <c:pt idx="7">
                  <c:v>0.01</c:v>
                </c:pt>
                <c:pt idx="8">
                  <c:v>0.16</c:v>
                </c:pt>
                <c:pt idx="9">
                  <c:v>0.3</c:v>
                </c:pt>
                <c:pt idx="10">
                  <c:v>0.43</c:v>
                </c:pt>
                <c:pt idx="11">
                  <c:v>0.55000000000000004</c:v>
                </c:pt>
                <c:pt idx="12">
                  <c:v>0.65</c:v>
                </c:pt>
                <c:pt idx="13">
                  <c:v>0.75</c:v>
                </c:pt>
                <c:pt idx="14">
                  <c:v>0.84</c:v>
                </c:pt>
              </c:numCache>
            </c:numRef>
          </c:val>
          <c:smooth val="0"/>
        </c:ser>
        <c:ser>
          <c:idx val="0"/>
          <c:order val="3"/>
          <c:tx>
            <c:strRef>
              <c:f>krivky!$A$12</c:f>
              <c:strCache>
                <c:ptCount val="1"/>
                <c:pt idx="0">
                  <c:v>SVK 22.9.2016</c:v>
                </c:pt>
              </c:strCache>
            </c:strRef>
          </c:tx>
          <c:spPr>
            <a:ln w="19050" cap="rnd">
              <a:solidFill>
                <a:schemeClr val="tx1"/>
              </a:solidFill>
              <a:prstDash val="sysDot"/>
              <a:round/>
            </a:ln>
            <a:effectLst/>
          </c:spPr>
          <c:marker>
            <c:symbol val="none"/>
          </c:marker>
          <c:cat>
            <c:strRef>
              <c:f>krivky!$B$2:$P$2</c:f>
              <c:strCache>
                <c:ptCount val="15"/>
                <c:pt idx="0">
                  <c:v>1Y</c:v>
                </c:pt>
                <c:pt idx="1">
                  <c:v>2Y</c:v>
                </c:pt>
                <c:pt idx="2">
                  <c:v>3Y</c:v>
                </c:pt>
                <c:pt idx="3">
                  <c:v>4Y</c:v>
                </c:pt>
                <c:pt idx="4">
                  <c:v>5Y</c:v>
                </c:pt>
                <c:pt idx="5">
                  <c:v>6Y</c:v>
                </c:pt>
                <c:pt idx="6">
                  <c:v>7Y</c:v>
                </c:pt>
                <c:pt idx="7">
                  <c:v>8Y</c:v>
                </c:pt>
                <c:pt idx="8">
                  <c:v>9Y</c:v>
                </c:pt>
                <c:pt idx="9">
                  <c:v>10Y</c:v>
                </c:pt>
                <c:pt idx="10">
                  <c:v>11Y</c:v>
                </c:pt>
                <c:pt idx="11">
                  <c:v>12Y</c:v>
                </c:pt>
                <c:pt idx="12">
                  <c:v>13Y</c:v>
                </c:pt>
                <c:pt idx="13">
                  <c:v>14Y</c:v>
                </c:pt>
                <c:pt idx="14">
                  <c:v>15Y</c:v>
                </c:pt>
              </c:strCache>
            </c:strRef>
          </c:cat>
          <c:val>
            <c:numRef>
              <c:f>krivky!$B$12:$P$12</c:f>
              <c:numCache>
                <c:formatCode>General</c:formatCode>
                <c:ptCount val="15"/>
                <c:pt idx="0">
                  <c:v>-0.02</c:v>
                </c:pt>
                <c:pt idx="1">
                  <c:v>-0.22</c:v>
                </c:pt>
                <c:pt idx="2">
                  <c:v>-0.44</c:v>
                </c:pt>
                <c:pt idx="3">
                  <c:v>-0.53</c:v>
                </c:pt>
                <c:pt idx="4">
                  <c:v>-0.5</c:v>
                </c:pt>
                <c:pt idx="5">
                  <c:v>-0.38</c:v>
                </c:pt>
                <c:pt idx="6">
                  <c:v>-0.22</c:v>
                </c:pt>
                <c:pt idx="7">
                  <c:v>-0.05</c:v>
                </c:pt>
                <c:pt idx="8">
                  <c:v>0.11</c:v>
                </c:pt>
                <c:pt idx="9">
                  <c:v>0.27</c:v>
                </c:pt>
                <c:pt idx="10">
                  <c:v>0.42</c:v>
                </c:pt>
                <c:pt idx="11">
                  <c:v>0.54</c:v>
                </c:pt>
                <c:pt idx="12">
                  <c:v>0.66</c:v>
                </c:pt>
                <c:pt idx="13">
                  <c:v>0.76</c:v>
                </c:pt>
                <c:pt idx="14">
                  <c:v>0.85</c:v>
                </c:pt>
              </c:numCache>
            </c:numRef>
          </c:val>
          <c:smooth val="0"/>
        </c:ser>
        <c:ser>
          <c:idx val="4"/>
          <c:order val="4"/>
          <c:tx>
            <c:strRef>
              <c:f>krivky!#REF!</c:f>
              <c:strCache>
                <c:ptCount val="1"/>
                <c:pt idx="0">
                  <c:v>#REF!</c:v>
                </c:pt>
              </c:strCache>
              <c:extLst xmlns:c15="http://schemas.microsoft.com/office/drawing/2012/chart"/>
            </c:strRef>
          </c:tx>
          <c:spPr>
            <a:ln w="28575" cap="rnd">
              <a:solidFill>
                <a:schemeClr val="accent5"/>
              </a:solidFill>
              <a:round/>
            </a:ln>
            <a:effectLst/>
          </c:spPr>
          <c:marker>
            <c:symbol val="none"/>
          </c:marker>
          <c:val>
            <c:numRef>
              <c:f>krivky!#REF!</c:f>
              <c:numCache>
                <c:formatCode>General</c:formatCode>
                <c:ptCount val="1"/>
                <c:pt idx="0">
                  <c:v>1</c:v>
                </c:pt>
              </c:numCache>
              <c:extLst xmlns:c15="http://schemas.microsoft.com/office/drawing/2012/chart"/>
            </c:numRef>
          </c:val>
          <c:smooth val="0"/>
        </c:ser>
        <c:ser>
          <c:idx val="5"/>
          <c:order val="5"/>
          <c:tx>
            <c:strRef>
              <c:f>krivky!$A$13</c:f>
              <c:strCache>
                <c:ptCount val="1"/>
                <c:pt idx="0">
                  <c:v>DE 29.7.2016</c:v>
                </c:pt>
              </c:strCache>
            </c:strRef>
          </c:tx>
          <c:spPr>
            <a:ln w="19050" cap="rnd">
              <a:solidFill>
                <a:schemeClr val="bg1">
                  <a:lumMod val="50000"/>
                </a:schemeClr>
              </a:solidFill>
              <a:round/>
            </a:ln>
            <a:effectLst/>
          </c:spPr>
          <c:marker>
            <c:symbol val="none"/>
          </c:marker>
          <c:val>
            <c:numRef>
              <c:f>krivky!$B$13:$P$13</c:f>
              <c:numCache>
                <c:formatCode>General</c:formatCode>
                <c:ptCount val="15"/>
                <c:pt idx="0">
                  <c:v>-0.61</c:v>
                </c:pt>
                <c:pt idx="1">
                  <c:v>-0.64</c:v>
                </c:pt>
                <c:pt idx="2">
                  <c:v>-0.64</c:v>
                </c:pt>
                <c:pt idx="3">
                  <c:v>-0.61</c:v>
                </c:pt>
                <c:pt idx="4">
                  <c:v>-0.54</c:v>
                </c:pt>
                <c:pt idx="5">
                  <c:v>-0.47</c:v>
                </c:pt>
                <c:pt idx="6">
                  <c:v>-0.39</c:v>
                </c:pt>
                <c:pt idx="7">
                  <c:v>-0.3</c:v>
                </c:pt>
                <c:pt idx="8">
                  <c:v>-0.22</c:v>
                </c:pt>
                <c:pt idx="9">
                  <c:v>-0.15</c:v>
                </c:pt>
                <c:pt idx="10">
                  <c:v>-0.08</c:v>
                </c:pt>
                <c:pt idx="11">
                  <c:v>-0.02</c:v>
                </c:pt>
                <c:pt idx="12">
                  <c:v>0.03</c:v>
                </c:pt>
                <c:pt idx="13">
                  <c:v>0.08</c:v>
                </c:pt>
                <c:pt idx="14">
                  <c:v>0.12</c:v>
                </c:pt>
              </c:numCache>
            </c:numRef>
          </c:val>
          <c:smooth val="0"/>
        </c:ser>
        <c:ser>
          <c:idx val="6"/>
          <c:order val="6"/>
          <c:tx>
            <c:strRef>
              <c:f>krivky!$A$15</c:f>
              <c:strCache>
                <c:ptCount val="1"/>
                <c:pt idx="0">
                  <c:v>DE 22.8.2016</c:v>
                </c:pt>
              </c:strCache>
            </c:strRef>
          </c:tx>
          <c:spPr>
            <a:ln w="19050" cap="rnd">
              <a:solidFill>
                <a:schemeClr val="bg1">
                  <a:lumMod val="50000"/>
                </a:schemeClr>
              </a:solidFill>
              <a:prstDash val="sysDot"/>
              <a:round/>
            </a:ln>
            <a:effectLst/>
          </c:spPr>
          <c:marker>
            <c:symbol val="none"/>
          </c:marker>
          <c:val>
            <c:numRef>
              <c:f>krivky!$B$15:$P$15</c:f>
              <c:numCache>
                <c:formatCode>General</c:formatCode>
                <c:ptCount val="15"/>
                <c:pt idx="0">
                  <c:v>-0.67</c:v>
                </c:pt>
                <c:pt idx="1">
                  <c:v>-0.68</c:v>
                </c:pt>
                <c:pt idx="2">
                  <c:v>-0.67</c:v>
                </c:pt>
                <c:pt idx="3">
                  <c:v>-0.63</c:v>
                </c:pt>
                <c:pt idx="4">
                  <c:v>-0.56000000000000005</c:v>
                </c:pt>
                <c:pt idx="5">
                  <c:v>-0.48</c:v>
                </c:pt>
                <c:pt idx="6">
                  <c:v>-0.38</c:v>
                </c:pt>
                <c:pt idx="7">
                  <c:v>-0.28000000000000003</c:v>
                </c:pt>
                <c:pt idx="8">
                  <c:v>-0.19</c:v>
                </c:pt>
                <c:pt idx="9">
                  <c:v>-0.1</c:v>
                </c:pt>
                <c:pt idx="10">
                  <c:v>-0.02</c:v>
                </c:pt>
                <c:pt idx="11">
                  <c:v>0.05</c:v>
                </c:pt>
                <c:pt idx="12">
                  <c:v>0.11</c:v>
                </c:pt>
                <c:pt idx="13">
                  <c:v>0.17</c:v>
                </c:pt>
                <c:pt idx="14">
                  <c:v>0.22</c:v>
                </c:pt>
              </c:numCache>
            </c:numRef>
          </c:val>
          <c:smooth val="0"/>
        </c:ser>
        <c:dLbls>
          <c:showLegendKey val="0"/>
          <c:showVal val="0"/>
          <c:showCatName val="0"/>
          <c:showSerName val="0"/>
          <c:showPercent val="0"/>
          <c:showBubbleSize val="0"/>
        </c:dLbls>
        <c:smooth val="0"/>
        <c:axId val="127620040"/>
        <c:axId val="127620432"/>
        <c:extLst>
          <c:ext xmlns:c15="http://schemas.microsoft.com/office/drawing/2012/chart" uri="{02D57815-91ED-43cb-92C2-25804820EDAC}">
            <c15:filteredLineSeries>
              <c15:ser>
                <c:idx val="3"/>
                <c:order val="0"/>
                <c:tx>
                  <c:strRef>
                    <c:extLst>
                      <c:ext uri="{02D57815-91ED-43cb-92C2-25804820EDAC}">
                        <c15:formulaRef>
                          <c15:sqref>krivky!$A$3</c15:sqref>
                        </c15:formulaRef>
                      </c:ext>
                    </c:extLst>
                    <c:strCache>
                      <c:ptCount val="1"/>
                      <c:pt idx="0">
                        <c:v>SVK 31.3.2015</c:v>
                      </c:pt>
                    </c:strCache>
                  </c:strRef>
                </c:tx>
                <c:spPr>
                  <a:ln w="19050" cap="rnd">
                    <a:solidFill>
                      <a:schemeClr val="tx1">
                        <a:lumMod val="95000"/>
                        <a:lumOff val="5000"/>
                      </a:schemeClr>
                    </a:solidFill>
                    <a:prstDash val="sysDot"/>
                    <a:round/>
                  </a:ln>
                  <a:effectLst/>
                </c:spPr>
                <c:marker>
                  <c:symbol val="none"/>
                </c:marker>
                <c:cat>
                  <c:strRef>
                    <c:extLst>
                      <c:ext uri="{02D57815-91ED-43cb-92C2-25804820EDAC}">
                        <c15:formulaRef>
                          <c15:sqref>krivky!$B$2:$P$2</c15:sqref>
                        </c15:formulaRef>
                      </c:ext>
                    </c:extLst>
                    <c:strCache>
                      <c:ptCount val="15"/>
                      <c:pt idx="0">
                        <c:v>1Y</c:v>
                      </c:pt>
                      <c:pt idx="1">
                        <c:v>2Y</c:v>
                      </c:pt>
                      <c:pt idx="2">
                        <c:v>3Y</c:v>
                      </c:pt>
                      <c:pt idx="3">
                        <c:v>4Y</c:v>
                      </c:pt>
                      <c:pt idx="4">
                        <c:v>5Y</c:v>
                      </c:pt>
                      <c:pt idx="5">
                        <c:v>6Y</c:v>
                      </c:pt>
                      <c:pt idx="6">
                        <c:v>7Y</c:v>
                      </c:pt>
                      <c:pt idx="7">
                        <c:v>8Y</c:v>
                      </c:pt>
                      <c:pt idx="8">
                        <c:v>9Y</c:v>
                      </c:pt>
                      <c:pt idx="9">
                        <c:v>10Y</c:v>
                      </c:pt>
                      <c:pt idx="10">
                        <c:v>11Y</c:v>
                      </c:pt>
                      <c:pt idx="11">
                        <c:v>12Y</c:v>
                      </c:pt>
                      <c:pt idx="12">
                        <c:v>13Y</c:v>
                      </c:pt>
                      <c:pt idx="13">
                        <c:v>14Y</c:v>
                      </c:pt>
                      <c:pt idx="14">
                        <c:v>15Y</c:v>
                      </c:pt>
                    </c:strCache>
                  </c:strRef>
                </c:cat>
                <c:val>
                  <c:numRef>
                    <c:extLst>
                      <c:ext uri="{02D57815-91ED-43cb-92C2-25804820EDAC}">
                        <c15:formulaRef>
                          <c15:sqref>krivky!$B$3:$P$3</c15:sqref>
                        </c15:formulaRef>
                      </c:ext>
                    </c:extLst>
                    <c:numCache>
                      <c:formatCode>General</c:formatCode>
                      <c:ptCount val="15"/>
                      <c:pt idx="0">
                        <c:v>-0.04</c:v>
                      </c:pt>
                      <c:pt idx="1">
                        <c:v>0.02</c:v>
                      </c:pt>
                      <c:pt idx="2">
                        <c:v>0.02</c:v>
                      </c:pt>
                      <c:pt idx="3">
                        <c:v>0.03</c:v>
                      </c:pt>
                      <c:pt idx="4">
                        <c:v>0.06</c:v>
                      </c:pt>
                      <c:pt idx="5">
                        <c:v>0.12</c:v>
                      </c:pt>
                      <c:pt idx="6">
                        <c:v>0.19</c:v>
                      </c:pt>
                      <c:pt idx="7">
                        <c:v>0.28999999999999998</c:v>
                      </c:pt>
                      <c:pt idx="8">
                        <c:v>0.39</c:v>
                      </c:pt>
                      <c:pt idx="9">
                        <c:v>0.5</c:v>
                      </c:pt>
                      <c:pt idx="10">
                        <c:v>0.61</c:v>
                      </c:pt>
                      <c:pt idx="11">
                        <c:v>0.71</c:v>
                      </c:pt>
                      <c:pt idx="12">
                        <c:v>0.81</c:v>
                      </c:pt>
                      <c:pt idx="13">
                        <c:v>0.91</c:v>
                      </c:pt>
                      <c:pt idx="14">
                        <c:v>1</c:v>
                      </c:pt>
                    </c:numCache>
                  </c:numRef>
                </c:val>
                <c:smooth val="0"/>
              </c15:ser>
            </c15:filteredLineSeries>
            <c15:filteredLineSeries>
              <c15:ser>
                <c:idx val="1"/>
                <c:order val="1"/>
                <c:tx>
                  <c:strRef>
                    <c:extLst xmlns:c15="http://schemas.microsoft.com/office/drawing/2012/chart">
                      <c:ext xmlns:c15="http://schemas.microsoft.com/office/drawing/2012/chart" uri="{02D57815-91ED-43cb-92C2-25804820EDAC}">
                        <c15:formulaRef>
                          <c15:sqref>krivky!$A$10</c15:sqref>
                        </c15:formulaRef>
                      </c:ext>
                    </c:extLst>
                    <c:strCache>
                      <c:ptCount val="1"/>
                      <c:pt idx="0">
                        <c:v>SVK 29.7.2016</c:v>
                      </c:pt>
                    </c:strCache>
                  </c:strRef>
                </c:tx>
                <c:spPr>
                  <a:ln w="19050" cap="rnd">
                    <a:solidFill>
                      <a:schemeClr val="tx1"/>
                    </a:solidFill>
                    <a:round/>
                  </a:ln>
                  <a:effectLst/>
                </c:spPr>
                <c:marker>
                  <c:symbol val="none"/>
                </c:marker>
                <c:cat>
                  <c:strRef>
                    <c:extLst xmlns:c15="http://schemas.microsoft.com/office/drawing/2012/chart">
                      <c:ext xmlns:c15="http://schemas.microsoft.com/office/drawing/2012/chart" uri="{02D57815-91ED-43cb-92C2-25804820EDAC}">
                        <c15:formulaRef>
                          <c15:sqref>krivky!$B$2:$P$2</c15:sqref>
                        </c15:formulaRef>
                      </c:ext>
                    </c:extLst>
                    <c:strCache>
                      <c:ptCount val="15"/>
                      <c:pt idx="0">
                        <c:v>1Y</c:v>
                      </c:pt>
                      <c:pt idx="1">
                        <c:v>2Y</c:v>
                      </c:pt>
                      <c:pt idx="2">
                        <c:v>3Y</c:v>
                      </c:pt>
                      <c:pt idx="3">
                        <c:v>4Y</c:v>
                      </c:pt>
                      <c:pt idx="4">
                        <c:v>5Y</c:v>
                      </c:pt>
                      <c:pt idx="5">
                        <c:v>6Y</c:v>
                      </c:pt>
                      <c:pt idx="6">
                        <c:v>7Y</c:v>
                      </c:pt>
                      <c:pt idx="7">
                        <c:v>8Y</c:v>
                      </c:pt>
                      <c:pt idx="8">
                        <c:v>9Y</c:v>
                      </c:pt>
                      <c:pt idx="9">
                        <c:v>10Y</c:v>
                      </c:pt>
                      <c:pt idx="10">
                        <c:v>11Y</c:v>
                      </c:pt>
                      <c:pt idx="11">
                        <c:v>12Y</c:v>
                      </c:pt>
                      <c:pt idx="12">
                        <c:v>13Y</c:v>
                      </c:pt>
                      <c:pt idx="13">
                        <c:v>14Y</c:v>
                      </c:pt>
                      <c:pt idx="14">
                        <c:v>15Y</c:v>
                      </c:pt>
                    </c:strCache>
                  </c:strRef>
                </c:cat>
                <c:val>
                  <c:numRef>
                    <c:extLst xmlns:c15="http://schemas.microsoft.com/office/drawing/2012/chart">
                      <c:ext xmlns:c15="http://schemas.microsoft.com/office/drawing/2012/chart" uri="{02D57815-91ED-43cb-92C2-25804820EDAC}">
                        <c15:formulaRef>
                          <c15:sqref>krivky!$B$10:$P$10</c15:sqref>
                        </c15:formulaRef>
                      </c:ext>
                    </c:extLst>
                    <c:numCache>
                      <c:formatCode>General</c:formatCode>
                      <c:ptCount val="15"/>
                      <c:pt idx="0">
                        <c:v>-0.06</c:v>
                      </c:pt>
                      <c:pt idx="1">
                        <c:v>-0.28999999999999998</c:v>
                      </c:pt>
                      <c:pt idx="2">
                        <c:v>-0.45</c:v>
                      </c:pt>
                      <c:pt idx="3">
                        <c:v>-0.47</c:v>
                      </c:pt>
                      <c:pt idx="4">
                        <c:v>-0.4</c:v>
                      </c:pt>
                      <c:pt idx="5">
                        <c:v>-0.28000000000000003</c:v>
                      </c:pt>
                      <c:pt idx="6">
                        <c:v>-0.14000000000000001</c:v>
                      </c:pt>
                      <c:pt idx="7">
                        <c:v>0.01</c:v>
                      </c:pt>
                      <c:pt idx="8">
                        <c:v>0.16</c:v>
                      </c:pt>
                      <c:pt idx="9">
                        <c:v>0.3</c:v>
                      </c:pt>
                      <c:pt idx="10">
                        <c:v>0.43</c:v>
                      </c:pt>
                      <c:pt idx="11">
                        <c:v>0.55000000000000004</c:v>
                      </c:pt>
                      <c:pt idx="12">
                        <c:v>0.65</c:v>
                      </c:pt>
                      <c:pt idx="13">
                        <c:v>0.75</c:v>
                      </c:pt>
                      <c:pt idx="14">
                        <c:v>0.84</c:v>
                      </c:pt>
                    </c:numCache>
                  </c:numRef>
                </c:val>
                <c:smooth val="0"/>
              </c15:ser>
            </c15:filteredLineSeries>
            <c15:filteredLineSeries>
              <c15:ser>
                <c:idx val="7"/>
                <c:order val="7"/>
                <c:tx>
                  <c:strRef>
                    <c:extLst xmlns:c15="http://schemas.microsoft.com/office/drawing/2012/chart">
                      <c:ext xmlns:c15="http://schemas.microsoft.com/office/drawing/2012/chart" uri="{02D57815-91ED-43cb-92C2-25804820EDAC}">
                        <c15:formulaRef>
                          <c15:sqref>krivky!$A$16</c15:sqref>
                        </c15:formulaRef>
                      </c:ext>
                    </c:extLst>
                    <c:strCache>
                      <c:ptCount val="1"/>
                      <c:pt idx="0">
                        <c:v>BG 31.8.2016*</c:v>
                      </c:pt>
                    </c:strCache>
                  </c:strRef>
                </c:tx>
                <c:spPr>
                  <a:ln w="19050" cap="rnd">
                    <a:solidFill>
                      <a:schemeClr val="accent1">
                        <a:lumMod val="75000"/>
                      </a:schemeClr>
                    </a:solidFill>
                    <a:prstDash val="sysDash"/>
                    <a:round/>
                  </a:ln>
                  <a:effectLst/>
                </c:spPr>
                <c:marker>
                  <c:symbol val="none"/>
                </c:marker>
                <c:val>
                  <c:numRef>
                    <c:extLst xmlns:c15="http://schemas.microsoft.com/office/drawing/2012/chart">
                      <c:ext xmlns:c15="http://schemas.microsoft.com/office/drawing/2012/chart" uri="{02D57815-91ED-43cb-92C2-25804820EDAC}">
                        <c15:formulaRef>
                          <c15:sqref>krivky!$B$16:$P$16</c15:sqref>
                        </c15:formulaRef>
                      </c:ext>
                    </c:extLst>
                    <c:numCache>
                      <c:formatCode>General</c:formatCode>
                      <c:ptCount val="15"/>
                      <c:pt idx="0">
                        <c:v>-0.58699999999999997</c:v>
                      </c:pt>
                      <c:pt idx="1">
                        <c:v>-0.59399999999999997</c:v>
                      </c:pt>
                      <c:pt idx="2">
                        <c:v>-0.55500000000000005</c:v>
                      </c:pt>
                      <c:pt idx="3">
                        <c:v>-0.51100000000000001</c:v>
                      </c:pt>
                      <c:pt idx="4">
                        <c:v>-0.43099999999999999</c:v>
                      </c:pt>
                      <c:pt idx="5">
                        <c:v>-0.372</c:v>
                      </c:pt>
                      <c:pt idx="6">
                        <c:v>-0.28399999999999997</c:v>
                      </c:pt>
                      <c:pt idx="7">
                        <c:v>-0.126</c:v>
                      </c:pt>
                      <c:pt idx="8">
                        <c:v>2.7E-2</c:v>
                      </c:pt>
                      <c:pt idx="9">
                        <c:v>0.17299999999999999</c:v>
                      </c:pt>
                      <c:pt idx="13">
                        <c:v>0.5</c:v>
                      </c:pt>
                      <c:pt idx="14">
                        <c:v>0.52500000000000002</c:v>
                      </c:pt>
                    </c:numCache>
                  </c:numRef>
                </c:val>
                <c:smooth val="0"/>
              </c15:ser>
            </c15:filteredLineSeries>
            <c15:filteredLineSeries>
              <c15:ser>
                <c:idx val="8"/>
                <c:order val="8"/>
                <c:tx>
                  <c:strRef>
                    <c:extLst xmlns:c15="http://schemas.microsoft.com/office/drawing/2012/chart">
                      <c:ext xmlns:c15="http://schemas.microsoft.com/office/drawing/2012/chart" uri="{02D57815-91ED-43cb-92C2-25804820EDAC}">
                        <c15:formulaRef>
                          <c15:sqref>krivky!$A$17</c15:sqref>
                        </c15:formulaRef>
                      </c:ext>
                    </c:extLst>
                    <c:strCache>
                      <c:ptCount val="1"/>
                      <c:pt idx="0">
                        <c:v>BG 22.9.2016*</c:v>
                      </c:pt>
                    </c:strCache>
                  </c:strRef>
                </c:tx>
                <c:spPr>
                  <a:ln w="19050" cap="rnd">
                    <a:solidFill>
                      <a:schemeClr val="accent1">
                        <a:lumMod val="75000"/>
                      </a:schemeClr>
                    </a:solidFill>
                    <a:prstDash val="sysDot"/>
                    <a:round/>
                  </a:ln>
                  <a:effectLst/>
                </c:spPr>
                <c:marker>
                  <c:symbol val="none"/>
                </c:marker>
                <c:val>
                  <c:numRef>
                    <c:extLst xmlns:c15="http://schemas.microsoft.com/office/drawing/2012/chart">
                      <c:ext xmlns:c15="http://schemas.microsoft.com/office/drawing/2012/chart" uri="{02D57815-91ED-43cb-92C2-25804820EDAC}">
                        <c15:formulaRef>
                          <c15:sqref>krivky!$B$17:$P$17</c15:sqref>
                        </c15:formulaRef>
                      </c:ext>
                    </c:extLst>
                    <c:numCache>
                      <c:formatCode>General</c:formatCode>
                      <c:ptCount val="15"/>
                      <c:pt idx="0">
                        <c:v>-0.60599999999999998</c:v>
                      </c:pt>
                      <c:pt idx="1">
                        <c:v>-0.62</c:v>
                      </c:pt>
                      <c:pt idx="2">
                        <c:v>-0.56200000000000006</c:v>
                      </c:pt>
                      <c:pt idx="3">
                        <c:v>-0.54600000000000004</c:v>
                      </c:pt>
                      <c:pt idx="4">
                        <c:v>-0.46800000000000003</c:v>
                      </c:pt>
                      <c:pt idx="5">
                        <c:v>-0.41499999999999998</c:v>
                      </c:pt>
                      <c:pt idx="6">
                        <c:v>-0.32700000000000001</c:v>
                      </c:pt>
                      <c:pt idx="7">
                        <c:v>-0.17199999999999999</c:v>
                      </c:pt>
                      <c:pt idx="8">
                        <c:v>-1.2999999999999999E-2</c:v>
                      </c:pt>
                      <c:pt idx="9">
                        <c:v>0.126</c:v>
                      </c:pt>
                      <c:pt idx="13">
                        <c:v>0.47</c:v>
                      </c:pt>
                      <c:pt idx="14">
                        <c:v>0.497</c:v>
                      </c:pt>
                    </c:numCache>
                  </c:numRef>
                </c:val>
                <c:smooth val="0"/>
              </c15:ser>
            </c15:filteredLineSeries>
          </c:ext>
        </c:extLst>
      </c:lineChart>
      <c:catAx>
        <c:axId val="127620040"/>
        <c:scaling>
          <c:orientation val="minMax"/>
        </c:scaling>
        <c:delete val="0"/>
        <c:axPos val="b"/>
        <c:numFmt formatCode="General" sourceLinked="1"/>
        <c:majorTickMark val="none"/>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k-SK"/>
          </a:p>
        </c:txPr>
        <c:crossAx val="127620432"/>
        <c:crosses val="autoZero"/>
        <c:auto val="1"/>
        <c:lblAlgn val="ctr"/>
        <c:lblOffset val="100"/>
        <c:noMultiLvlLbl val="0"/>
      </c:catAx>
      <c:valAx>
        <c:axId val="127620432"/>
        <c:scaling>
          <c:orientation val="minMax"/>
          <c:max val="1"/>
          <c:min val="-0.8"/>
        </c:scaling>
        <c:delete val="0"/>
        <c:axPos val="l"/>
        <c:majorGridlines>
          <c:spPr>
            <a:ln w="9525" cap="flat" cmpd="sng" algn="ctr">
              <a:solidFill>
                <a:schemeClr val="tx1">
                  <a:lumMod val="15000"/>
                  <a:lumOff val="85000"/>
                </a:schemeClr>
              </a:solidFill>
              <a:prstDash val="dash"/>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k-SK"/>
          </a:p>
        </c:txPr>
        <c:crossAx val="127620040"/>
        <c:crosses val="autoZero"/>
        <c:crossBetween val="between"/>
        <c:majorUnit val="0.2"/>
      </c:valAx>
      <c:spPr>
        <a:noFill/>
        <a:ln>
          <a:noFill/>
        </a:ln>
        <a:effectLst/>
      </c:spPr>
    </c:plotArea>
    <c:legend>
      <c:legendPos val="t"/>
      <c:legendEntry>
        <c:idx val="2"/>
        <c:delete val="1"/>
      </c:legendEntry>
      <c:layout>
        <c:manualLayout>
          <c:xMode val="edge"/>
          <c:yMode val="edge"/>
          <c:x val="0.13250985136291929"/>
          <c:y val="1.8066847335140017E-2"/>
          <c:w val="0.58415504665690365"/>
          <c:h val="0.2432745526581040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k-SK"/>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sk-SK"/>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6688350559050928E-2"/>
          <c:y val="2.4404562042357317E-2"/>
          <c:w val="0.83930912942102331"/>
          <c:h val="0.82659541431194972"/>
        </c:manualLayout>
      </c:layout>
      <c:barChart>
        <c:barDir val="col"/>
        <c:grouping val="clustered"/>
        <c:varyColors val="0"/>
        <c:ser>
          <c:idx val="0"/>
          <c:order val="0"/>
          <c:tx>
            <c:strRef>
              <c:f>JF!$B$2</c:f>
              <c:strCache>
                <c:ptCount val="1"/>
                <c:pt idx="0">
                  <c:v>Celkový dopyt (ľavá os)</c:v>
                </c:pt>
              </c:strCache>
            </c:strRef>
          </c:tx>
          <c:spPr>
            <a:solidFill>
              <a:schemeClr val="bg1">
                <a:lumMod val="75000"/>
              </a:schemeClr>
            </a:solidFill>
            <a:ln w="25400">
              <a:noFill/>
            </a:ln>
          </c:spPr>
          <c:invertIfNegative val="0"/>
          <c:cat>
            <c:strRef>
              <c:f>JF!$A$14:$A$26</c:f>
              <c:strCach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2016Q3</c:v>
                </c:pt>
              </c:strCache>
            </c:strRef>
          </c:cat>
          <c:val>
            <c:numRef>
              <c:f>JF!$B$14:$B$26</c:f>
              <c:numCache>
                <c:formatCode>#,##0_ ;[Red]\-#,##0\ </c:formatCode>
                <c:ptCount val="13"/>
                <c:pt idx="0">
                  <c:v>9810.5374394210976</c:v>
                </c:pt>
                <c:pt idx="1">
                  <c:v>6168.1271990971254</c:v>
                </c:pt>
                <c:pt idx="2">
                  <c:v>4338.4584863573</c:v>
                </c:pt>
                <c:pt idx="3">
                  <c:v>9460.7629516032666</c:v>
                </c:pt>
                <c:pt idx="4">
                  <c:v>3380.8338312421165</c:v>
                </c:pt>
                <c:pt idx="5">
                  <c:v>15133.754010000001</c:v>
                </c:pt>
                <c:pt idx="6">
                  <c:v>14576.419808000001</c:v>
                </c:pt>
                <c:pt idx="7">
                  <c:v>7836.6130000000003</c:v>
                </c:pt>
                <c:pt idx="8">
                  <c:v>11920.974807000001</c:v>
                </c:pt>
                <c:pt idx="9">
                  <c:v>12247.06</c:v>
                </c:pt>
                <c:pt idx="10">
                  <c:v>9764.9673629999998</c:v>
                </c:pt>
                <c:pt idx="11">
                  <c:v>9375.4</c:v>
                </c:pt>
                <c:pt idx="12">
                  <c:v>6056</c:v>
                </c:pt>
              </c:numCache>
            </c:numRef>
          </c:val>
        </c:ser>
        <c:ser>
          <c:idx val="1"/>
          <c:order val="1"/>
          <c:tx>
            <c:strRef>
              <c:f>JF!$C$2</c:f>
              <c:strCache>
                <c:ptCount val="1"/>
                <c:pt idx="0">
                  <c:v>Akceptovaný dopyt (ľavá os)</c:v>
                </c:pt>
              </c:strCache>
            </c:strRef>
          </c:tx>
          <c:spPr>
            <a:solidFill>
              <a:schemeClr val="bg1">
                <a:lumMod val="50000"/>
              </a:schemeClr>
            </a:solidFill>
            <a:ln w="25400">
              <a:noFill/>
            </a:ln>
          </c:spPr>
          <c:invertIfNegative val="0"/>
          <c:cat>
            <c:strRef>
              <c:f>JF!$A$14:$A$26</c:f>
              <c:strCach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2016Q3</c:v>
                </c:pt>
              </c:strCache>
            </c:strRef>
          </c:cat>
          <c:val>
            <c:numRef>
              <c:f>JF!$C$14:$C$26</c:f>
              <c:numCache>
                <c:formatCode>#,##0_ ;[Red]\-#,##0\ </c:formatCode>
                <c:ptCount val="13"/>
                <c:pt idx="0">
                  <c:v>4352.2206731726737</c:v>
                </c:pt>
                <c:pt idx="1">
                  <c:v>2230.4985726614887</c:v>
                </c:pt>
                <c:pt idx="2">
                  <c:v>2101.9385248622452</c:v>
                </c:pt>
                <c:pt idx="3">
                  <c:v>3385.514173803359</c:v>
                </c:pt>
                <c:pt idx="4">
                  <c:v>1745.7013875058087</c:v>
                </c:pt>
                <c:pt idx="5">
                  <c:v>6208.1957439999996</c:v>
                </c:pt>
                <c:pt idx="6">
                  <c:v>7044.463358</c:v>
                </c:pt>
                <c:pt idx="7">
                  <c:v>4662.1570000000002</c:v>
                </c:pt>
                <c:pt idx="8">
                  <c:v>7363.0898070000003</c:v>
                </c:pt>
                <c:pt idx="9">
                  <c:v>7280.76</c:v>
                </c:pt>
                <c:pt idx="10">
                  <c:v>4330.0673619999998</c:v>
                </c:pt>
                <c:pt idx="11">
                  <c:v>3213.4</c:v>
                </c:pt>
                <c:pt idx="12">
                  <c:v>4136</c:v>
                </c:pt>
              </c:numCache>
            </c:numRef>
          </c:val>
        </c:ser>
        <c:dLbls>
          <c:showLegendKey val="0"/>
          <c:showVal val="0"/>
          <c:showCatName val="0"/>
          <c:showSerName val="0"/>
          <c:showPercent val="0"/>
          <c:showBubbleSize val="0"/>
        </c:dLbls>
        <c:gapWidth val="40"/>
        <c:overlap val="100"/>
        <c:axId val="124129720"/>
        <c:axId val="124130112"/>
      </c:barChart>
      <c:lineChart>
        <c:grouping val="standard"/>
        <c:varyColors val="0"/>
        <c:ser>
          <c:idx val="2"/>
          <c:order val="2"/>
          <c:tx>
            <c:strRef>
              <c:f>JF!$D$2</c:f>
              <c:strCache>
                <c:ptCount val="1"/>
                <c:pt idx="0">
                  <c:v>Priemerná úroková sadzba (pravá os)</c:v>
                </c:pt>
              </c:strCache>
            </c:strRef>
          </c:tx>
          <c:spPr>
            <a:ln w="25400">
              <a:solidFill>
                <a:schemeClr val="tx1"/>
              </a:solidFill>
              <a:prstDash val="solid"/>
            </a:ln>
          </c:spPr>
          <c:marker>
            <c:symbol val="none"/>
          </c:marker>
          <c:cat>
            <c:strRef>
              <c:f>JF!$A$14:$A$26</c:f>
              <c:strCach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2016Q3</c:v>
                </c:pt>
              </c:strCache>
            </c:strRef>
          </c:cat>
          <c:val>
            <c:numRef>
              <c:f>JF!$D$14:$D$26</c:f>
              <c:numCache>
                <c:formatCode>0.000</c:formatCode>
                <c:ptCount val="13"/>
                <c:pt idx="0">
                  <c:v>4.8112000000000004</c:v>
                </c:pt>
                <c:pt idx="1">
                  <c:v>2.952</c:v>
                </c:pt>
                <c:pt idx="2">
                  <c:v>4.0642803000000001</c:v>
                </c:pt>
                <c:pt idx="3">
                  <c:v>4.1603000000000003</c:v>
                </c:pt>
                <c:pt idx="4">
                  <c:v>4.6492000000000004</c:v>
                </c:pt>
                <c:pt idx="5">
                  <c:v>3.8026399218123998</c:v>
                </c:pt>
                <c:pt idx="6">
                  <c:v>3.2674731624524598</c:v>
                </c:pt>
                <c:pt idx="7">
                  <c:v>3.3855999999999997</c:v>
                </c:pt>
                <c:pt idx="8">
                  <c:v>3.8506999999999998</c:v>
                </c:pt>
                <c:pt idx="9">
                  <c:v>2.9842</c:v>
                </c:pt>
                <c:pt idx="10">
                  <c:v>2.6774</c:v>
                </c:pt>
                <c:pt idx="11">
                  <c:v>0.93969999999999998</c:v>
                </c:pt>
                <c:pt idx="12">
                  <c:v>0.69179999999999997</c:v>
                </c:pt>
              </c:numCache>
            </c:numRef>
          </c:val>
          <c:smooth val="0"/>
        </c:ser>
        <c:dLbls>
          <c:showLegendKey val="0"/>
          <c:showVal val="0"/>
          <c:showCatName val="0"/>
          <c:showSerName val="0"/>
          <c:showPercent val="0"/>
          <c:showBubbleSize val="0"/>
        </c:dLbls>
        <c:marker val="1"/>
        <c:smooth val="0"/>
        <c:axId val="124130504"/>
        <c:axId val="124130896"/>
      </c:lineChart>
      <c:catAx>
        <c:axId val="124129720"/>
        <c:scaling>
          <c:orientation val="minMax"/>
        </c:scaling>
        <c:delete val="0"/>
        <c:axPos val="b"/>
        <c:numFmt formatCode="General" sourceLinked="0"/>
        <c:majorTickMark val="none"/>
        <c:minorTickMark val="none"/>
        <c:tickLblPos val="low"/>
        <c:spPr>
          <a:ln w="9525">
            <a:noFill/>
          </a:ln>
        </c:spPr>
        <c:txPr>
          <a:bodyPr rot="0" vert="horz"/>
          <a:lstStyle/>
          <a:p>
            <a:pPr>
              <a:defRPr sz="900" b="0" i="0" u="none" strike="noStrike" baseline="0">
                <a:solidFill>
                  <a:srgbClr val="000000"/>
                </a:solidFill>
                <a:latin typeface="Arial Narrow" pitchFamily="34" charset="0"/>
                <a:ea typeface="Arial"/>
                <a:cs typeface="Arial"/>
              </a:defRPr>
            </a:pPr>
            <a:endParaRPr lang="sk-SK"/>
          </a:p>
        </c:txPr>
        <c:crossAx val="124130112"/>
        <c:crosses val="autoZero"/>
        <c:auto val="1"/>
        <c:lblAlgn val="ctr"/>
        <c:lblOffset val="100"/>
        <c:tickLblSkip val="1"/>
        <c:tickMarkSkip val="1"/>
        <c:noMultiLvlLbl val="1"/>
      </c:catAx>
      <c:valAx>
        <c:axId val="124130112"/>
        <c:scaling>
          <c:orientation val="minMax"/>
        </c:scaling>
        <c:delete val="0"/>
        <c:axPos val="l"/>
        <c:majorGridlines>
          <c:spPr>
            <a:ln>
              <a:solidFill>
                <a:schemeClr val="bg1">
                  <a:lumMod val="50000"/>
                </a:schemeClr>
              </a:solidFill>
              <a:prstDash val="dash"/>
            </a:ln>
          </c:spPr>
        </c:majorGridlines>
        <c:title>
          <c:tx>
            <c:rich>
              <a:bodyPr rot="-5400000" vert="horz"/>
              <a:lstStyle/>
              <a:p>
                <a:pPr>
                  <a:defRPr sz="1000">
                    <a:latin typeface="Arial Narrow" panose="020B0606020202030204" pitchFamily="34" charset="0"/>
                  </a:defRPr>
                </a:pPr>
                <a:r>
                  <a:rPr lang="sk-SK" sz="1000">
                    <a:latin typeface="Arial Narrow" panose="020B0606020202030204" pitchFamily="34" charset="0"/>
                  </a:rPr>
                  <a:t>Menovitá</a:t>
                </a:r>
                <a:r>
                  <a:rPr lang="sk-SK" sz="1000" baseline="0">
                    <a:latin typeface="Arial Narrow" panose="020B0606020202030204" pitchFamily="34" charset="0"/>
                  </a:rPr>
                  <a:t> hodnota </a:t>
                </a:r>
                <a:r>
                  <a:rPr lang="en-US" sz="1000" baseline="0">
                    <a:latin typeface="Arial Narrow" panose="020B0606020202030204" pitchFamily="34" charset="0"/>
                  </a:rPr>
                  <a:t>[miliard EUR]</a:t>
                </a:r>
                <a:endParaRPr lang="en-GB" sz="1000">
                  <a:latin typeface="Arial Narrow" panose="020B0606020202030204" pitchFamily="34" charset="0"/>
                </a:endParaRPr>
              </a:p>
            </c:rich>
          </c:tx>
          <c:layout>
            <c:manualLayout>
              <c:xMode val="edge"/>
              <c:yMode val="edge"/>
              <c:x val="5.1463662735937912E-3"/>
              <c:y val="0.18682115186052195"/>
            </c:manualLayout>
          </c:layout>
          <c:overlay val="0"/>
        </c:title>
        <c:numFmt formatCode="#\ ##0" sourceLinked="0"/>
        <c:majorTickMark val="none"/>
        <c:minorTickMark val="none"/>
        <c:tickLblPos val="nextTo"/>
        <c:spPr>
          <a:ln w="9525">
            <a:noFill/>
          </a:ln>
        </c:spPr>
        <c:txPr>
          <a:bodyPr rot="0" vert="horz"/>
          <a:lstStyle/>
          <a:p>
            <a:pPr>
              <a:defRPr sz="900" b="0" i="0" u="none" strike="noStrike" baseline="0">
                <a:solidFill>
                  <a:srgbClr val="000000"/>
                </a:solidFill>
                <a:latin typeface="Arial Narrow" pitchFamily="34" charset="0"/>
                <a:ea typeface="Arial"/>
                <a:cs typeface="Arial"/>
              </a:defRPr>
            </a:pPr>
            <a:endParaRPr lang="sk-SK"/>
          </a:p>
        </c:txPr>
        <c:crossAx val="124129720"/>
        <c:crossesAt val="1"/>
        <c:crossBetween val="between"/>
        <c:dispUnits>
          <c:builtInUnit val="thousands"/>
        </c:dispUnits>
      </c:valAx>
      <c:catAx>
        <c:axId val="124130504"/>
        <c:scaling>
          <c:orientation val="minMax"/>
        </c:scaling>
        <c:delete val="1"/>
        <c:axPos val="b"/>
        <c:numFmt formatCode="General" sourceLinked="1"/>
        <c:majorTickMark val="out"/>
        <c:minorTickMark val="none"/>
        <c:tickLblPos val="nextTo"/>
        <c:crossAx val="124130896"/>
        <c:crosses val="autoZero"/>
        <c:auto val="1"/>
        <c:lblAlgn val="ctr"/>
        <c:lblOffset val="100"/>
        <c:noMultiLvlLbl val="1"/>
      </c:catAx>
      <c:valAx>
        <c:axId val="124130896"/>
        <c:scaling>
          <c:orientation val="minMax"/>
          <c:max val="6"/>
          <c:min val="0"/>
        </c:scaling>
        <c:delete val="0"/>
        <c:axPos val="r"/>
        <c:title>
          <c:tx>
            <c:rich>
              <a:bodyPr rot="-5400000" vert="horz"/>
              <a:lstStyle/>
              <a:p>
                <a:pPr>
                  <a:defRPr sz="1000">
                    <a:latin typeface="Arial Narrow" panose="020B0606020202030204" pitchFamily="34" charset="0"/>
                  </a:defRPr>
                </a:pPr>
                <a:r>
                  <a:rPr lang="sk-SK" sz="1000">
                    <a:latin typeface="Arial Narrow" panose="020B0606020202030204" pitchFamily="34" charset="0"/>
                  </a:rPr>
                  <a:t>Úroková</a:t>
                </a:r>
                <a:r>
                  <a:rPr lang="sk-SK" sz="1000" baseline="0">
                    <a:latin typeface="Arial Narrow" panose="020B0606020202030204" pitchFamily="34" charset="0"/>
                  </a:rPr>
                  <a:t> sadzba</a:t>
                </a:r>
                <a:r>
                  <a:rPr lang="en-GB" sz="1000">
                    <a:latin typeface="Arial Narrow" panose="020B0606020202030204" pitchFamily="34" charset="0"/>
                  </a:rPr>
                  <a:t> [% p. a.]</a:t>
                </a:r>
              </a:p>
            </c:rich>
          </c:tx>
          <c:layout>
            <c:manualLayout>
              <c:xMode val="edge"/>
              <c:yMode val="edge"/>
              <c:x val="0.963137382946749"/>
              <c:y val="0.27490923994861005"/>
            </c:manualLayout>
          </c:layout>
          <c:overlay val="0"/>
        </c:title>
        <c:numFmt formatCode="#\ ##0" sourceLinked="0"/>
        <c:majorTickMark val="cross"/>
        <c:minorTickMark val="none"/>
        <c:tickLblPos val="nextTo"/>
        <c:spPr>
          <a:ln w="9525">
            <a:noFill/>
          </a:ln>
        </c:spPr>
        <c:txPr>
          <a:bodyPr rot="0" vert="horz"/>
          <a:lstStyle/>
          <a:p>
            <a:pPr>
              <a:defRPr sz="900" b="0" i="0" u="none" strike="noStrike" baseline="0">
                <a:solidFill>
                  <a:srgbClr val="000000"/>
                </a:solidFill>
                <a:latin typeface="Arial Narrow" pitchFamily="34" charset="0"/>
                <a:ea typeface="Arial"/>
                <a:cs typeface="Arial"/>
              </a:defRPr>
            </a:pPr>
            <a:endParaRPr lang="sk-SK"/>
          </a:p>
        </c:txPr>
        <c:crossAx val="124130504"/>
        <c:crosses val="max"/>
        <c:crossBetween val="between"/>
      </c:valAx>
      <c:spPr>
        <a:noFill/>
        <a:ln w="25400">
          <a:noFill/>
        </a:ln>
      </c:spPr>
    </c:plotArea>
    <c:legend>
      <c:legendPos val="b"/>
      <c:layout>
        <c:manualLayout>
          <c:xMode val="edge"/>
          <c:yMode val="edge"/>
          <c:x val="5.9254794107674435E-3"/>
          <c:y val="0.92874102448905593"/>
          <c:w val="0.988346289249729"/>
          <c:h val="7.0979641058381213E-2"/>
        </c:manualLayout>
      </c:layout>
      <c:overlay val="0"/>
      <c:spPr>
        <a:noFill/>
        <a:ln w="25400">
          <a:noFill/>
        </a:ln>
      </c:spPr>
      <c:txPr>
        <a:bodyPr/>
        <a:lstStyle/>
        <a:p>
          <a:pPr>
            <a:defRPr sz="1000" b="0" i="0" u="none" strike="noStrike" baseline="0">
              <a:solidFill>
                <a:srgbClr val="000000"/>
              </a:solidFill>
              <a:latin typeface="Arial Narrow" pitchFamily="34" charset="0"/>
              <a:ea typeface="Arial"/>
              <a:cs typeface="Arial"/>
            </a:defRPr>
          </a:pPr>
          <a:endParaRPr lang="sk-SK"/>
        </a:p>
      </c:txPr>
    </c:legend>
    <c:plotVisOnly val="1"/>
    <c:dispBlanksAs val="gap"/>
    <c:showDLblsOverMax val="0"/>
  </c:chart>
  <c:spPr>
    <a:noFill/>
    <a:ln w="9525">
      <a:noFill/>
    </a:ln>
  </c:spPr>
  <c:txPr>
    <a:bodyPr/>
    <a:lstStyle/>
    <a:p>
      <a:pPr>
        <a:defRPr sz="850" b="0" i="0" u="none" strike="noStrike" baseline="0">
          <a:solidFill>
            <a:srgbClr val="000000"/>
          </a:solidFill>
          <a:latin typeface="Arial"/>
          <a:ea typeface="Arial"/>
          <a:cs typeface="Arial"/>
        </a:defRPr>
      </a:pPr>
      <a:endParaRPr lang="sk-SK"/>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05D84A24-9B1D-4E05-8270-65F7E4DCD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14</Pages>
  <Words>4220</Words>
  <Characters>24059</Characters>
  <Application>Microsoft Office Word</Application>
  <DocSecurity>0</DocSecurity>
  <Lines>200</Lines>
  <Paragraphs>56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Komentovaný návrh obsahu Aktualizácie stratégie riadenia štátneho dlhu</vt:lpstr>
      <vt:lpstr>Komentovaný návrh obsahu Aktualizácie stratégie riadenia štátneho dlhu</vt:lpstr>
    </vt:vector>
  </TitlesOfParts>
  <Company>MFSR</Company>
  <LinksUpToDate>false</LinksUpToDate>
  <CharactersWithSpaces>28223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Komentovaný návrh obsahu Aktualizácie stratégie riadenia štátneho dlhu</dc:title>
  <dc:subject/>
  <dc:creator>ARDAL</dc:creator>
  <cp:keywords/>
  <cp:lastModifiedBy>Michlo Martin</cp:lastModifiedBy>
  <cp:revision>19</cp:revision>
  <cp:lastPrinted>2015-07-01T07:50:00Z</cp:lastPrinted>
  <dcterms:created xsi:type="dcterms:W3CDTF">2016-09-30T17:53:00Z</dcterms:created>
  <dcterms:modified xsi:type="dcterms:W3CDTF">2016-10-03T11:19:00Z</dcterms:modified>
</cp:coreProperties>
</file>