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9299" w:type="dxa"/>
        <w:tblLook w:val="04A0"/>
      </w:tblPr>
      <w:tblGrid>
        <w:gridCol w:w="9299"/>
      </w:tblGrid>
      <w:tr w:rsidR="009F2DFA" w:rsidRPr="00F04CCD" w:rsidTr="0067647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BA7A60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67647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BA7A60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676477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 w:rsidR="009F2DFA" w:rsidRPr="00F04CCD" w:rsidTr="00BA7A60">
              <w:sdt>
                <w:sdtPr>
                  <w:id w:val="43339831"/>
                </w:sdtPr>
                <w:sdtContent>
                  <w:tc>
                    <w:tcPr>
                      <w:tcW w:w="436" w:type="dxa"/>
                    </w:tcPr>
                    <w:p w:rsidR="009F2DFA" w:rsidRPr="00F04CCD" w:rsidRDefault="009F2DFA" w:rsidP="00BA7A60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BA7A60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BA7A60">
              <w:sdt>
                <w:sdtPr>
                  <w:id w:val="-79453833"/>
                </w:sdtPr>
                <w:sdtContent>
                  <w:tc>
                    <w:tcPr>
                      <w:tcW w:w="436" w:type="dxa"/>
                    </w:tcPr>
                    <w:p w:rsidR="009F2DFA" w:rsidRPr="00F04CCD" w:rsidRDefault="009F2DFA" w:rsidP="00BA7A60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BA7A60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BA7A60">
              <w:sdt>
                <w:sdtPr>
                  <w:id w:val="1290634502"/>
                </w:sdtPr>
                <w:sdtContent>
                  <w:tc>
                    <w:tcPr>
                      <w:tcW w:w="436" w:type="dxa"/>
                    </w:tcPr>
                    <w:p w:rsidR="009F2DFA" w:rsidRPr="00F04CCD" w:rsidRDefault="00FE5784" w:rsidP="00BA7A60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BA7A60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BA7A60">
            <w:pPr>
              <w:rPr>
                <w:b/>
              </w:rPr>
            </w:pPr>
          </w:p>
        </w:tc>
      </w:tr>
      <w:tr w:rsidR="009F2DFA" w:rsidRPr="00F04CCD" w:rsidTr="0067647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BA7A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BA7A60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676477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  <w:r w:rsidR="00676477">
              <w:rPr>
                <w:i/>
              </w:rPr>
              <w:t xml:space="preserve"> </w:t>
            </w: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676477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E64034" w:rsidRPr="00676477" w:rsidRDefault="00E64034" w:rsidP="005B1429">
            <w:pPr>
              <w:spacing w:before="60"/>
              <w:jc w:val="both"/>
            </w:pPr>
            <w:r w:rsidRPr="00676477">
              <w:t>Prínosy vyplývajúce zo zabezpečenia efektívneho dopravného systému majú synergické účinky na rozvoj celého podnikateľského prostredia. Predkladaný materiál má pozitívny vplyv na podnik</w:t>
            </w:r>
            <w:r w:rsidR="00826342">
              <w:t>ateľské prostredie ako celok vo </w:t>
            </w:r>
            <w:r w:rsidRPr="00676477">
              <w:t>forme skrátenia času na prepravu osôb a tovaru, zvýšenia úrovne bezpečnosti dopravy a zníženia opotrebenia dopravných prostriedkov. Skrátenie prepravného času zníži dobu obehu tovaru v prepravnom procese. Synergické účinky vyplývajúce z realizácie navrhnutých opatrení prispejú k zníženiu nákladov podnikateľských subjektov vo forme znížených požiadaviek na pohonné hmoty a obnovu vozidlového parku.</w:t>
            </w:r>
          </w:p>
          <w:p w:rsidR="00E64034" w:rsidRPr="00676477" w:rsidRDefault="00E64034" w:rsidP="00E64034">
            <w:pPr>
              <w:jc w:val="both"/>
            </w:pPr>
            <w:r w:rsidRPr="00676477">
              <w:t>Vzhľadom na charakter a rozsah navrhovaných opatrení bude mať p</w:t>
            </w:r>
            <w:r w:rsidR="00B2731F" w:rsidRPr="00676477">
              <w:t>redkladaný návrh vplyv na všetky podnikateľské subjekty využívajúce v rámci svojich aktivít dopravný systém Slovenskej republiky</w:t>
            </w:r>
            <w:r w:rsidRPr="00676477">
              <w:t>, t.</w:t>
            </w:r>
            <w:r w:rsidR="00676477">
              <w:t> </w:t>
            </w:r>
            <w:r w:rsidRPr="00676477">
              <w:t>j. domáce aj zahraničné podnikateľské subjekty (tisíce subjektov).</w:t>
            </w:r>
          </w:p>
          <w:p w:rsidR="00E64034" w:rsidRPr="00676477" w:rsidRDefault="00E64034" w:rsidP="00E64034">
            <w:pPr>
              <w:jc w:val="both"/>
            </w:pPr>
            <w:r w:rsidRPr="00676477">
              <w:t>V rámci realizácie opatrení budú priamo zúčastnené projekčné kancelárie (niekoľko desiatok subjektov), stavebné firmy zamerané na inžiniersku výstavbu (cca 30</w:t>
            </w:r>
            <w:r w:rsidR="00826342">
              <w:t> </w:t>
            </w:r>
            <w:r w:rsidRPr="00676477">
              <w:t>% celkovej stavebnej produkcie) a ich subdodávatelia (niekoľko stoviek subjektov), a taktiež subjekty elektrotechnického priemyslu a IT</w:t>
            </w:r>
            <w:r w:rsidR="00826342">
              <w:t xml:space="preserve"> (niekoľko desiatok subjektov).</w:t>
            </w:r>
          </w:p>
          <w:p w:rsidR="009F2DFA" w:rsidRPr="005B1429" w:rsidRDefault="00E64034" w:rsidP="005B1429">
            <w:pPr>
              <w:spacing w:after="60"/>
              <w:jc w:val="both"/>
            </w:pPr>
            <w:r w:rsidRPr="00676477">
              <w:t>Realizáciou navrhovaných projektov dôjde ku skvalitneniu dopravného systému ako celku, čo pozitívne ovplyvní podnikateľské subjekty, pre ktoré je doprava a logistika súčasťou výrobného procesu. Špeciálne to platí pre dopravcov v každom dopravnom móde (niekoľko stoviek subjektov).</w:t>
            </w:r>
          </w:p>
        </w:tc>
      </w:tr>
      <w:tr w:rsidR="009F2DFA" w:rsidRPr="00F04CCD" w:rsidTr="00676477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BA7A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BA7A60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76477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676477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3837EB" w:rsidRPr="00826342" w:rsidRDefault="00726871" w:rsidP="00673C95">
            <w:pPr>
              <w:spacing w:before="60" w:after="60"/>
              <w:jc w:val="both"/>
            </w:pPr>
            <w:r w:rsidRPr="00676477">
              <w:t xml:space="preserve">Návrh </w:t>
            </w:r>
            <w:r w:rsidR="00826342">
              <w:t>strategického dokumentu</w:t>
            </w:r>
            <w:r w:rsidRPr="00676477">
              <w:t xml:space="preserve"> bol konzultovaný so zástupcami odvetvových združení, zväzov a komôr, ktoré zastrešujú aktivity jednotlivých podnikateľských subjektov špecifického zamerania. </w:t>
            </w:r>
            <w:r w:rsidR="00826342">
              <w:t>Konzultácie, tzn. priestor pre zaslanie pripomienok, návrhov a odporúčaní na úprav</w:t>
            </w:r>
            <w:r w:rsidR="006D6EB1">
              <w:t>u</w:t>
            </w:r>
            <w:r w:rsidR="00826342">
              <w:t xml:space="preserve"> a doplnenie </w:t>
            </w:r>
            <w:r w:rsidR="006D6EB1">
              <w:t xml:space="preserve">dokumentu, </w:t>
            </w:r>
            <w:r w:rsidR="00676477" w:rsidRPr="00676477">
              <w:t>boli realizované v termíne od 04.10. do 01.11.2016</w:t>
            </w:r>
            <w:r w:rsidR="006D6EB1">
              <w:t xml:space="preserve">. </w:t>
            </w:r>
            <w:r w:rsidR="005C1009" w:rsidRPr="00676477">
              <w:t xml:space="preserve">V rámci konzultácií prebiehala komunikácia so Slovenskou obchodnou a priemyselnou komorou, </w:t>
            </w:r>
            <w:r w:rsidR="00676477">
              <w:t>Zväzom automobilového priemyslu</w:t>
            </w:r>
            <w:r w:rsidR="001531EC">
              <w:t xml:space="preserve"> SR</w:t>
            </w:r>
            <w:r w:rsidR="00676477">
              <w:t xml:space="preserve">, </w:t>
            </w:r>
            <w:r w:rsidR="005C1009" w:rsidRPr="00676477">
              <w:t>Zväzom st</w:t>
            </w:r>
            <w:r w:rsidR="006D6EB1">
              <w:t>avebných podnikateľov Slovenska</w:t>
            </w:r>
            <w:r w:rsidR="005C1009" w:rsidRPr="00676477">
              <w:t xml:space="preserve">, Klubom 500, </w:t>
            </w:r>
            <w:r w:rsidR="006D6EB1" w:rsidRPr="00676477">
              <w:t>Slovenským plynárenským a naftovým zväz</w:t>
            </w:r>
            <w:r w:rsidR="006D6EB1">
              <w:t xml:space="preserve">om a </w:t>
            </w:r>
            <w:r w:rsidR="00D512A7" w:rsidRPr="00676477">
              <w:t>Zväzom chemického a farmaceutického priemyslu Slovenskej republiky</w:t>
            </w:r>
            <w:r w:rsidR="006D6EB1">
              <w:t xml:space="preserve">. </w:t>
            </w:r>
            <w:r w:rsidR="00AE4E61" w:rsidRPr="00676477">
              <w:t xml:space="preserve">Oslovené združenia a zväzy vzniesli v rámci konzultácií pripomienky k navrhovanému materiálu, na ktoré predkladateľ návrhu reagoval prostredníctvom svojho stanoviska a zdôvodnením v prípade neakceptovania pripomienky. </w:t>
            </w:r>
            <w:r w:rsidR="00673C95">
              <w:t>Akceptované a čiastočne akceptované p</w:t>
            </w:r>
            <w:r w:rsidR="00AE4E61" w:rsidRPr="00676477">
              <w:t xml:space="preserve">ripomienky </w:t>
            </w:r>
            <w:r w:rsidR="00673C95">
              <w:t>podnikateľských</w:t>
            </w:r>
            <w:r w:rsidR="00AE4E61" w:rsidRPr="00676477">
              <w:t xml:space="preserve"> subjektov boli zapracované </w:t>
            </w:r>
            <w:r w:rsidR="00673C95">
              <w:t>d</w:t>
            </w:r>
            <w:r w:rsidR="00AE4E61" w:rsidRPr="00676477">
              <w:t xml:space="preserve">o materiálu. </w:t>
            </w:r>
            <w:r w:rsidR="00673C95">
              <w:t>D</w:t>
            </w:r>
            <w:r w:rsidR="00676477">
              <w:t xml:space="preserve">ňa 09.11.2016 </w:t>
            </w:r>
            <w:r w:rsidR="00673C95">
              <w:t xml:space="preserve">sa na MDVRR SR zároveň </w:t>
            </w:r>
            <w:r w:rsidR="00676477">
              <w:t>uskutočnilo pracovné stretnutie s podnikateľskými subjektmi, ktoré prejavili záujem o konzultácie.</w:t>
            </w:r>
          </w:p>
        </w:tc>
      </w:tr>
      <w:tr w:rsidR="009F2DFA" w:rsidRPr="00F04CCD" w:rsidTr="0067647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BA7A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BA7A60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BA7A6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3837EB" w:rsidRPr="001752D3" w:rsidRDefault="00C06AE0" w:rsidP="001752D3">
            <w:pPr>
              <w:spacing w:before="60" w:after="60"/>
              <w:jc w:val="both"/>
            </w:pPr>
            <w:r w:rsidRPr="00BD4011">
              <w:t>Po realizácii opatrení v oblasti výstavby nových úsekov cestnej infraštruktúry vzniknú podnikateľom zvýšené náklady spojené s platbou mýtnych poplatkov v prípade využívania spoplatnenej cestnej siete. K zvýšeniu nákladov na mýtne poplatky by mohlo dôjsť u podnikateľských subjektov, ktoré v súčasnosti nevyužívajú, alebo len v obmedzenej miere využívajú</w:t>
            </w:r>
            <w:r w:rsidR="00BA7A60" w:rsidRPr="00BD4011">
              <w:t xml:space="preserve"> spoplatnenú cestnú sieť, t.</w:t>
            </w:r>
            <w:r w:rsidR="00BD4011">
              <w:t> </w:t>
            </w:r>
            <w:r w:rsidR="00BA7A60" w:rsidRPr="00BD4011">
              <w:t>j. diaľnice a rýchlostné cesty, prípadne cesty I.</w:t>
            </w:r>
            <w:r w:rsidR="00B44059" w:rsidRPr="00BD4011">
              <w:t> </w:t>
            </w:r>
            <w:r w:rsidR="00BA7A60" w:rsidRPr="00BD4011">
              <w:t>triedy (ťažká nákladná doprava). S výnimkou dopravcov v cestnej nákladnej doprave a ostatných subjektov, ktoré realizujú svoju činnosť prostredníctvom ťažkých nákladných vozidiel</w:t>
            </w:r>
            <w:r w:rsidR="00CE510B" w:rsidRPr="00BD4011">
              <w:t>, budú mať podnikateľské subjekty k dispozícií aj nespoplatnenú cestnú sieť. Vzhľadom na rámcový charakter predkladaného koncepčného materiálu</w:t>
            </w:r>
            <w:r w:rsidR="001A39A4" w:rsidRPr="00BD4011">
              <w:t xml:space="preserve"> (materiál nedefinuje konkrétne projekty) </w:t>
            </w:r>
            <w:r w:rsidR="00CE510B" w:rsidRPr="00BD4011">
              <w:t>nie je možné exaktne stanoviť počet ovplyvnených subjektov. Keďže nie je reálne predpovedať počet ovplyvnených subjektov, ich dopravné výkony</w:t>
            </w:r>
            <w:r w:rsidR="001A39A4" w:rsidRPr="00BD4011">
              <w:t xml:space="preserve"> na budúcej spoplatnenej </w:t>
            </w:r>
            <w:r w:rsidR="001A39A4" w:rsidRPr="00BD4011">
              <w:lastRenderedPageBreak/>
              <w:t>sieti nad rámec jej používania v súčasnosti</w:t>
            </w:r>
            <w:r w:rsidR="00CE510B" w:rsidRPr="00BD4011">
              <w:t>, či prípadné zmeny v ich dopravnom správaní, nie je možné vyčísliť celkové zvýšenie priamych finančných nákladov relevantných podnikateľských subjektov. Realizácia opatrení definovaných v predkladanom návrhu dokumentu však prinesie podnikateľským subjektom niekoľko výrazných benefitov</w:t>
            </w:r>
            <w:r w:rsidR="001A39A4" w:rsidRPr="00BD4011">
              <w:t xml:space="preserve">, predovšetkým skrátenie cestovného času osôb a tovaru, zníženie prevádzkových nákladov vozidiel (úspora paliva a mazív, zníženie opotrebenia pneumatík, zníženie nákladov na servis vozidiel), zníženie rizika vzniku dopravných nehôd. </w:t>
            </w:r>
            <w:r w:rsidR="00CE510B" w:rsidRPr="00BD4011">
              <w:t>Zvýši sa atraktivita dotknutých regiónov z pohľadu rozvoja podnikateľských aktivít, a</w:t>
            </w:r>
            <w:r w:rsidR="00856A90" w:rsidRPr="00BD4011">
              <w:t> </w:t>
            </w:r>
            <w:r w:rsidR="00CE510B" w:rsidRPr="00BD4011">
              <w:t>tým aj zamestnanosť.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BA7A6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3837EB" w:rsidRPr="001752D3" w:rsidRDefault="003837EB" w:rsidP="001752D3">
            <w:pPr>
              <w:spacing w:before="60" w:after="60"/>
              <w:jc w:val="both"/>
            </w:pPr>
            <w:r w:rsidRPr="001752D3">
              <w:t>Realizácia cieľov predkladaného materiálu nebude vytvárať predpoklady pr</w:t>
            </w:r>
            <w:r w:rsidR="001752D3">
              <w:t>e vznik dodatočných nákladov na </w:t>
            </w:r>
            <w:r w:rsidRPr="001752D3">
              <w:t>nákup tovarov a služieb a nebude mať ani vplyv na náklady súvisiace so zamestnávaním.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BA7A60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A06F8B" w:rsidRPr="001752D3" w:rsidRDefault="003837EB" w:rsidP="001752D3">
            <w:pPr>
              <w:spacing w:before="60" w:after="60"/>
              <w:jc w:val="both"/>
            </w:pPr>
            <w:r w:rsidRPr="001752D3">
              <w:t xml:space="preserve">Aplikácia návrhu nevytvorí podnikateľským subjektom administratívne náklady s výnimkou skupiny </w:t>
            </w:r>
            <w:r w:rsidR="00A06F8B" w:rsidRPr="001752D3">
              <w:t>podnikateľských subjektov, ktoré</w:t>
            </w:r>
            <w:r w:rsidRPr="001752D3">
              <w:t xml:space="preserve"> v súčasnosti využívajú pre potreby výkonu svojej činnosti sieť nespoplatnených úsekov ciest a po realizácii opatrení </w:t>
            </w:r>
            <w:r w:rsidR="00A06F8B" w:rsidRPr="001752D3">
              <w:t xml:space="preserve">definovaných </w:t>
            </w:r>
            <w:r w:rsidRPr="001752D3">
              <w:t xml:space="preserve">v rámci predkladaného materiálu začnú využívať spoplatnenú cestnú sieť. Administratívne náklady predstavujú poplatky za registráciu do systému elektronického výberu mýta a vzhľadom na súčasný rozsah spoplatnenej cestnej siete </w:t>
            </w:r>
            <w:r w:rsidR="00A06F8B" w:rsidRPr="001752D3">
              <w:t xml:space="preserve">je možné predpokladať, že </w:t>
            </w:r>
            <w:r w:rsidRPr="001752D3">
              <w:t>sa dotknú len minimálneho po</w:t>
            </w:r>
            <w:r w:rsidR="00A06F8B" w:rsidRPr="001752D3">
              <w:t>čtu podnikateľských subjektov.</w:t>
            </w:r>
          </w:p>
        </w:tc>
      </w:tr>
      <w:tr w:rsidR="009F2DFA" w:rsidRPr="00F04CCD" w:rsidTr="00676477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BA7A60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BA7A60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 w:rsidR="009F2DFA" w:rsidRPr="00F04CCD" w:rsidTr="00BA7A60">
              <w:tc>
                <w:tcPr>
                  <w:tcW w:w="2993" w:type="dxa"/>
                </w:tcPr>
                <w:p w:rsidR="009F2DFA" w:rsidRPr="00F04CCD" w:rsidRDefault="009F2DFA" w:rsidP="00BA7A60">
                  <w:pPr>
                    <w:rPr>
                      <w:i/>
                    </w:rPr>
                  </w:pPr>
                  <w:bookmarkStart w:id="0" w:name="_GoBack" w:colFirst="0" w:colLast="2"/>
                </w:p>
              </w:tc>
              <w:tc>
                <w:tcPr>
                  <w:tcW w:w="2994" w:type="dxa"/>
                </w:tcPr>
                <w:p w:rsidR="009F2DFA" w:rsidRPr="00F04CCD" w:rsidRDefault="009F2DFA" w:rsidP="00BA7A60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BA7A60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BA7A60">
              <w:tc>
                <w:tcPr>
                  <w:tcW w:w="2993" w:type="dxa"/>
                </w:tcPr>
                <w:p w:rsidR="009F2DFA" w:rsidRPr="00F04CCD" w:rsidRDefault="009F2DFA" w:rsidP="00BA7A60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:rsidTr="00BA7A60">
              <w:tc>
                <w:tcPr>
                  <w:tcW w:w="2993" w:type="dxa"/>
                </w:tcPr>
                <w:p w:rsidR="009F2DFA" w:rsidRPr="00F04CCD" w:rsidRDefault="009F2DFA" w:rsidP="00BA7A60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:rsidTr="00BA7A60">
              <w:tc>
                <w:tcPr>
                  <w:tcW w:w="2993" w:type="dxa"/>
                </w:tcPr>
                <w:p w:rsidR="009F2DFA" w:rsidRPr="00F04CCD" w:rsidRDefault="009F2DFA" w:rsidP="00BA7A60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:rsidTr="00BA7A60">
              <w:tc>
                <w:tcPr>
                  <w:tcW w:w="2993" w:type="dxa"/>
                </w:tcPr>
                <w:p w:rsidR="009F2DFA" w:rsidRPr="00F04CCD" w:rsidRDefault="009F2DFA" w:rsidP="00BA7A60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2994" w:type="dxa"/>
                </w:tcPr>
                <w:p w:rsidR="009F2DFA" w:rsidRPr="00F04CCD" w:rsidRDefault="00B43244" w:rsidP="00BA7A6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</w:tr>
            <w:bookmarkEnd w:id="0"/>
          </w:tbl>
          <w:p w:rsidR="009F2DFA" w:rsidRPr="00F04CCD" w:rsidRDefault="009F2DFA" w:rsidP="00BA7A60">
            <w:pPr>
              <w:rPr>
                <w:i/>
              </w:rPr>
            </w:pPr>
          </w:p>
        </w:tc>
      </w:tr>
      <w:tr w:rsidR="009F2DFA" w:rsidRPr="00F04CCD" w:rsidTr="0067647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BA7A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BA7A60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7647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676477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323323" w:rsidRPr="001752D3" w:rsidRDefault="00B43244" w:rsidP="001752D3">
            <w:pPr>
              <w:spacing w:before="60" w:after="60"/>
              <w:jc w:val="both"/>
            </w:pPr>
            <w:r w:rsidRPr="001752D3">
              <w:t>Návrh neupravuje podmienky pre vstup na trh, podmienky pre správanie sa na trhu a neupravuje ani podmienky, ktoré by viedli k zmenám v štruktúre trhu.</w:t>
            </w:r>
            <w:r w:rsidR="001752D3">
              <w:t xml:space="preserve"> </w:t>
            </w:r>
            <w:r w:rsidR="00323323" w:rsidRPr="001752D3">
              <w:t>Realizácia opatrení definovaných v</w:t>
            </w:r>
            <w:r w:rsidR="001752D3">
              <w:t> strategickom pláne</w:t>
            </w:r>
            <w:r w:rsidR="00323323" w:rsidRPr="001752D3">
              <w:t xml:space="preserve"> môže zvýšením atraktivity SR vplyvom budovania cestnej infraštruktúry vyššieho dopravného významu a infraštruktúry kombinovanej dopravy priaznivo ovplyvniť zámery zahraničných investorov realizovať podnikateľské aktivity v SR.</w:t>
            </w:r>
            <w:r w:rsidR="001752D3">
              <w:t xml:space="preserve"> </w:t>
            </w:r>
            <w:r w:rsidR="00323323" w:rsidRPr="001752D3">
              <w:t>Návrh nebude mať vplyv na ceny ani dostupnosť základných zdrojov a neovplyvní ani prístup k financiám.</w:t>
            </w:r>
          </w:p>
        </w:tc>
      </w:tr>
      <w:tr w:rsidR="009F2DFA" w:rsidRPr="00F04CCD" w:rsidTr="0067647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BA7A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BA7A60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676477">
        <w:tc>
          <w:tcPr>
            <w:tcW w:w="9212" w:type="dxa"/>
          </w:tcPr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BA7A60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BA7A60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676477">
        <w:trPr>
          <w:trHeight w:val="1747"/>
        </w:trPr>
        <w:tc>
          <w:tcPr>
            <w:tcW w:w="9212" w:type="dxa"/>
          </w:tcPr>
          <w:p w:rsidR="001752D3" w:rsidRDefault="00546107" w:rsidP="001752D3">
            <w:pPr>
              <w:spacing w:before="60"/>
              <w:jc w:val="both"/>
            </w:pPr>
            <w:r w:rsidRPr="001752D3">
              <w:lastRenderedPageBreak/>
              <w:t>Predkladaný materiál bol spracovaný v súlade so zámermi a cieľmi Európskej výskumnej a inovačnej politiky v oblasti dopravy.</w:t>
            </w:r>
            <w:r w:rsidR="001752D3">
              <w:t xml:space="preserve"> </w:t>
            </w:r>
          </w:p>
          <w:p w:rsidR="009F2DFA" w:rsidRPr="001752D3" w:rsidRDefault="003F56E3" w:rsidP="00D50989">
            <w:pPr>
              <w:jc w:val="both"/>
            </w:pPr>
            <w:r w:rsidRPr="001752D3">
              <w:t xml:space="preserve">Návrh </w:t>
            </w:r>
            <w:r w:rsidR="007858AC" w:rsidRPr="001752D3">
              <w:t xml:space="preserve">má </w:t>
            </w:r>
            <w:r w:rsidR="00546107" w:rsidRPr="001752D3">
              <w:t>pozitívny</w:t>
            </w:r>
            <w:r w:rsidR="007858AC" w:rsidRPr="001752D3">
              <w:t xml:space="preserve"> vplyv na </w:t>
            </w:r>
            <w:r w:rsidR="00546107" w:rsidRPr="001752D3">
              <w:t xml:space="preserve">podporu zavádzania </w:t>
            </w:r>
            <w:r w:rsidR="007858AC" w:rsidRPr="001752D3">
              <w:t>inováci</w:t>
            </w:r>
            <w:r w:rsidR="00546107" w:rsidRPr="001752D3">
              <w:t>í</w:t>
            </w:r>
            <w:r w:rsidR="007858AC" w:rsidRPr="001752D3">
              <w:t xml:space="preserve">. V rámci realizácie navrhovaných opatrení vytvára priestor pre aplikáciu </w:t>
            </w:r>
            <w:r w:rsidR="00D50989" w:rsidRPr="001752D3">
              <w:t xml:space="preserve">nových </w:t>
            </w:r>
            <w:r w:rsidR="007858AC" w:rsidRPr="001752D3">
              <w:t>inovatívnych riešení</w:t>
            </w:r>
            <w:r w:rsidR="00D50989" w:rsidRPr="001752D3">
              <w:t>,</w:t>
            </w:r>
            <w:r w:rsidR="007858AC" w:rsidRPr="001752D3">
              <w:t> technológií</w:t>
            </w:r>
            <w:r w:rsidR="00D50989" w:rsidRPr="001752D3">
              <w:t xml:space="preserve"> a produktov</w:t>
            </w:r>
            <w:r w:rsidR="007858AC" w:rsidRPr="001752D3">
              <w:t xml:space="preserve">, najmä v oblasti verejnej osobnej </w:t>
            </w:r>
            <w:r w:rsidR="00D50989" w:rsidRPr="001752D3">
              <w:t xml:space="preserve">a nemotorovej </w:t>
            </w:r>
            <w:r w:rsidR="007858AC" w:rsidRPr="001752D3">
              <w:t>dopravy</w:t>
            </w:r>
            <w:r w:rsidR="00D50989" w:rsidRPr="001752D3">
              <w:t>, v oblasti zvyšovania bezpečnosti dopravy, prípadne v rámci redukcie negatívnych dopadov dopravy na životné prostredie.</w:t>
            </w:r>
          </w:p>
          <w:p w:rsidR="00D50989" w:rsidRPr="001752D3" w:rsidRDefault="00D50989" w:rsidP="00D50989">
            <w:pPr>
              <w:jc w:val="both"/>
            </w:pPr>
            <w:r w:rsidRPr="001752D3">
              <w:t>Predkladaný návrh nemá vplyv na jednotlivé práva duševného vlastníctva.</w:t>
            </w:r>
          </w:p>
          <w:p w:rsidR="00D50989" w:rsidRPr="001752D3" w:rsidRDefault="00D50989" w:rsidP="00D50989">
            <w:pPr>
              <w:jc w:val="both"/>
            </w:pPr>
            <w:r w:rsidRPr="001752D3">
              <w:t xml:space="preserve">Prostredníctvom napĺňania cieľov navrhovaného koncepčného dokumentu je možné vplyvom </w:t>
            </w:r>
            <w:r w:rsidR="00546107" w:rsidRPr="001752D3">
              <w:t xml:space="preserve">podpory mobility a výrazného </w:t>
            </w:r>
            <w:r w:rsidRPr="001752D3">
              <w:t>zlepšenia dostupnosti územia</w:t>
            </w:r>
            <w:r w:rsidR="00546107" w:rsidRPr="001752D3">
              <w:t>, a tým aj zrýchlenia obehu osôb, tovarov a surovín, priaznivo vplývať na efektivitu výroby, resp. optimálne využívania zdrojov.</w:t>
            </w:r>
          </w:p>
          <w:p w:rsidR="007858AC" w:rsidRPr="001752D3" w:rsidRDefault="00546107" w:rsidP="001752D3">
            <w:pPr>
              <w:spacing w:after="60"/>
              <w:jc w:val="both"/>
            </w:pPr>
            <w:r w:rsidRPr="001752D3">
              <w:t>Návrh nemá priamy vplyv na vytváranie nových pracovných miest pre zamestnancov výskumu a vývoja v SR.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>
      <w:pPr>
        <w:rPr>
          <w:b/>
          <w:sz w:val="24"/>
        </w:rPr>
      </w:pPr>
    </w:p>
    <w:sectPr w:rsidR="009F2DFA" w:rsidSect="002807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C9" w:rsidRDefault="005C7CC9" w:rsidP="009F2DFA">
      <w:r>
        <w:separator/>
      </w:r>
    </w:p>
  </w:endnote>
  <w:endnote w:type="continuationSeparator" w:id="0">
    <w:p w:rsidR="005C7CC9" w:rsidRDefault="005C7CC9" w:rsidP="009F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381234"/>
      <w:docPartObj>
        <w:docPartGallery w:val="Page Numbers (Bottom of Page)"/>
        <w:docPartUnique/>
      </w:docPartObj>
    </w:sdtPr>
    <w:sdtContent>
      <w:p w:rsidR="00BA7A60" w:rsidRDefault="00280752">
        <w:pPr>
          <w:pStyle w:val="Pta"/>
          <w:jc w:val="right"/>
        </w:pPr>
        <w:r>
          <w:fldChar w:fldCharType="begin"/>
        </w:r>
        <w:r w:rsidR="00BA7A60">
          <w:instrText>PAGE   \* MERGEFORMAT</w:instrText>
        </w:r>
        <w:r>
          <w:fldChar w:fldCharType="separate"/>
        </w:r>
        <w:r w:rsidR="00252CB6">
          <w:rPr>
            <w:noProof/>
          </w:rPr>
          <w:t>1</w:t>
        </w:r>
        <w:r>
          <w:fldChar w:fldCharType="end"/>
        </w:r>
      </w:p>
    </w:sdtContent>
  </w:sdt>
  <w:p w:rsidR="00BA7A60" w:rsidRDefault="00BA7A6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C9" w:rsidRDefault="005C7CC9" w:rsidP="009F2DFA">
      <w:r>
        <w:separator/>
      </w:r>
    </w:p>
  </w:footnote>
  <w:footnote w:type="continuationSeparator" w:id="0">
    <w:p w:rsidR="005C7CC9" w:rsidRDefault="005C7CC9" w:rsidP="009F2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C13"/>
    <w:rsid w:val="000520D1"/>
    <w:rsid w:val="001531EC"/>
    <w:rsid w:val="00154881"/>
    <w:rsid w:val="001752D3"/>
    <w:rsid w:val="001A39A4"/>
    <w:rsid w:val="00252CB6"/>
    <w:rsid w:val="00280752"/>
    <w:rsid w:val="002B1108"/>
    <w:rsid w:val="00323323"/>
    <w:rsid w:val="003837EB"/>
    <w:rsid w:val="003F56E3"/>
    <w:rsid w:val="00484CDB"/>
    <w:rsid w:val="004B79BD"/>
    <w:rsid w:val="0052297F"/>
    <w:rsid w:val="00546107"/>
    <w:rsid w:val="005B1429"/>
    <w:rsid w:val="005C1009"/>
    <w:rsid w:val="005C7CC9"/>
    <w:rsid w:val="00611943"/>
    <w:rsid w:val="00673C95"/>
    <w:rsid w:val="00676477"/>
    <w:rsid w:val="006D6EB1"/>
    <w:rsid w:val="00726871"/>
    <w:rsid w:val="00780BA6"/>
    <w:rsid w:val="007858AC"/>
    <w:rsid w:val="00826342"/>
    <w:rsid w:val="00837639"/>
    <w:rsid w:val="00856A90"/>
    <w:rsid w:val="008A1252"/>
    <w:rsid w:val="00904C9B"/>
    <w:rsid w:val="00925266"/>
    <w:rsid w:val="009D3D1A"/>
    <w:rsid w:val="009F2DFA"/>
    <w:rsid w:val="00A06F8B"/>
    <w:rsid w:val="00AE4E61"/>
    <w:rsid w:val="00B2731F"/>
    <w:rsid w:val="00B306D5"/>
    <w:rsid w:val="00B31A8E"/>
    <w:rsid w:val="00B43244"/>
    <w:rsid w:val="00B44059"/>
    <w:rsid w:val="00BA073A"/>
    <w:rsid w:val="00BA7A60"/>
    <w:rsid w:val="00BD4011"/>
    <w:rsid w:val="00C06AE0"/>
    <w:rsid w:val="00CB3623"/>
    <w:rsid w:val="00CE510B"/>
    <w:rsid w:val="00D44457"/>
    <w:rsid w:val="00D50989"/>
    <w:rsid w:val="00D512A7"/>
    <w:rsid w:val="00E64034"/>
    <w:rsid w:val="00E86AD1"/>
    <w:rsid w:val="00F3364E"/>
    <w:rsid w:val="00F41620"/>
    <w:rsid w:val="00FB5C13"/>
    <w:rsid w:val="00F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behil</cp:lastModifiedBy>
  <cp:revision>37</cp:revision>
  <dcterms:created xsi:type="dcterms:W3CDTF">2014-11-13T15:39:00Z</dcterms:created>
  <dcterms:modified xsi:type="dcterms:W3CDTF">2016-11-29T12:40:00Z</dcterms:modified>
</cp:coreProperties>
</file>