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A1" w:rsidRPr="00A179AE" w:rsidRDefault="003501A1" w:rsidP="003501A1">
      <w:pPr>
        <w:jc w:val="center"/>
        <w:rPr>
          <w:b/>
          <w:bCs/>
          <w:sz w:val="28"/>
          <w:szCs w:val="28"/>
        </w:rPr>
      </w:pPr>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tblPr>
      <w:tblGrid>
        <w:gridCol w:w="4211"/>
        <w:gridCol w:w="705"/>
        <w:gridCol w:w="1287"/>
        <w:gridCol w:w="1417"/>
        <w:gridCol w:w="1560"/>
      </w:tblGrid>
      <w:tr w:rsidR="003501A1" w:rsidRPr="00A179AE" w:rsidTr="00B96F6A">
        <w:tc>
          <w:tcPr>
            <w:tcW w:w="9180" w:type="dxa"/>
            <w:gridSpan w:val="5"/>
            <w:tcBorders>
              <w:bottom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B96F6A">
        <w:trPr>
          <w:trHeight w:val="225"/>
        </w:trPr>
        <w:tc>
          <w:tcPr>
            <w:tcW w:w="9180" w:type="dxa"/>
            <w:gridSpan w:val="5"/>
            <w:tcBorders>
              <w:bottom w:val="single" w:sz="4" w:space="0" w:color="auto"/>
            </w:tcBorders>
            <w:shd w:val="clear" w:color="auto" w:fill="E2E2E2"/>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Názov materiálu</w:t>
            </w:r>
          </w:p>
        </w:tc>
      </w:tr>
      <w:tr w:rsidR="003501A1" w:rsidRPr="00A179AE" w:rsidTr="00B96F6A">
        <w:tc>
          <w:tcPr>
            <w:tcW w:w="9180" w:type="dxa"/>
            <w:gridSpan w:val="5"/>
            <w:tcBorders>
              <w:top w:val="single" w:sz="4" w:space="0" w:color="auto"/>
              <w:bottom w:val="single" w:sz="4" w:space="0" w:color="auto"/>
            </w:tcBorders>
          </w:tcPr>
          <w:p w:rsidR="007C56CB" w:rsidRDefault="007C56CB" w:rsidP="007C56CB"/>
          <w:p w:rsidR="007C56CB" w:rsidRDefault="007C56CB" w:rsidP="007965BC">
            <w:r w:rsidRPr="007C56CB">
              <w:t>Strategický plán rozvoja dopravy SR do roku 2030</w:t>
            </w:r>
          </w:p>
          <w:p w:rsidR="007965BC" w:rsidRPr="00A179AE" w:rsidRDefault="007965BC" w:rsidP="007965BC"/>
        </w:tc>
      </w:tr>
      <w:tr w:rsidR="003501A1" w:rsidRPr="00A179AE" w:rsidTr="00B96F6A">
        <w:tc>
          <w:tcPr>
            <w:tcW w:w="9180" w:type="dxa"/>
            <w:gridSpan w:val="5"/>
            <w:tcBorders>
              <w:top w:val="single" w:sz="4" w:space="0" w:color="auto"/>
              <w:left w:val="single" w:sz="4" w:space="0" w:color="auto"/>
              <w:bottom w:val="single" w:sz="4" w:space="0" w:color="auto"/>
            </w:tcBorders>
            <w:shd w:val="clear" w:color="auto" w:fill="E2E2E2"/>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B96F6A">
        <w:tc>
          <w:tcPr>
            <w:tcW w:w="9180" w:type="dxa"/>
            <w:gridSpan w:val="5"/>
            <w:tcBorders>
              <w:top w:val="single" w:sz="4" w:space="0" w:color="auto"/>
              <w:left w:val="single" w:sz="4" w:space="0" w:color="auto"/>
              <w:bottom w:val="single" w:sz="4" w:space="0" w:color="auto"/>
            </w:tcBorders>
            <w:shd w:val="clear" w:color="auto" w:fill="FFFFFF" w:themeFill="background1"/>
          </w:tcPr>
          <w:p w:rsidR="007965BC" w:rsidRDefault="007965BC" w:rsidP="007965BC"/>
          <w:p w:rsidR="003501A1" w:rsidRDefault="007C56CB" w:rsidP="007965BC">
            <w:r>
              <w:t>Ministerstvo dopravy, výstavby a regionálneho rozvoja Slovenskej republiky</w:t>
            </w:r>
          </w:p>
          <w:p w:rsidR="007965BC" w:rsidRPr="00A179AE" w:rsidRDefault="007965BC" w:rsidP="007965BC"/>
        </w:tc>
      </w:tr>
      <w:tr w:rsidR="003501A1" w:rsidRPr="00A179AE" w:rsidTr="00B96F6A">
        <w:tc>
          <w:tcPr>
            <w:tcW w:w="4211" w:type="dxa"/>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Charakter predkladaného materiálu</w:t>
            </w:r>
          </w:p>
        </w:tc>
        <w:sdt>
          <w:sdtPr>
            <w:id w:val="-69890771"/>
          </w:sdt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A179AE" w:rsidRDefault="007C56CB" w:rsidP="007B71A4">
                <w:pPr>
                  <w:jc w:val="center"/>
                </w:pPr>
                <w:r>
                  <w:rPr>
                    <w:rFonts w:ascii="MS Gothic" w:eastAsia="MS Gothic" w:hAnsi="MS Gothic" w:hint="eastAsia"/>
                  </w:rPr>
                  <w:t>☒</w:t>
                </w:r>
              </w:p>
            </w:tc>
          </w:sdtContent>
        </w:sdt>
        <w:tc>
          <w:tcPr>
            <w:tcW w:w="4264" w:type="dxa"/>
            <w:gridSpan w:val="3"/>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B96F6A">
        <w:tc>
          <w:tcPr>
            <w:tcW w:w="4211" w:type="dxa"/>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sdt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4" w:type="dxa"/>
            <w:gridSpan w:val="3"/>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B96F6A">
        <w:tc>
          <w:tcPr>
            <w:tcW w:w="4211" w:type="dxa"/>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sdtPr>
          <w:sdtContent>
            <w:tc>
              <w:tcPr>
                <w:tcW w:w="705" w:type="dxa"/>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4" w:type="dxa"/>
            <w:gridSpan w:val="3"/>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B96F6A">
        <w:tc>
          <w:tcPr>
            <w:tcW w:w="9180" w:type="dxa"/>
            <w:gridSpan w:val="5"/>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p w:rsidR="003501A1" w:rsidRPr="00A179AE" w:rsidRDefault="003501A1" w:rsidP="007B71A4"/>
        </w:tc>
      </w:tr>
      <w:tr w:rsidR="003501A1" w:rsidRPr="00A179AE" w:rsidTr="00AA0839">
        <w:tc>
          <w:tcPr>
            <w:tcW w:w="6203"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Termín začiatku a ukončenia PPK</w:t>
            </w:r>
          </w:p>
        </w:tc>
        <w:tc>
          <w:tcPr>
            <w:tcW w:w="2977" w:type="dxa"/>
            <w:gridSpan w:val="2"/>
            <w:tcBorders>
              <w:top w:val="single" w:sz="4" w:space="0" w:color="000000" w:themeColor="text1"/>
              <w:left w:val="single" w:sz="4" w:space="0" w:color="auto"/>
              <w:bottom w:val="single" w:sz="4" w:space="0" w:color="auto"/>
              <w:right w:val="single" w:sz="4" w:space="0" w:color="auto"/>
            </w:tcBorders>
            <w:vAlign w:val="center"/>
          </w:tcPr>
          <w:p w:rsidR="003501A1" w:rsidRPr="009B1D25" w:rsidRDefault="00D004F7" w:rsidP="00D94CDA">
            <w:r>
              <w:t>30.11</w:t>
            </w:r>
            <w:r w:rsidRPr="009B1D25">
              <w:t xml:space="preserve">. – </w:t>
            </w:r>
            <w:r>
              <w:t>06</w:t>
            </w:r>
            <w:r w:rsidRPr="009B1D25">
              <w:t>.1</w:t>
            </w:r>
            <w:r>
              <w:t>2</w:t>
            </w:r>
            <w:r w:rsidRPr="009B1D25">
              <w:t>.2016</w:t>
            </w:r>
          </w:p>
        </w:tc>
      </w:tr>
      <w:tr w:rsidR="003501A1" w:rsidRPr="00A179AE" w:rsidTr="00B96F6A">
        <w:tc>
          <w:tcPr>
            <w:tcW w:w="6203" w:type="dxa"/>
            <w:gridSpan w:val="3"/>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2977" w:type="dxa"/>
            <w:gridSpan w:val="2"/>
            <w:tcBorders>
              <w:top w:val="single" w:sz="4" w:space="0" w:color="auto"/>
              <w:left w:val="single" w:sz="4" w:space="0" w:color="auto"/>
              <w:bottom w:val="single" w:sz="4" w:space="0" w:color="auto"/>
              <w:right w:val="single" w:sz="4" w:space="0" w:color="auto"/>
            </w:tcBorders>
          </w:tcPr>
          <w:p w:rsidR="003501A1" w:rsidRPr="00A179AE" w:rsidRDefault="003501A1" w:rsidP="007B71A4">
            <w:pPr>
              <w:rPr>
                <w:i/>
              </w:rPr>
            </w:pPr>
          </w:p>
        </w:tc>
      </w:tr>
      <w:tr w:rsidR="003501A1" w:rsidRPr="00A179AE" w:rsidTr="00B96F6A">
        <w:tc>
          <w:tcPr>
            <w:tcW w:w="6203" w:type="dxa"/>
            <w:gridSpan w:val="3"/>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1C4AF0">
            <w:pPr>
              <w:pStyle w:val="Odsekzoznamu"/>
              <w:spacing w:after="0" w:line="240" w:lineRule="auto"/>
              <w:ind w:left="142"/>
              <w:contextualSpacing w:val="0"/>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2977" w:type="dxa"/>
            <w:gridSpan w:val="2"/>
            <w:tcBorders>
              <w:top w:val="single" w:sz="4" w:space="0" w:color="auto"/>
              <w:left w:val="single" w:sz="4" w:space="0" w:color="auto"/>
              <w:bottom w:val="single" w:sz="4" w:space="0" w:color="auto"/>
              <w:right w:val="single" w:sz="4" w:space="0" w:color="auto"/>
            </w:tcBorders>
          </w:tcPr>
          <w:p w:rsidR="003501A1" w:rsidRPr="00A179AE" w:rsidRDefault="003501A1" w:rsidP="007B71A4">
            <w:pPr>
              <w:rPr>
                <w:i/>
              </w:rPr>
            </w:pPr>
          </w:p>
        </w:tc>
      </w:tr>
      <w:tr w:rsidR="003501A1" w:rsidRPr="00A179AE" w:rsidTr="00B96F6A">
        <w:tc>
          <w:tcPr>
            <w:tcW w:w="9180" w:type="dxa"/>
            <w:gridSpan w:val="5"/>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B96F6A">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B96F6A">
        <w:trPr>
          <w:trHeight w:val="718"/>
        </w:trPr>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501A1" w:rsidRPr="001C4AF0" w:rsidRDefault="001C4AF0" w:rsidP="001C4AF0">
            <w:pPr>
              <w:spacing w:before="60" w:after="60"/>
              <w:jc w:val="both"/>
              <w:rPr>
                <w:b/>
              </w:rPr>
            </w:pPr>
            <w:r>
              <w:t xml:space="preserve">Strategický plán rozvoja dopravy SR do roku 2030 </w:t>
            </w:r>
            <w:r w:rsidR="00766371" w:rsidRPr="001C4AF0">
              <w:t xml:space="preserve">sa zaoberá identifikáciou a analýzou problémov dopravného systému v Slovenskej republike a stanovuje opatrenia na ich </w:t>
            </w:r>
            <w:proofErr w:type="spellStart"/>
            <w:r w:rsidR="00766371" w:rsidRPr="001C4AF0">
              <w:t>mitigáciu</w:t>
            </w:r>
            <w:proofErr w:type="spellEnd"/>
            <w:r w:rsidR="00766371" w:rsidRPr="001C4AF0">
              <w:t>, resp. elimináciu. V rámci prípravy dokumentu prebehla extenzívna analýza, ktorá identifikovala hlavné nedostatky jednotlivých dopravných módov (cestná, železničná, verejná osobná, vodná doprava a civilné letectvo). Jedným zo základných problémov dopravného sekto</w:t>
            </w:r>
            <w:r w:rsidRPr="001C4AF0">
              <w:t>ra na </w:t>
            </w:r>
            <w:r w:rsidR="00766371" w:rsidRPr="001C4AF0">
              <w:t>Slovensku je dlhodobo nepriaznivý vývoj deľby prepravnej práce v prospech cestnej</w:t>
            </w:r>
            <w:r w:rsidR="00665C5C" w:rsidRPr="001C4AF0">
              <w:t xml:space="preserve"> dopravy</w:t>
            </w:r>
            <w:r w:rsidR="00766371" w:rsidRPr="001C4AF0">
              <w:t>, a to predovšetkým individuálnej dopravy.</w:t>
            </w:r>
            <w:r w:rsidR="00717F93" w:rsidRPr="001C4AF0">
              <w:t xml:space="preserve"> Medzi ďalšie významné identifikované problémy patrí nedostatočná dostupnosť </w:t>
            </w:r>
            <w:r w:rsidR="00665C5C" w:rsidRPr="001C4AF0">
              <w:t xml:space="preserve">dopravnej </w:t>
            </w:r>
            <w:r w:rsidR="00717F93" w:rsidRPr="001C4AF0">
              <w:t xml:space="preserve">infraštruktúry vyššieho dopravného významu, </w:t>
            </w:r>
            <w:r>
              <w:t xml:space="preserve">nevyhovujúci </w:t>
            </w:r>
            <w:r w:rsidR="00717F93" w:rsidRPr="001C4AF0">
              <w:t xml:space="preserve">stavebnotechnický stav </w:t>
            </w:r>
            <w:r w:rsidR="000A0383">
              <w:t xml:space="preserve">najmä </w:t>
            </w:r>
            <w:r w:rsidR="00717F93" w:rsidRPr="001C4AF0">
              <w:t xml:space="preserve">ciest </w:t>
            </w:r>
            <w:r w:rsidR="000A0383">
              <w:t xml:space="preserve">I. triedy </w:t>
            </w:r>
            <w:r w:rsidR="00717F93" w:rsidRPr="001C4AF0">
              <w:t xml:space="preserve">a cestných objektov a </w:t>
            </w:r>
            <w:r>
              <w:t>prekračovanie</w:t>
            </w:r>
            <w:r w:rsidR="00717F93" w:rsidRPr="001C4AF0">
              <w:t xml:space="preserve"> ich návrhových kapacít, nevyhovujúce parametre dopravnej infraštruktúry z hľadiska bezpečnosti, neadekvátna obnova vozidlového parku, resp. parku koľajových vozidiel, </w:t>
            </w:r>
            <w:r w:rsidR="00513EF9" w:rsidRPr="001C4AF0">
              <w:t xml:space="preserve">nedostatočná </w:t>
            </w:r>
            <w:proofErr w:type="spellStart"/>
            <w:r w:rsidR="00513EF9" w:rsidRPr="001C4AF0">
              <w:t>intermodálna</w:t>
            </w:r>
            <w:proofErr w:type="spellEnd"/>
            <w:r w:rsidR="00513EF9" w:rsidRPr="001C4AF0">
              <w:t xml:space="preserve"> koordinácia, </w:t>
            </w:r>
            <w:r w:rsidR="00717F93" w:rsidRPr="001C4AF0">
              <w:t>absencia infraštruktúry intermodálnej prepravy v osobnej i nákladnej doprave,</w:t>
            </w:r>
            <w:r w:rsidR="00513EF9" w:rsidRPr="001C4AF0">
              <w:t xml:space="preserve"> nedostatočné dopravné plánovanie, nedostato</w:t>
            </w:r>
            <w:r>
              <w:t>čná kapacita verejnej dopravy v </w:t>
            </w:r>
            <w:r w:rsidR="00513EF9" w:rsidRPr="001C4AF0">
              <w:t>mestách a</w:t>
            </w:r>
            <w:r w:rsidR="00665C5C" w:rsidRPr="001C4AF0">
              <w:t xml:space="preserve"> v </w:t>
            </w:r>
            <w:r w:rsidR="00513EF9" w:rsidRPr="001C4AF0">
              <w:t xml:space="preserve">prímestskej doprave, </w:t>
            </w:r>
            <w:r w:rsidR="006450AC" w:rsidRPr="001C4AF0">
              <w:t>m</w:t>
            </w:r>
            <w:r w:rsidR="00513EF9" w:rsidRPr="001C4AF0">
              <w:t>inimálny rozsah investícií do rozvoja a modernizácie infraštruktúry vodných ciest, ich súčastí a </w:t>
            </w:r>
            <w:r w:rsidR="006450AC" w:rsidRPr="001C4AF0">
              <w:t>d</w:t>
            </w:r>
            <w:r w:rsidR="00513EF9" w:rsidRPr="001C4AF0">
              <w:t xml:space="preserve">o infraštruktúry prístavov, nevyhovujúci technický stav, funkčné a kapacitné obmedzenia na letiskách TEN-T, nedostatočná redukcia </w:t>
            </w:r>
            <w:proofErr w:type="spellStart"/>
            <w:r w:rsidR="00513EF9" w:rsidRPr="001C4AF0">
              <w:t>externalít</w:t>
            </w:r>
            <w:proofErr w:type="spellEnd"/>
            <w:r w:rsidR="00513EF9" w:rsidRPr="001C4AF0">
              <w:t xml:space="preserve"> z dopravy a pod.</w:t>
            </w:r>
          </w:p>
        </w:tc>
      </w:tr>
      <w:tr w:rsidR="003501A1" w:rsidRPr="00A179AE" w:rsidTr="00B96F6A">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B96F6A">
        <w:trPr>
          <w:trHeight w:val="741"/>
        </w:trPr>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A2E" w:rsidRPr="001C4AF0" w:rsidRDefault="00C11A2E" w:rsidP="001C4AF0">
            <w:pPr>
              <w:spacing w:before="60" w:after="60"/>
              <w:jc w:val="both"/>
            </w:pPr>
            <w:r w:rsidRPr="001C4AF0">
              <w:t xml:space="preserve">Hlavným cieľom predkladaného materiálu je nastaviť efektívny smer rozvoja dopravného sektora v SR. Víziou je vytvorenie udržateľného integrovaného multimodálneho dopravného systému, ktorý plní hospodárske, sociálne a environmentálne potreby spoločnosti a prispieva k hlbšiemu začleneniu a plnej integrácii Slovenskej republiky v rámci európskeho hospodárskeho priestoru. </w:t>
            </w:r>
          </w:p>
          <w:p w:rsidR="00C11A2E" w:rsidRPr="001C4AF0" w:rsidRDefault="00C11A2E" w:rsidP="00C11A2E">
            <w:pPr>
              <w:jc w:val="both"/>
            </w:pPr>
            <w:r w:rsidRPr="001C4AF0">
              <w:t>V rámci prípravy koncepčného dokumentu boli zadefinované nasledujúce strategické ciele:</w:t>
            </w:r>
          </w:p>
          <w:p w:rsidR="00C11A2E" w:rsidRPr="001C4AF0" w:rsidRDefault="003679F2" w:rsidP="00CC6EB9">
            <w:pPr>
              <w:pStyle w:val="Odsekzoznamu"/>
              <w:numPr>
                <w:ilvl w:val="0"/>
                <w:numId w:val="2"/>
              </w:numPr>
              <w:spacing w:before="60" w:after="0" w:line="240"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z</w:t>
            </w:r>
            <w:r w:rsidR="00C11A2E" w:rsidRPr="001C4AF0">
              <w:rPr>
                <w:rFonts w:ascii="Times New Roman" w:hAnsi="Times New Roman" w:cs="Times New Roman"/>
                <w:sz w:val="20"/>
                <w:szCs w:val="20"/>
              </w:rPr>
              <w:t>aistenie ekvivalentnej dostupnosti sídiel a priemyselných zón podporujúcich hospodársky rast a sociálnu inklúziu v rámci všetkých regiónov Slovenskej republiky (v národnej i európskej mierke) prostredníctvom nediskriminačného prístupu k dopravnej infraštruktúre a službám.</w:t>
            </w:r>
          </w:p>
          <w:p w:rsidR="00C11A2E" w:rsidRPr="001C4AF0" w:rsidRDefault="003679F2" w:rsidP="001C4AF0">
            <w:pPr>
              <w:pStyle w:val="Odsekzoznamu"/>
              <w:numPr>
                <w:ilvl w:val="0"/>
                <w:numId w:val="2"/>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sz w:val="20"/>
                <w:szCs w:val="20"/>
              </w:rPr>
              <w:t>d</w:t>
            </w:r>
            <w:r w:rsidR="00C11A2E" w:rsidRPr="001C4AF0">
              <w:rPr>
                <w:rFonts w:ascii="Times New Roman" w:hAnsi="Times New Roman" w:cs="Times New Roman"/>
                <w:sz w:val="20"/>
                <w:szCs w:val="20"/>
              </w:rPr>
              <w:t>lhodobo udržateľný rozvoj dopravného systému Slovenskej republiky s dôrazom kladeným na generovanie a efektívne využívanie finančných prostriedkov vo väzbe na reálne potreby používateľov.</w:t>
            </w:r>
          </w:p>
          <w:p w:rsidR="00C11A2E" w:rsidRPr="001C4AF0" w:rsidRDefault="003679F2" w:rsidP="001C4AF0">
            <w:pPr>
              <w:pStyle w:val="Odsekzoznamu"/>
              <w:numPr>
                <w:ilvl w:val="0"/>
                <w:numId w:val="2"/>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sz w:val="20"/>
                <w:szCs w:val="20"/>
              </w:rPr>
              <w:t>z</w:t>
            </w:r>
            <w:r w:rsidR="00C11A2E" w:rsidRPr="001C4AF0">
              <w:rPr>
                <w:rFonts w:ascii="Times New Roman" w:hAnsi="Times New Roman" w:cs="Times New Roman"/>
                <w:sz w:val="20"/>
                <w:szCs w:val="20"/>
              </w:rPr>
              <w:t xml:space="preserve">výšenie konkurencieschopnosti dopravných módov v osobnej i nákladnej doprave (protipólov cestnej dopravy) nastavením zodpovedajúcich prevádzkových, organizačných a </w:t>
            </w:r>
            <w:proofErr w:type="spellStart"/>
            <w:r w:rsidR="00C11A2E" w:rsidRPr="001C4AF0">
              <w:rPr>
                <w:rFonts w:ascii="Times New Roman" w:hAnsi="Times New Roman" w:cs="Times New Roman"/>
                <w:sz w:val="20"/>
                <w:szCs w:val="20"/>
              </w:rPr>
              <w:t>infraštruktúrnych</w:t>
            </w:r>
            <w:proofErr w:type="spellEnd"/>
            <w:r w:rsidR="00C11A2E" w:rsidRPr="001C4AF0">
              <w:rPr>
                <w:rFonts w:ascii="Times New Roman" w:hAnsi="Times New Roman" w:cs="Times New Roman"/>
                <w:sz w:val="20"/>
                <w:szCs w:val="20"/>
              </w:rPr>
              <w:t xml:space="preserve"> parametrov vedúcich k efektívnemu integrovanému </w:t>
            </w:r>
            <w:proofErr w:type="spellStart"/>
            <w:r w:rsidR="00C11A2E" w:rsidRPr="001C4AF0">
              <w:rPr>
                <w:rFonts w:ascii="Times New Roman" w:hAnsi="Times New Roman" w:cs="Times New Roman"/>
                <w:sz w:val="20"/>
                <w:szCs w:val="20"/>
              </w:rPr>
              <w:t>multimodálnemu</w:t>
            </w:r>
            <w:proofErr w:type="spellEnd"/>
            <w:r w:rsidR="00C11A2E" w:rsidRPr="001C4AF0">
              <w:rPr>
                <w:rFonts w:ascii="Times New Roman" w:hAnsi="Times New Roman" w:cs="Times New Roman"/>
                <w:sz w:val="20"/>
                <w:szCs w:val="20"/>
              </w:rPr>
              <w:t xml:space="preserve"> dopravnému systému podporujúceho hospodárske a sociálne potreby Slovenskej republiky.</w:t>
            </w:r>
          </w:p>
          <w:p w:rsidR="00C11A2E" w:rsidRPr="001C4AF0" w:rsidRDefault="003679F2" w:rsidP="001C4AF0">
            <w:pPr>
              <w:pStyle w:val="Odsekzoznamu"/>
              <w:numPr>
                <w:ilvl w:val="0"/>
                <w:numId w:val="2"/>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sz w:val="20"/>
                <w:szCs w:val="20"/>
              </w:rPr>
              <w:t>z</w:t>
            </w:r>
            <w:r w:rsidR="00C11A2E" w:rsidRPr="001C4AF0">
              <w:rPr>
                <w:rFonts w:ascii="Times New Roman" w:hAnsi="Times New Roman" w:cs="Times New Roman"/>
                <w:sz w:val="20"/>
                <w:szCs w:val="20"/>
              </w:rPr>
              <w:t>výšenie bezpečnosti (</w:t>
            </w:r>
            <w:proofErr w:type="spellStart"/>
            <w:r w:rsidR="00C11A2E" w:rsidRPr="001C4AF0">
              <w:rPr>
                <w:rFonts w:ascii="Times New Roman" w:hAnsi="Times New Roman" w:cs="Times New Roman"/>
                <w:sz w:val="20"/>
                <w:szCs w:val="20"/>
              </w:rPr>
              <w:t>Safety</w:t>
            </w:r>
            <w:proofErr w:type="spellEnd"/>
            <w:r w:rsidR="00C11A2E" w:rsidRPr="001C4AF0">
              <w:rPr>
                <w:rFonts w:ascii="Times New Roman" w:hAnsi="Times New Roman" w:cs="Times New Roman"/>
                <w:sz w:val="20"/>
                <w:szCs w:val="20"/>
              </w:rPr>
              <w:t>) a bezpečnostnej ochrany (</w:t>
            </w:r>
            <w:proofErr w:type="spellStart"/>
            <w:r w:rsidR="00C11A2E" w:rsidRPr="001C4AF0">
              <w:rPr>
                <w:rFonts w:ascii="Times New Roman" w:hAnsi="Times New Roman" w:cs="Times New Roman"/>
                <w:sz w:val="20"/>
                <w:szCs w:val="20"/>
              </w:rPr>
              <w:t>Security</w:t>
            </w:r>
            <w:proofErr w:type="spellEnd"/>
            <w:r w:rsidR="00C11A2E" w:rsidRPr="001C4AF0">
              <w:rPr>
                <w:rFonts w:ascii="Times New Roman" w:hAnsi="Times New Roman" w:cs="Times New Roman"/>
                <w:sz w:val="20"/>
                <w:szCs w:val="20"/>
              </w:rPr>
              <w:t>) dopravy vedúcej k trvalému zaisteniu bezpečnej mobility prostredníctvom bezpečnej infraštruktúry, zavádzanie nových technológií/postupov za využitia preventívnych a kontrolných mechanizmov.</w:t>
            </w:r>
          </w:p>
          <w:p w:rsidR="00C11A2E" w:rsidRPr="001C4AF0" w:rsidRDefault="003679F2" w:rsidP="001C4AF0">
            <w:pPr>
              <w:pStyle w:val="Odsekzoznamu"/>
              <w:numPr>
                <w:ilvl w:val="0"/>
                <w:numId w:val="2"/>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sz w:val="20"/>
                <w:szCs w:val="20"/>
              </w:rPr>
              <w:t>z</w:t>
            </w:r>
            <w:r w:rsidR="00C11A2E" w:rsidRPr="001C4AF0">
              <w:rPr>
                <w:rFonts w:ascii="Times New Roman" w:hAnsi="Times New Roman" w:cs="Times New Roman"/>
                <w:sz w:val="20"/>
                <w:szCs w:val="20"/>
              </w:rPr>
              <w:t>níženie environmentálnych a socioekonomických dopadov dopravy (vrátane zmeny klímy) v dôsledku monitoringu životného prostredia, efektívneho plánovania/realizácie infraštruktúry a znižovaním počtu konvenčne poháňaných dopravných prostriedkov, resp. využívaním alternatívnych palív.</w:t>
            </w:r>
          </w:p>
          <w:p w:rsidR="00874DB8" w:rsidRPr="001C4AF0" w:rsidRDefault="00874DB8" w:rsidP="00C11A2E">
            <w:pPr>
              <w:spacing w:after="60"/>
              <w:jc w:val="both"/>
            </w:pPr>
            <w:r w:rsidRPr="001C4AF0">
              <w:lastRenderedPageBreak/>
              <w:t>Proces nastavenia vízie a cieľov dopravného sektora Slovenskej republiky bol v tesnom súlade s európskymi a</w:t>
            </w:r>
            <w:r w:rsidR="00665C5C" w:rsidRPr="001C4AF0">
              <w:t> </w:t>
            </w:r>
            <w:r w:rsidRPr="001C4AF0">
              <w:t>národnými legislatívno-rozvojovými dokumentmi stanovujúcimi globálne vízie a ciele, ale aj potrebami jednotlivých dopravných podsektorov identifikovaných v rámci vykonaných analýz. Vízie a ciele dopravného sektora Slovenskej republiky teda reflektujú ako európske požiadavky, tak národné záujmy a problémy, ktorým toto odvetvie čelí.</w:t>
            </w:r>
          </w:p>
          <w:p w:rsidR="003501A1" w:rsidRPr="00A179AE" w:rsidRDefault="00B10FF9" w:rsidP="001C4AF0">
            <w:pPr>
              <w:spacing w:after="60"/>
              <w:jc w:val="both"/>
            </w:pPr>
            <w:r w:rsidRPr="001C4AF0">
              <w:t xml:space="preserve">Napĺňanie </w:t>
            </w:r>
            <w:r w:rsidR="001C4AF0">
              <w:t xml:space="preserve">strategických globálnych </w:t>
            </w:r>
            <w:r w:rsidRPr="001C4AF0">
              <w:t xml:space="preserve">cieľov bude realizované prostredníctvom plnenia špecifických horizontálnych a modálnych cieľov. </w:t>
            </w:r>
            <w:r w:rsidR="00C11A2E" w:rsidRPr="001C4AF0">
              <w:t>Dôsledkom naplnenia stanovených cieľov (výsledným stavom) bude</w:t>
            </w:r>
            <w:r w:rsidRPr="001C4AF0">
              <w:t xml:space="preserve"> </w:t>
            </w:r>
            <w:proofErr w:type="spellStart"/>
            <w:r w:rsidRPr="001C4AF0">
              <w:t>mitigácia</w:t>
            </w:r>
            <w:proofErr w:type="spellEnd"/>
            <w:r w:rsidRPr="001C4AF0">
              <w:t>, resp. eliminácia zadefinovaných problémov a</w:t>
            </w:r>
            <w:r w:rsidR="00C11A2E" w:rsidRPr="001C4AF0">
              <w:t xml:space="preserve"> posilnenie hospodárskeho rastu a sociálnej integrácie Slovenskej republiky v rámci európskeho hospodárskeho priestoru, sprevádzané zvýšením kvality života občanov.</w:t>
            </w:r>
          </w:p>
        </w:tc>
      </w:tr>
      <w:tr w:rsidR="003501A1" w:rsidRPr="00A179AE" w:rsidTr="00B96F6A">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Dotknuté subjekty</w:t>
            </w:r>
          </w:p>
        </w:tc>
      </w:tr>
      <w:tr w:rsidR="003501A1" w:rsidRPr="00A179AE" w:rsidTr="00CC6EB9">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501A1" w:rsidRPr="001C4AF0" w:rsidRDefault="00024FAE" w:rsidP="001C4AF0">
            <w:pPr>
              <w:spacing w:before="60" w:after="60"/>
              <w:jc w:val="both"/>
            </w:pPr>
            <w:r w:rsidRPr="001C4AF0">
              <w:t xml:space="preserve">Aplikácia skupín opatrení zadefinovaných v predkladanom materiáli bude mať vplyv na celú populáciu Slovenskej republiky, ako aj na podnikateľské subjekty realizujúce svoje aktivity na území SR. </w:t>
            </w:r>
          </w:p>
        </w:tc>
      </w:tr>
      <w:tr w:rsidR="003501A1" w:rsidRPr="00A179AE" w:rsidTr="00CC6EB9">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CC6EB9">
        <w:trPr>
          <w:trHeight w:val="709"/>
        </w:trPr>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94CDA" w:rsidRDefault="00D94CDA" w:rsidP="00D94CDA">
            <w:pPr>
              <w:spacing w:before="60" w:after="60"/>
              <w:jc w:val="both"/>
            </w:pPr>
            <w:r>
              <w:t xml:space="preserve">Vzhľadom na to, že stanovenie relevantných opatrení v rámci predkladaného dokumentu bolo realizované na základe dôkladnej analýzy súčasného stavu a následnej </w:t>
            </w:r>
            <w:proofErr w:type="spellStart"/>
            <w:r>
              <w:t>multikriteriálnej</w:t>
            </w:r>
            <w:proofErr w:type="spellEnd"/>
            <w:r>
              <w:t xml:space="preserve"> verifikácie navrhovaných opatrení, pričom boli zvažované aj alternatívne možnosti, jediným alternatívnym variantom je nulový stav, t. j. stav bez implementácie Strategického plánu rozvoja dopravy SR do roku 2030.</w:t>
            </w:r>
          </w:p>
          <w:p w:rsidR="00D94CDA" w:rsidRDefault="00D94CDA" w:rsidP="00D94CDA">
            <w:pPr>
              <w:spacing w:before="60" w:after="60"/>
              <w:jc w:val="both"/>
            </w:pPr>
            <w:r>
              <w:t>Napriek tomu, že predkladaný materiál nemá implementačný charakter, ani neobsahuje zoznam konkrétnych projektov, plní úlohu koncepčného a strategického rámca pre vytváranie dokumentov s realizačným charakterom. Je teda možné predpokladať, že bez vytvoreného rámca by nebolo možné vytvárať realizačné plány zohľadňujúce objektívne potreby dopravného systému v SR.</w:t>
            </w:r>
          </w:p>
          <w:p w:rsidR="00D94CDA" w:rsidRDefault="00D94CDA" w:rsidP="00D94CDA">
            <w:pPr>
              <w:spacing w:before="60" w:after="60"/>
              <w:jc w:val="both"/>
            </w:pPr>
            <w:r>
              <w:t xml:space="preserve">V rámci prípravy predkladaného materiálu boli na základe analýzy súčasného (nulového) stavu identifikované problémy, na zmiernenie a elimináciu ktorých sa dokument zameriava. V prípade </w:t>
            </w:r>
            <w:proofErr w:type="spellStart"/>
            <w:r>
              <w:t>nerealizácie</w:t>
            </w:r>
            <w:proofErr w:type="spellEnd"/>
            <w:r>
              <w:t xml:space="preserve"> navrhovaných opatrení by dopravný systém a následne aj celý sektor hospodárstva musel znášať následky neriešenia identifikovaných problémov. Vzhľadom na celoštátny charakter dokumentu by mal tento stav vplyv na celú populáciu SR, ako aj na podnikateľské subjekty realizujúce svoje aktivity na jej území. </w:t>
            </w:r>
          </w:p>
          <w:p w:rsidR="00D94CDA" w:rsidRDefault="00D94CDA" w:rsidP="00D94CDA">
            <w:pPr>
              <w:spacing w:before="60" w:after="60"/>
              <w:jc w:val="both"/>
            </w:pPr>
            <w:r>
              <w:t>Najvýraznejšie by boli pociťované problémy v cestnej doprave, najmä v oblasti budovania novej infraštruktúry vyššieho dopravného významu, t.j. diaľnic a rýchlostných ciest, v oblasti rekonštrukcie ciest I. triedy a objektov na nich situovaných. Bez budovania nových kapacitných úsekov cestnej infraštruktúry, obchvatov miest a obcí, preložiek ciest I. triedy a pod. by spoločnosť musela znášať výrazné externé náklady spojené s významným rastom individuálnej automobilovej dopravy (IAD), ktorá by sústavne zaťažovala intravilány miest a obcí a znižovala tak kvalitu života, životného prostredia a tým aj zdravia ich obyvateľov. Zároveň by boli nadmerne ohrození aj používatelia dopravnej infraštruktúry, keďže by narastala miera rizika vzniku dopravných nehôd.</w:t>
            </w:r>
          </w:p>
          <w:p w:rsidR="00D94CDA" w:rsidRDefault="00D94CDA" w:rsidP="00D94CDA">
            <w:pPr>
              <w:spacing w:before="60" w:after="60"/>
              <w:jc w:val="both"/>
            </w:pPr>
            <w:r>
              <w:t xml:space="preserve">Riešenie problematiky výrazného rastu </w:t>
            </w:r>
            <w:r w:rsidR="00805FE7">
              <w:t>IAD</w:t>
            </w:r>
            <w:r>
              <w:t xml:space="preserve"> je potrebné riešiť aj na úrovni verejnej dopravy. Miera využívania verejnej dopravy v SR dlhodobo klesá práve na úkor IAD, preto bez zvýšenia jej atraktivity prostredníctvom budovania novej infraštruktúry VOD, bez integrácie VOD do ucelených prepravných systémov, bez podpory </w:t>
            </w:r>
            <w:proofErr w:type="spellStart"/>
            <w:r>
              <w:t>intermodality</w:t>
            </w:r>
            <w:proofErr w:type="spellEnd"/>
            <w:r>
              <w:t xml:space="preserve"> a bez obnovy parku vozidiel, nebude možné presunúť cestujúcu verejnosť na environmentálne priaznivejší a kapacitnejší druh dopravy a odľahčiť tak dopravný systém.</w:t>
            </w:r>
          </w:p>
          <w:p w:rsidR="00D94CDA" w:rsidRDefault="00D94CDA" w:rsidP="00D94CDA">
            <w:pPr>
              <w:spacing w:before="60" w:after="60"/>
              <w:jc w:val="both"/>
            </w:pPr>
            <w:r>
              <w:t>Podobný stav by nastal aj v móde železničnej dopravy, kde zastaraná infraštruktúra a</w:t>
            </w:r>
            <w:r w:rsidR="008512A7">
              <w:t xml:space="preserve"> čiastočne taktiež </w:t>
            </w:r>
            <w:r>
              <w:t>park koľajových vozidiel neumožňuje naplno využiť potenciál vlakovej dopravy a vzhľadom na jej n</w:t>
            </w:r>
            <w:r w:rsidR="00805FE7">
              <w:t>ízku atraktivitu vyplývajúcu zo </w:t>
            </w:r>
            <w:r>
              <w:t>súčasného technického a technologického stavu nie je možné z</w:t>
            </w:r>
            <w:r w:rsidR="003B2DAA">
              <w:t>abezpečiť presun cestujúcich na </w:t>
            </w:r>
            <w:r>
              <w:t>železnicu, čo je jedným z hlavných cieľov európskej dopravnej politiky.</w:t>
            </w:r>
          </w:p>
          <w:p w:rsidR="00D94CDA" w:rsidRDefault="00D94CDA" w:rsidP="00D94CDA">
            <w:pPr>
              <w:spacing w:before="60" w:after="60"/>
              <w:jc w:val="both"/>
            </w:pPr>
            <w:r>
              <w:t>Z hľadiska ďalších módov dopravy</w:t>
            </w:r>
            <w:r w:rsidR="00805FE7">
              <w:t xml:space="preserve"> - </w:t>
            </w:r>
            <w:r>
              <w:t>vodnej a leteckej dopravy, je takisto nevyhnutné realizovať opatrenia navrhované v predkladanom dokumente, nakoľko ich súčasné technické, funkčné a kapacitné infraštruktúrne obmedzenia neumožňujú ďalší rozvoj.</w:t>
            </w:r>
          </w:p>
          <w:p w:rsidR="003501A1" w:rsidRPr="001C4AF0" w:rsidRDefault="00D94CDA" w:rsidP="00805FE7">
            <w:pPr>
              <w:spacing w:before="60" w:after="60"/>
              <w:jc w:val="both"/>
            </w:pPr>
            <w:r>
              <w:t xml:space="preserve">Dopravný systém je úzko previazaný na sektor hospodárstva a na aktivity podnikateľských subjektov. </w:t>
            </w:r>
            <w:r w:rsidR="00805FE7">
              <w:t>V</w:t>
            </w:r>
            <w:r>
              <w:t xml:space="preserve"> prípade </w:t>
            </w:r>
            <w:proofErr w:type="spellStart"/>
            <w:r>
              <w:t>nerealizácie</w:t>
            </w:r>
            <w:proofErr w:type="spellEnd"/>
            <w:r>
              <w:t xml:space="preserve"> predkladaného strategického materiálu </w:t>
            </w:r>
            <w:r w:rsidR="00805FE7">
              <w:t xml:space="preserve">by preto </w:t>
            </w:r>
            <w:r>
              <w:t>nebolo možné adekvátne zvýšiť dostupnosť územia z hľadiska infraštruktúry vyššieho dopravného významu, dostupnosť hlavného mesta, krajských miest ani ďalších relevantných bodov záujmu, nezvýšila by sa mobili</w:t>
            </w:r>
            <w:r w:rsidR="00805FE7">
              <w:t>ta obyvateľstva, nedošlo by ani </w:t>
            </w:r>
            <w:r>
              <w:t>k zvýšeniu atraktivity regiónov, v ktorých by sa navrhované opatrenia mali implementovať, čím by sa eliminovali potenciálne synergické efekty v podobe zvýšenej investičnej aktivity a tvorby nových pracovných miest.</w:t>
            </w:r>
          </w:p>
        </w:tc>
      </w:tr>
      <w:tr w:rsidR="003501A1" w:rsidRPr="00A179AE" w:rsidTr="00CC6EB9">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CC6EB9">
        <w:tc>
          <w:tcPr>
            <w:tcW w:w="6203" w:type="dxa"/>
            <w:gridSpan w:val="3"/>
            <w:tcBorders>
              <w:top w:val="single" w:sz="4" w:space="0" w:color="auto"/>
              <w:left w:val="single" w:sz="4" w:space="0" w:color="auto"/>
              <w:bottom w:val="nil"/>
              <w:right w:val="nil"/>
            </w:tcBorders>
            <w:shd w:val="clear" w:color="auto" w:fill="FFFFFF" w:themeFill="background1"/>
          </w:tcPr>
          <w:p w:rsidR="003501A1" w:rsidRPr="00A179AE" w:rsidRDefault="003501A1" w:rsidP="00752BEA">
            <w:pPr>
              <w:rPr>
                <w:i/>
              </w:rPr>
            </w:pPr>
            <w:r w:rsidRPr="00A179AE">
              <w:rPr>
                <w:i/>
              </w:rPr>
              <w:t>Predpokladá sa prijatie/zmena vykonávacích predpisov?</w:t>
            </w:r>
          </w:p>
        </w:tc>
        <w:tc>
          <w:tcPr>
            <w:tcW w:w="1417" w:type="dxa"/>
            <w:tcBorders>
              <w:top w:val="single" w:sz="4" w:space="0" w:color="auto"/>
              <w:left w:val="nil"/>
              <w:bottom w:val="nil"/>
              <w:right w:val="nil"/>
            </w:tcBorders>
            <w:shd w:val="clear" w:color="auto" w:fill="FFFFFF" w:themeFill="background1"/>
          </w:tcPr>
          <w:p w:rsidR="003501A1" w:rsidRPr="00A179AE" w:rsidRDefault="00D23341" w:rsidP="007B71A4">
            <w:pPr>
              <w:jc w:val="center"/>
            </w:pPr>
            <w:sdt>
              <w:sdtPr>
                <w:id w:val="-1407611648"/>
              </w:sdtPr>
              <w:sdtContent>
                <w:r w:rsidR="00D13B6F">
                  <w:rPr>
                    <w:rFonts w:ascii="MS Gothic" w:eastAsia="MS Gothic" w:hAnsi="MS Gothic" w:hint="eastAsia"/>
                  </w:rPr>
                  <w:t>☐</w:t>
                </w:r>
              </w:sdtContent>
            </w:sdt>
            <w:r w:rsidR="003501A1" w:rsidRPr="00A179AE">
              <w:t xml:space="preserve">  Áno</w:t>
            </w:r>
          </w:p>
        </w:tc>
        <w:tc>
          <w:tcPr>
            <w:tcW w:w="1560" w:type="dxa"/>
            <w:tcBorders>
              <w:top w:val="single" w:sz="4" w:space="0" w:color="auto"/>
              <w:left w:val="nil"/>
              <w:bottom w:val="nil"/>
              <w:right w:val="single" w:sz="4" w:space="0" w:color="auto"/>
            </w:tcBorders>
            <w:shd w:val="clear" w:color="auto" w:fill="FFFFFF" w:themeFill="background1"/>
          </w:tcPr>
          <w:p w:rsidR="003501A1" w:rsidRPr="00A179AE" w:rsidRDefault="00D23341" w:rsidP="007B71A4">
            <w:pPr>
              <w:jc w:val="center"/>
            </w:pPr>
            <w:sdt>
              <w:sdtPr>
                <w:id w:val="-1625842802"/>
              </w:sdtPr>
              <w:sdtContent>
                <w:r w:rsidR="00752BEA">
                  <w:rPr>
                    <w:rFonts w:ascii="MS Gothic" w:eastAsia="MS Gothic" w:hAnsi="MS Gothic" w:hint="eastAsia"/>
                  </w:rPr>
                  <w:t>☒</w:t>
                </w:r>
              </w:sdtContent>
            </w:sdt>
            <w:r w:rsidR="003501A1" w:rsidRPr="00A179AE">
              <w:t xml:space="preserve">  Nie</w:t>
            </w:r>
          </w:p>
        </w:tc>
      </w:tr>
      <w:tr w:rsidR="003501A1" w:rsidRPr="00A179AE" w:rsidTr="00CC6EB9">
        <w:tc>
          <w:tcPr>
            <w:tcW w:w="9180" w:type="dxa"/>
            <w:gridSpan w:val="5"/>
            <w:tcBorders>
              <w:top w:val="nil"/>
              <w:left w:val="single" w:sz="4" w:space="0" w:color="auto"/>
              <w:bottom w:val="single" w:sz="4" w:space="0" w:color="auto"/>
              <w:right w:val="single" w:sz="4" w:space="0" w:color="auto"/>
            </w:tcBorders>
            <w:shd w:val="clear" w:color="auto" w:fill="FFFFFF" w:themeFill="background1"/>
          </w:tcPr>
          <w:p w:rsidR="00805FE7" w:rsidRDefault="00805FE7" w:rsidP="00752BEA"/>
          <w:p w:rsidR="00805FE7" w:rsidRPr="00A179AE" w:rsidRDefault="00805FE7" w:rsidP="00752BEA"/>
        </w:tc>
      </w:tr>
      <w:tr w:rsidR="003501A1" w:rsidRPr="00A179AE" w:rsidTr="00CC6EB9">
        <w:tc>
          <w:tcPr>
            <w:tcW w:w="9180" w:type="dxa"/>
            <w:gridSpan w:val="5"/>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CC6EB9">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Transpozícia práva EÚ</w:t>
            </w:r>
          </w:p>
        </w:tc>
      </w:tr>
      <w:tr w:rsidR="003501A1" w:rsidRPr="00A179AE" w:rsidTr="00CC6EB9">
        <w:trPr>
          <w:trHeight w:val="157"/>
        </w:trPr>
        <w:tc>
          <w:tcPr>
            <w:tcW w:w="9180" w:type="dxa"/>
            <w:gridSpan w:val="5"/>
            <w:tcBorders>
              <w:top w:val="single" w:sz="4" w:space="0" w:color="auto"/>
              <w:left w:val="single" w:sz="4" w:space="0" w:color="000000" w:themeColor="text1"/>
              <w:bottom w:val="nil"/>
              <w:right w:val="single" w:sz="4" w:space="0" w:color="auto"/>
            </w:tcBorders>
            <w:shd w:val="clear" w:color="auto" w:fill="FFFFFF" w:themeFill="background1"/>
          </w:tcPr>
          <w:p w:rsidR="003501A1" w:rsidRPr="00A179AE" w:rsidRDefault="003501A1" w:rsidP="00F1100D">
            <w:pPr>
              <w:pStyle w:val="Odsekzoznamu"/>
              <w:spacing w:after="0" w:line="240" w:lineRule="auto"/>
              <w:ind w:left="426"/>
              <w:contextualSpacing w:val="0"/>
              <w:jc w:val="both"/>
              <w:rPr>
                <w:i/>
              </w:rPr>
            </w:pPr>
          </w:p>
        </w:tc>
      </w:tr>
      <w:tr w:rsidR="003501A1" w:rsidRPr="00A179AE" w:rsidTr="00CC6EB9">
        <w:trPr>
          <w:trHeight w:val="248"/>
        </w:trPr>
        <w:tc>
          <w:tcPr>
            <w:tcW w:w="9180" w:type="dxa"/>
            <w:gridSpan w:val="5"/>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4C1FD3"/>
        </w:tc>
      </w:tr>
      <w:tr w:rsidR="003501A1" w:rsidRPr="00A179AE" w:rsidTr="00CC6EB9">
        <w:tc>
          <w:tcPr>
            <w:tcW w:w="9180" w:type="dxa"/>
            <w:gridSpan w:val="5"/>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CC6EB9">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C6EB9" w:rsidRPr="00B96F6A" w:rsidRDefault="00CC6EB9" w:rsidP="00B96F6A">
            <w:pPr>
              <w:spacing w:before="60" w:after="60"/>
              <w:jc w:val="both"/>
            </w:pPr>
          </w:p>
        </w:tc>
      </w:tr>
      <w:tr w:rsidR="003501A1" w:rsidRPr="00A179AE" w:rsidTr="00B96F6A">
        <w:trPr>
          <w:trHeight w:val="715"/>
        </w:trPr>
        <w:tc>
          <w:tcPr>
            <w:tcW w:w="9180" w:type="dxa"/>
            <w:gridSpan w:val="5"/>
            <w:tcBorders>
              <w:top w:val="single" w:sz="4" w:space="0" w:color="auto"/>
              <w:left w:val="nil"/>
              <w:bottom w:val="nil"/>
              <w:right w:val="nil"/>
            </w:tcBorders>
            <w:shd w:val="clear" w:color="auto" w:fill="FFFFFF" w:themeFill="background1"/>
          </w:tcPr>
          <w:p w:rsidR="00F62771" w:rsidRPr="00442BFD" w:rsidRDefault="00F62771" w:rsidP="00442BFD">
            <w:pPr>
              <w:ind w:left="142" w:hanging="142"/>
              <w:jc w:val="both"/>
              <w:rPr>
                <w:i/>
              </w:rPr>
            </w:pPr>
            <w:r w:rsidRPr="00442BFD">
              <w:rPr>
                <w:i/>
              </w:rPr>
              <w:t xml:space="preserve">* </w:t>
            </w:r>
            <w:r w:rsidR="004C60B8" w:rsidRPr="00442BFD">
              <w:rPr>
                <w:i/>
              </w:rPr>
              <w:t>vyplniť iba v prípade, ak</w:t>
            </w:r>
            <w:r w:rsidRPr="00442BFD">
              <w:rPr>
                <w:i/>
              </w:rPr>
              <w:t xml:space="preserve"> </w:t>
            </w:r>
            <w:r w:rsidR="004C60B8" w:rsidRPr="00442BFD">
              <w:rPr>
                <w:i/>
              </w:rPr>
              <w:t xml:space="preserve">materiál </w:t>
            </w:r>
            <w:r w:rsidRPr="00442BFD">
              <w:rPr>
                <w:i/>
              </w:rPr>
              <w:t xml:space="preserve">nie je </w:t>
            </w:r>
            <w:r w:rsidR="004C60B8" w:rsidRPr="00442BFD">
              <w:rPr>
                <w:i/>
              </w:rPr>
              <w:t>zahrnutý do Plánu práce vlády Slovenskej republiky alebo Plánu legislatívnych úloh vlády Slovenskej republiky.</w:t>
            </w:r>
            <w:r w:rsidRPr="00442BFD">
              <w:rPr>
                <w:i/>
              </w:rPr>
              <w:t xml:space="preserve"> </w:t>
            </w:r>
          </w:p>
          <w:p w:rsidR="003501A1" w:rsidRPr="00A179AE" w:rsidRDefault="00F62771" w:rsidP="00442BFD">
            <w:pPr>
              <w:jc w:val="both"/>
            </w:pPr>
            <w:r w:rsidRPr="00442BFD">
              <w:rPr>
                <w:i/>
              </w:rPr>
              <w:t>*</w:t>
            </w:r>
            <w:r w:rsidR="00F22831" w:rsidRPr="00442BFD">
              <w:rPr>
                <w:i/>
              </w:rPr>
              <w:t>* nepovinné</w:t>
            </w:r>
          </w:p>
        </w:tc>
      </w:tr>
    </w:tbl>
    <w:p w:rsidR="00B96F6A" w:rsidRDefault="00B96F6A" w:rsidP="003501A1">
      <w:pPr>
        <w:ind w:right="141"/>
        <w:rPr>
          <w:b/>
        </w:rPr>
      </w:pPr>
    </w:p>
    <w:tbl>
      <w:tblPr>
        <w:tblStyle w:val="Mriekatabuky"/>
        <w:tblW w:w="9180" w:type="dxa"/>
        <w:tblLayout w:type="fixed"/>
        <w:tblLook w:val="04A0"/>
      </w:tblPr>
      <w:tblGrid>
        <w:gridCol w:w="3811"/>
        <w:gridCol w:w="541"/>
        <w:gridCol w:w="1143"/>
        <w:gridCol w:w="944"/>
        <w:gridCol w:w="899"/>
        <w:gridCol w:w="567"/>
        <w:gridCol w:w="1275"/>
      </w:tblGrid>
      <w:tr w:rsidR="00B96F6A" w:rsidRPr="00A179AE" w:rsidTr="00B96F6A">
        <w:trPr>
          <w:trHeight w:val="577"/>
        </w:trPr>
        <w:tc>
          <w:tcPr>
            <w:tcW w:w="9180" w:type="dxa"/>
            <w:gridSpan w:val="7"/>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B96F6A" w:rsidRPr="00A179AE" w:rsidRDefault="00B96F6A" w:rsidP="00984EDB">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B96F6A" w:rsidRPr="00A179AE" w:rsidTr="00B96F6A">
        <w:tc>
          <w:tcPr>
            <w:tcW w:w="3811" w:type="dxa"/>
            <w:tcBorders>
              <w:top w:val="single" w:sz="4" w:space="0" w:color="auto"/>
              <w:left w:val="single" w:sz="4" w:space="0" w:color="auto"/>
              <w:bottom w:val="nil"/>
              <w:right w:val="single" w:sz="4" w:space="0" w:color="auto"/>
            </w:tcBorders>
            <w:shd w:val="clear" w:color="auto" w:fill="E2E2E2"/>
          </w:tcPr>
          <w:p w:rsidR="00B96F6A" w:rsidRPr="00A179AE" w:rsidRDefault="00B96F6A" w:rsidP="00984EDB">
            <w:pPr>
              <w:rPr>
                <w:b/>
              </w:rPr>
            </w:pPr>
            <w:r w:rsidRPr="00A179AE">
              <w:rPr>
                <w:b/>
              </w:rPr>
              <w:t>Vplyvy na rozpočet verejnej správy</w:t>
            </w:r>
          </w:p>
        </w:tc>
        <w:sdt>
          <w:sdtPr>
            <w:rPr>
              <w:b/>
            </w:rPr>
            <w:id w:val="-250430778"/>
          </w:sdtPr>
          <w:sdtContent>
            <w:tc>
              <w:tcPr>
                <w:tcW w:w="541" w:type="dxa"/>
                <w:tcBorders>
                  <w:top w:val="single" w:sz="4" w:space="0" w:color="auto"/>
                  <w:left w:val="single" w:sz="4" w:space="0" w:color="auto"/>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pPr>
              <w:rPr>
                <w:b/>
              </w:rPr>
            </w:pPr>
            <w:r w:rsidRPr="00A179AE">
              <w:rPr>
                <w:b/>
              </w:rPr>
              <w:t>Pozitívne</w:t>
            </w:r>
          </w:p>
        </w:tc>
        <w:sdt>
          <w:sdtPr>
            <w:rPr>
              <w:b/>
            </w:rPr>
            <w:id w:val="-1271083407"/>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pPr>
              <w:rPr>
                <w:b/>
              </w:rPr>
            </w:pPr>
            <w:r w:rsidRPr="00A179AE">
              <w:rPr>
                <w:b/>
              </w:rPr>
              <w:t>Žiadne</w:t>
            </w:r>
          </w:p>
        </w:tc>
        <w:sdt>
          <w:sdtPr>
            <w:rPr>
              <w:b/>
            </w:rPr>
            <w:id w:val="763432859"/>
          </w:sdtPr>
          <w:sdtContent>
            <w:tc>
              <w:tcPr>
                <w:tcW w:w="567" w:type="dxa"/>
                <w:tcBorders>
                  <w:top w:val="single" w:sz="4" w:space="0" w:color="auto"/>
                  <w:left w:val="nil"/>
                  <w:bottom w:val="single" w:sz="4" w:space="0" w:color="auto"/>
                  <w:right w:val="nil"/>
                </w:tcBorders>
              </w:tcPr>
              <w:p w:rsidR="00B96F6A" w:rsidRPr="00A179AE" w:rsidRDefault="00B96F6A" w:rsidP="00984EDB">
                <w:pPr>
                  <w:ind w:left="-107" w:right="-108"/>
                  <w:jc w:val="center"/>
                  <w:rPr>
                    <w:b/>
                  </w:rPr>
                </w:pPr>
                <w:r>
                  <w:rPr>
                    <w:rFonts w:ascii="MS Gothic" w:eastAsia="MS Gothic" w:hAnsi="MS Gothic" w:hint="eastAsia"/>
                    <w:b/>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34"/>
              <w:rPr>
                <w:b/>
              </w:rPr>
            </w:pPr>
            <w:r w:rsidRPr="00A179AE">
              <w:rPr>
                <w:b/>
              </w:rPr>
              <w:t>Negatívne</w:t>
            </w:r>
          </w:p>
        </w:tc>
      </w:tr>
      <w:tr w:rsidR="00B96F6A" w:rsidRPr="00A179AE" w:rsidTr="00B96F6A">
        <w:tc>
          <w:tcPr>
            <w:tcW w:w="3811" w:type="dxa"/>
            <w:tcBorders>
              <w:top w:val="nil"/>
              <w:left w:val="single" w:sz="4" w:space="0" w:color="auto"/>
              <w:bottom w:val="single" w:sz="4" w:space="0" w:color="000000" w:themeColor="text1"/>
              <w:right w:val="single" w:sz="4" w:space="0" w:color="auto"/>
            </w:tcBorders>
            <w:shd w:val="clear" w:color="auto" w:fill="E2E2E2"/>
          </w:tcPr>
          <w:p w:rsidR="00B96F6A" w:rsidRPr="00A179AE" w:rsidRDefault="00B96F6A" w:rsidP="00984EDB">
            <w:r w:rsidRPr="00A179AE">
              <w:t xml:space="preserve">    z toho rozpočtovo zabezpečené vplyvy</w:t>
            </w:r>
          </w:p>
        </w:tc>
        <w:sdt>
          <w:sdtPr>
            <w:id w:val="-40432682"/>
          </w:sdtPr>
          <w:sdtContent>
            <w:tc>
              <w:tcPr>
                <w:tcW w:w="541" w:type="dxa"/>
                <w:tcBorders>
                  <w:top w:val="single" w:sz="4" w:space="0" w:color="auto"/>
                  <w:left w:val="single" w:sz="4" w:space="0" w:color="auto"/>
                  <w:bottom w:val="single" w:sz="4" w:space="0" w:color="auto"/>
                  <w:right w:val="nil"/>
                </w:tcBorders>
              </w:tcPr>
              <w:p w:rsidR="00B96F6A" w:rsidRPr="00A179AE" w:rsidRDefault="00805FE7" w:rsidP="00984EDB">
                <w:pPr>
                  <w:jc w:val="center"/>
                </w:pPr>
                <w:r>
                  <w:rPr>
                    <w:rFonts w:ascii="MS Gothic" w:eastAsia="MS Gothic" w:hAnsi="MS Gothic" w:hint="eastAsia"/>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r w:rsidRPr="00A179AE">
              <w:t>Áno</w:t>
            </w:r>
          </w:p>
        </w:tc>
        <w:sdt>
          <w:sdtPr>
            <w:id w:val="1311673138"/>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pPr>
                <w:r w:rsidRPr="00A179AE">
                  <w:rPr>
                    <w:rFonts w:ascii="MS Mincho" w:eastAsia="MS Mincho" w:hAnsi="MS Mincho" w:cs="MS Mincho" w:hint="eastAsia"/>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r w:rsidRPr="00A179AE">
              <w:t>Nie</w:t>
            </w:r>
          </w:p>
        </w:tc>
        <w:sdt>
          <w:sdtPr>
            <w:id w:val="1258793297"/>
          </w:sdtPr>
          <w:sdtContent>
            <w:tc>
              <w:tcPr>
                <w:tcW w:w="567" w:type="dxa"/>
                <w:tcBorders>
                  <w:top w:val="single" w:sz="4" w:space="0" w:color="auto"/>
                  <w:left w:val="nil"/>
                  <w:bottom w:val="single" w:sz="4" w:space="0" w:color="auto"/>
                  <w:right w:val="nil"/>
                </w:tcBorders>
              </w:tcPr>
              <w:p w:rsidR="00B96F6A" w:rsidRPr="00A179AE" w:rsidRDefault="00805FE7" w:rsidP="00984EDB">
                <w:pPr>
                  <w:ind w:left="-107" w:right="-108"/>
                  <w:jc w:val="center"/>
                </w:pPr>
                <w:r>
                  <w:rPr>
                    <w:rFonts w:ascii="MS Gothic" w:eastAsia="MS Gothic" w:hAnsi="MS Gothic" w:hint="eastAsia"/>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34"/>
            </w:pPr>
            <w:r w:rsidRPr="00A179AE">
              <w:t>Čiastočne</w:t>
            </w:r>
          </w:p>
        </w:tc>
      </w:tr>
      <w:tr w:rsidR="00B96F6A" w:rsidRPr="00A179AE" w:rsidTr="00B96F6A">
        <w:tc>
          <w:tcPr>
            <w:tcW w:w="3811" w:type="dxa"/>
            <w:tcBorders>
              <w:top w:val="single" w:sz="4" w:space="0" w:color="000000" w:themeColor="text1"/>
              <w:left w:val="single" w:sz="4" w:space="0" w:color="auto"/>
              <w:bottom w:val="nil"/>
              <w:right w:val="single" w:sz="4" w:space="0" w:color="auto"/>
            </w:tcBorders>
            <w:shd w:val="clear" w:color="auto" w:fill="E2E2E2"/>
          </w:tcPr>
          <w:p w:rsidR="00B96F6A" w:rsidRPr="00A179AE" w:rsidRDefault="00B96F6A" w:rsidP="00984EDB">
            <w:pPr>
              <w:rPr>
                <w:b/>
              </w:rPr>
            </w:pPr>
            <w:r w:rsidRPr="00A179AE">
              <w:rPr>
                <w:b/>
              </w:rPr>
              <w:t>Vplyvy na podnikateľské prostredie</w:t>
            </w:r>
          </w:p>
        </w:tc>
        <w:sdt>
          <w:sdtPr>
            <w:rPr>
              <w:b/>
            </w:rPr>
            <w:id w:val="-640726179"/>
          </w:sdtPr>
          <w:sdtContent>
            <w:tc>
              <w:tcPr>
                <w:tcW w:w="541" w:type="dxa"/>
                <w:tcBorders>
                  <w:top w:val="single" w:sz="4" w:space="0" w:color="auto"/>
                  <w:left w:val="single" w:sz="4" w:space="0" w:color="auto"/>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pPr>
              <w:ind w:right="-108"/>
              <w:rPr>
                <w:b/>
              </w:rPr>
            </w:pPr>
            <w:r w:rsidRPr="00A179AE">
              <w:rPr>
                <w:b/>
              </w:rPr>
              <w:t>Pozitívne</w:t>
            </w:r>
          </w:p>
        </w:tc>
        <w:sdt>
          <w:sdtPr>
            <w:rPr>
              <w:b/>
            </w:rPr>
            <w:id w:val="-1819102963"/>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pPr>
              <w:rPr>
                <w:b/>
              </w:rPr>
            </w:pPr>
            <w:r w:rsidRPr="00A179AE">
              <w:rPr>
                <w:b/>
              </w:rPr>
              <w:t>Žiadne</w:t>
            </w:r>
          </w:p>
        </w:tc>
        <w:sdt>
          <w:sdtPr>
            <w:rPr>
              <w:b/>
            </w:rPr>
            <w:id w:val="-1310942032"/>
          </w:sdtPr>
          <w:sdtContent>
            <w:tc>
              <w:tcPr>
                <w:tcW w:w="567" w:type="dxa"/>
                <w:tcBorders>
                  <w:top w:val="single" w:sz="4" w:space="0" w:color="auto"/>
                  <w:left w:val="nil"/>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54"/>
              <w:rPr>
                <w:b/>
              </w:rPr>
            </w:pPr>
            <w:r w:rsidRPr="00A179AE">
              <w:rPr>
                <w:b/>
              </w:rPr>
              <w:t>Negatívne</w:t>
            </w:r>
          </w:p>
        </w:tc>
      </w:tr>
      <w:tr w:rsidR="00B96F6A" w:rsidRPr="00A179AE" w:rsidTr="00B96F6A">
        <w:tc>
          <w:tcPr>
            <w:tcW w:w="3811"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B96F6A" w:rsidRPr="00A179AE" w:rsidRDefault="00B96F6A" w:rsidP="00984EDB">
            <w:r w:rsidRPr="00A179AE">
              <w:t xml:space="preserve">    z toho vplyvy na MSP</w:t>
            </w:r>
          </w:p>
        </w:tc>
        <w:sdt>
          <w:sdtPr>
            <w:id w:val="2001919837"/>
          </w:sdtPr>
          <w:sdtContent>
            <w:tc>
              <w:tcPr>
                <w:tcW w:w="541" w:type="dxa"/>
                <w:tcBorders>
                  <w:top w:val="single" w:sz="4" w:space="0" w:color="auto"/>
                  <w:left w:val="single" w:sz="4" w:space="0" w:color="000000" w:themeColor="text1"/>
                  <w:bottom w:val="single" w:sz="4" w:space="0" w:color="auto"/>
                  <w:right w:val="nil"/>
                </w:tcBorders>
              </w:tcPr>
              <w:p w:rsidR="00B96F6A" w:rsidRPr="00A179AE" w:rsidRDefault="00B96F6A" w:rsidP="00984EDB">
                <w:pPr>
                  <w:jc w:val="center"/>
                </w:pPr>
                <w:r>
                  <w:rPr>
                    <w:rFonts w:ascii="MS Gothic" w:eastAsia="MS Gothic" w:hAnsi="MS Gothic" w:hint="eastAsia"/>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pPr>
              <w:ind w:right="-108"/>
            </w:pPr>
            <w:r w:rsidRPr="00A179AE">
              <w:t>Pozitívne</w:t>
            </w:r>
          </w:p>
        </w:tc>
        <w:sdt>
          <w:sdtPr>
            <w:id w:val="1335040856"/>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pPr>
                <w:r w:rsidRPr="00A179AE">
                  <w:rPr>
                    <w:rFonts w:ascii="MS Mincho" w:eastAsia="MS Mincho" w:hAnsi="MS Mincho" w:cs="MS Mincho" w:hint="eastAsia"/>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r w:rsidRPr="00A179AE">
              <w:t>Žiadne</w:t>
            </w:r>
          </w:p>
        </w:tc>
        <w:sdt>
          <w:sdtPr>
            <w:id w:val="1238746420"/>
          </w:sdtPr>
          <w:sdtContent>
            <w:tc>
              <w:tcPr>
                <w:tcW w:w="567" w:type="dxa"/>
                <w:tcBorders>
                  <w:top w:val="single" w:sz="4" w:space="0" w:color="auto"/>
                  <w:left w:val="nil"/>
                  <w:bottom w:val="single" w:sz="4" w:space="0" w:color="auto"/>
                  <w:right w:val="nil"/>
                </w:tcBorders>
              </w:tcPr>
              <w:p w:rsidR="00B96F6A" w:rsidRPr="00A179AE" w:rsidRDefault="00B96F6A" w:rsidP="00984EDB">
                <w:pPr>
                  <w:jc w:val="center"/>
                </w:pPr>
                <w:r>
                  <w:rPr>
                    <w:rFonts w:ascii="MS Gothic" w:eastAsia="MS Gothic" w:hAnsi="MS Gothic" w:hint="eastAsia"/>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54"/>
            </w:pPr>
            <w:r w:rsidRPr="00A179AE">
              <w:t>Negatívne</w:t>
            </w:r>
          </w:p>
        </w:tc>
      </w:tr>
      <w:tr w:rsidR="00B96F6A" w:rsidRPr="00A179AE" w:rsidTr="00B96F6A">
        <w:tc>
          <w:tcPr>
            <w:tcW w:w="3811" w:type="dxa"/>
            <w:tcBorders>
              <w:top w:val="single" w:sz="4" w:space="0" w:color="000000" w:themeColor="text1"/>
              <w:left w:val="single" w:sz="4" w:space="0" w:color="auto"/>
              <w:bottom w:val="single" w:sz="4" w:space="0" w:color="auto"/>
              <w:right w:val="single" w:sz="4" w:space="0" w:color="auto"/>
            </w:tcBorders>
            <w:shd w:val="clear" w:color="auto" w:fill="E2E2E2"/>
          </w:tcPr>
          <w:p w:rsidR="00B96F6A" w:rsidRPr="00A179AE" w:rsidRDefault="00B96F6A" w:rsidP="00984EDB">
            <w:pPr>
              <w:rPr>
                <w:b/>
              </w:rPr>
            </w:pPr>
            <w:r w:rsidRPr="00A179AE">
              <w:rPr>
                <w:b/>
              </w:rPr>
              <w:t>Sociálne vplyvy</w:t>
            </w:r>
          </w:p>
        </w:tc>
        <w:sdt>
          <w:sdtPr>
            <w:rPr>
              <w:b/>
            </w:rPr>
            <w:id w:val="-1248254780"/>
          </w:sdtPr>
          <w:sdtContent>
            <w:tc>
              <w:tcPr>
                <w:tcW w:w="541" w:type="dxa"/>
                <w:tcBorders>
                  <w:top w:val="single" w:sz="4" w:space="0" w:color="auto"/>
                  <w:left w:val="single" w:sz="4" w:space="0" w:color="auto"/>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pPr>
              <w:ind w:right="-108"/>
              <w:rPr>
                <w:b/>
              </w:rPr>
            </w:pPr>
            <w:r w:rsidRPr="00A179AE">
              <w:rPr>
                <w:b/>
              </w:rPr>
              <w:t>Pozitívne</w:t>
            </w:r>
          </w:p>
        </w:tc>
        <w:sdt>
          <w:sdtPr>
            <w:rPr>
              <w:b/>
            </w:rPr>
            <w:id w:val="-1361037350"/>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pPr>
              <w:rPr>
                <w:b/>
              </w:rPr>
            </w:pPr>
            <w:r w:rsidRPr="00A179AE">
              <w:rPr>
                <w:b/>
              </w:rPr>
              <w:t>Žiadne</w:t>
            </w:r>
          </w:p>
        </w:tc>
        <w:sdt>
          <w:sdtPr>
            <w:rPr>
              <w:b/>
            </w:rPr>
            <w:id w:val="96135689"/>
          </w:sdtPr>
          <w:sdtContent>
            <w:tc>
              <w:tcPr>
                <w:tcW w:w="567" w:type="dxa"/>
                <w:tcBorders>
                  <w:top w:val="single" w:sz="4" w:space="0" w:color="auto"/>
                  <w:left w:val="nil"/>
                  <w:bottom w:val="single" w:sz="4" w:space="0" w:color="auto"/>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54"/>
              <w:rPr>
                <w:b/>
              </w:rPr>
            </w:pPr>
            <w:r w:rsidRPr="00A179AE">
              <w:rPr>
                <w:b/>
              </w:rPr>
              <w:t>Negatívne</w:t>
            </w:r>
          </w:p>
        </w:tc>
      </w:tr>
      <w:tr w:rsidR="00B96F6A" w:rsidRPr="00A179AE" w:rsidTr="00B96F6A">
        <w:tc>
          <w:tcPr>
            <w:tcW w:w="3811" w:type="dxa"/>
            <w:tcBorders>
              <w:top w:val="single" w:sz="4" w:space="0" w:color="auto"/>
              <w:left w:val="single" w:sz="4" w:space="0" w:color="auto"/>
              <w:bottom w:val="single" w:sz="4" w:space="0" w:color="auto"/>
              <w:right w:val="single" w:sz="4" w:space="0" w:color="auto"/>
            </w:tcBorders>
            <w:shd w:val="clear" w:color="auto" w:fill="E2E2E2"/>
          </w:tcPr>
          <w:p w:rsidR="00B96F6A" w:rsidRPr="00A179AE" w:rsidRDefault="00B96F6A" w:rsidP="00984EDB">
            <w:pPr>
              <w:rPr>
                <w:b/>
              </w:rPr>
            </w:pPr>
            <w:r w:rsidRPr="00A179AE">
              <w:rPr>
                <w:b/>
              </w:rPr>
              <w:t>Vplyvy na životné prostredie</w:t>
            </w:r>
          </w:p>
        </w:tc>
        <w:sdt>
          <w:sdtPr>
            <w:rPr>
              <w:b/>
            </w:rPr>
            <w:id w:val="-943462441"/>
          </w:sdtPr>
          <w:sdtContent>
            <w:tc>
              <w:tcPr>
                <w:tcW w:w="541" w:type="dxa"/>
                <w:tcBorders>
                  <w:top w:val="single" w:sz="4" w:space="0" w:color="auto"/>
                  <w:left w:val="single" w:sz="4" w:space="0" w:color="auto"/>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143" w:type="dxa"/>
            <w:tcBorders>
              <w:top w:val="single" w:sz="4" w:space="0" w:color="auto"/>
              <w:left w:val="nil"/>
              <w:bottom w:val="single" w:sz="4" w:space="0" w:color="auto"/>
              <w:right w:val="nil"/>
            </w:tcBorders>
          </w:tcPr>
          <w:p w:rsidR="00B96F6A" w:rsidRPr="00A179AE" w:rsidRDefault="00B96F6A" w:rsidP="00984EDB">
            <w:pPr>
              <w:ind w:right="-108"/>
              <w:rPr>
                <w:b/>
              </w:rPr>
            </w:pPr>
            <w:r w:rsidRPr="00A179AE">
              <w:rPr>
                <w:b/>
              </w:rPr>
              <w:t>Pozitívne</w:t>
            </w:r>
          </w:p>
        </w:tc>
        <w:sdt>
          <w:sdtPr>
            <w:rPr>
              <w:b/>
            </w:rPr>
            <w:id w:val="-1940980922"/>
          </w:sdtPr>
          <w:sdtContent>
            <w:tc>
              <w:tcPr>
                <w:tcW w:w="944" w:type="dxa"/>
                <w:tcBorders>
                  <w:top w:val="single" w:sz="4" w:space="0" w:color="auto"/>
                  <w:left w:val="nil"/>
                  <w:bottom w:val="single" w:sz="4" w:space="0" w:color="auto"/>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899" w:type="dxa"/>
            <w:tcBorders>
              <w:top w:val="single" w:sz="4" w:space="0" w:color="auto"/>
              <w:left w:val="nil"/>
              <w:bottom w:val="single" w:sz="4" w:space="0" w:color="auto"/>
              <w:right w:val="nil"/>
            </w:tcBorders>
          </w:tcPr>
          <w:p w:rsidR="00B96F6A" w:rsidRPr="00A179AE" w:rsidRDefault="00B96F6A" w:rsidP="00984EDB">
            <w:pPr>
              <w:rPr>
                <w:b/>
              </w:rPr>
            </w:pPr>
            <w:r w:rsidRPr="00A179AE">
              <w:rPr>
                <w:b/>
              </w:rPr>
              <w:t>Žiadne</w:t>
            </w:r>
          </w:p>
        </w:tc>
        <w:sdt>
          <w:sdtPr>
            <w:rPr>
              <w:b/>
            </w:rPr>
            <w:id w:val="261808666"/>
          </w:sdtPr>
          <w:sdtContent>
            <w:tc>
              <w:tcPr>
                <w:tcW w:w="567" w:type="dxa"/>
                <w:tcBorders>
                  <w:top w:val="single" w:sz="4" w:space="0" w:color="auto"/>
                  <w:left w:val="nil"/>
                  <w:bottom w:val="single" w:sz="4" w:space="0" w:color="auto"/>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1275" w:type="dxa"/>
            <w:tcBorders>
              <w:top w:val="single" w:sz="4" w:space="0" w:color="auto"/>
              <w:left w:val="nil"/>
              <w:bottom w:val="single" w:sz="4" w:space="0" w:color="auto"/>
              <w:right w:val="single" w:sz="4" w:space="0" w:color="auto"/>
            </w:tcBorders>
          </w:tcPr>
          <w:p w:rsidR="00B96F6A" w:rsidRPr="00A179AE" w:rsidRDefault="00B96F6A" w:rsidP="00984EDB">
            <w:pPr>
              <w:ind w:left="54"/>
              <w:rPr>
                <w:b/>
              </w:rPr>
            </w:pPr>
            <w:r w:rsidRPr="00A179AE">
              <w:rPr>
                <w:b/>
              </w:rPr>
              <w:t>Negatívne</w:t>
            </w:r>
          </w:p>
        </w:tc>
      </w:tr>
      <w:tr w:rsidR="00B96F6A" w:rsidRPr="00A179AE" w:rsidTr="00B96F6A">
        <w:tc>
          <w:tcPr>
            <w:tcW w:w="3811" w:type="dxa"/>
            <w:tcBorders>
              <w:top w:val="single" w:sz="4" w:space="0" w:color="auto"/>
              <w:left w:val="single" w:sz="4" w:space="0" w:color="auto"/>
              <w:bottom w:val="nil"/>
              <w:right w:val="single" w:sz="4" w:space="0" w:color="auto"/>
            </w:tcBorders>
            <w:shd w:val="clear" w:color="auto" w:fill="E2E2E2"/>
          </w:tcPr>
          <w:p w:rsidR="00B96F6A" w:rsidRPr="00A179AE" w:rsidRDefault="00B96F6A" w:rsidP="00984EDB">
            <w:pPr>
              <w:rPr>
                <w:b/>
              </w:rPr>
            </w:pPr>
            <w:r w:rsidRPr="00A179AE">
              <w:rPr>
                <w:b/>
              </w:rPr>
              <w:t>Vplyvy na informatizáciu</w:t>
            </w:r>
          </w:p>
        </w:tc>
        <w:sdt>
          <w:sdtPr>
            <w:rPr>
              <w:b/>
            </w:rPr>
            <w:id w:val="1719394831"/>
          </w:sdtPr>
          <w:sdtContent>
            <w:tc>
              <w:tcPr>
                <w:tcW w:w="541" w:type="dxa"/>
                <w:tcBorders>
                  <w:top w:val="single" w:sz="4" w:space="0" w:color="auto"/>
                  <w:left w:val="single" w:sz="4" w:space="0" w:color="auto"/>
                  <w:bottom w:val="nil"/>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1143" w:type="dxa"/>
            <w:tcBorders>
              <w:top w:val="single" w:sz="4" w:space="0" w:color="auto"/>
              <w:left w:val="nil"/>
              <w:bottom w:val="nil"/>
              <w:right w:val="nil"/>
            </w:tcBorders>
          </w:tcPr>
          <w:p w:rsidR="00B96F6A" w:rsidRPr="00A179AE" w:rsidRDefault="00B96F6A" w:rsidP="00984EDB">
            <w:pPr>
              <w:ind w:right="-108"/>
              <w:rPr>
                <w:b/>
              </w:rPr>
            </w:pPr>
            <w:r w:rsidRPr="00A179AE">
              <w:rPr>
                <w:b/>
              </w:rPr>
              <w:t>Pozitívne</w:t>
            </w:r>
          </w:p>
        </w:tc>
        <w:sdt>
          <w:sdtPr>
            <w:rPr>
              <w:b/>
            </w:rPr>
            <w:id w:val="-723916388"/>
          </w:sdtPr>
          <w:sdtContent>
            <w:tc>
              <w:tcPr>
                <w:tcW w:w="944" w:type="dxa"/>
                <w:tcBorders>
                  <w:top w:val="single" w:sz="4" w:space="0" w:color="auto"/>
                  <w:left w:val="nil"/>
                  <w:bottom w:val="nil"/>
                  <w:right w:val="nil"/>
                </w:tcBorders>
              </w:tcPr>
              <w:p w:rsidR="00B96F6A" w:rsidRPr="00A179AE" w:rsidRDefault="00B96F6A" w:rsidP="00984EDB">
                <w:pPr>
                  <w:jc w:val="center"/>
                  <w:rPr>
                    <w:b/>
                  </w:rPr>
                </w:pPr>
                <w:r>
                  <w:rPr>
                    <w:rFonts w:ascii="MS Gothic" w:eastAsia="MS Gothic" w:hAnsi="MS Gothic" w:hint="eastAsia"/>
                    <w:b/>
                  </w:rPr>
                  <w:t>☒</w:t>
                </w:r>
              </w:p>
            </w:tc>
          </w:sdtContent>
        </w:sdt>
        <w:tc>
          <w:tcPr>
            <w:tcW w:w="899" w:type="dxa"/>
            <w:tcBorders>
              <w:top w:val="single" w:sz="4" w:space="0" w:color="auto"/>
              <w:left w:val="nil"/>
              <w:bottom w:val="nil"/>
              <w:right w:val="nil"/>
            </w:tcBorders>
          </w:tcPr>
          <w:p w:rsidR="00B96F6A" w:rsidRPr="00A179AE" w:rsidRDefault="00B96F6A" w:rsidP="00984EDB">
            <w:pPr>
              <w:rPr>
                <w:b/>
              </w:rPr>
            </w:pPr>
            <w:r w:rsidRPr="00A179AE">
              <w:rPr>
                <w:b/>
              </w:rPr>
              <w:t>Žiadne</w:t>
            </w:r>
          </w:p>
        </w:tc>
        <w:sdt>
          <w:sdtPr>
            <w:rPr>
              <w:b/>
            </w:rPr>
            <w:id w:val="1903718652"/>
          </w:sdtPr>
          <w:sdtContent>
            <w:tc>
              <w:tcPr>
                <w:tcW w:w="567" w:type="dxa"/>
                <w:tcBorders>
                  <w:top w:val="single" w:sz="4" w:space="0" w:color="auto"/>
                  <w:left w:val="nil"/>
                  <w:bottom w:val="nil"/>
                  <w:right w:val="nil"/>
                </w:tcBorders>
              </w:tcPr>
              <w:p w:rsidR="00B96F6A" w:rsidRPr="00A179AE" w:rsidRDefault="00B96F6A" w:rsidP="00984EDB">
                <w:pPr>
                  <w:jc w:val="center"/>
                  <w:rPr>
                    <w:b/>
                  </w:rPr>
                </w:pPr>
                <w:r w:rsidRPr="00A179AE">
                  <w:rPr>
                    <w:rFonts w:ascii="MS Mincho" w:eastAsia="MS Mincho" w:hAnsi="MS Mincho" w:cs="MS Mincho" w:hint="eastAsia"/>
                    <w:b/>
                  </w:rPr>
                  <w:t>☐</w:t>
                </w:r>
              </w:p>
            </w:tc>
          </w:sdtContent>
        </w:sdt>
        <w:tc>
          <w:tcPr>
            <w:tcW w:w="1275" w:type="dxa"/>
            <w:tcBorders>
              <w:top w:val="single" w:sz="4" w:space="0" w:color="auto"/>
              <w:left w:val="nil"/>
              <w:bottom w:val="nil"/>
              <w:right w:val="single" w:sz="4" w:space="0" w:color="auto"/>
            </w:tcBorders>
          </w:tcPr>
          <w:p w:rsidR="00B96F6A" w:rsidRPr="00A179AE" w:rsidRDefault="00B96F6A" w:rsidP="00984EDB">
            <w:pPr>
              <w:ind w:left="54"/>
              <w:rPr>
                <w:b/>
              </w:rPr>
            </w:pPr>
            <w:r w:rsidRPr="00A179AE">
              <w:rPr>
                <w:b/>
              </w:rPr>
              <w:t>Negatívne</w:t>
            </w:r>
          </w:p>
        </w:tc>
      </w:tr>
      <w:tr w:rsidR="00B96F6A" w:rsidRPr="00A179AE" w:rsidTr="00B96F6A">
        <w:tc>
          <w:tcPr>
            <w:tcW w:w="3811" w:type="dxa"/>
            <w:tcBorders>
              <w:top w:val="single" w:sz="4" w:space="0" w:color="auto"/>
              <w:left w:val="single" w:sz="4" w:space="0" w:color="auto"/>
              <w:bottom w:val="nil"/>
              <w:right w:val="single" w:sz="4" w:space="0" w:color="auto"/>
            </w:tcBorders>
            <w:shd w:val="clear" w:color="auto" w:fill="E2E2E2"/>
          </w:tcPr>
          <w:p w:rsidR="00B96F6A" w:rsidRPr="00653ADA" w:rsidRDefault="00B96F6A" w:rsidP="00B96F6A">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tcPr>
          <w:p w:rsidR="00B96F6A" w:rsidRPr="00653ADA" w:rsidRDefault="00B96F6A" w:rsidP="00B96F6A">
            <w:pPr>
              <w:jc w:val="center"/>
              <w:rPr>
                <w:rFonts w:eastAsia="MS Mincho"/>
                <w:b/>
              </w:rPr>
            </w:pPr>
          </w:p>
        </w:tc>
        <w:tc>
          <w:tcPr>
            <w:tcW w:w="1143" w:type="dxa"/>
            <w:tcBorders>
              <w:top w:val="single" w:sz="4" w:space="0" w:color="auto"/>
              <w:left w:val="nil"/>
              <w:bottom w:val="nil"/>
              <w:right w:val="nil"/>
            </w:tcBorders>
          </w:tcPr>
          <w:p w:rsidR="00B96F6A" w:rsidRPr="00653ADA" w:rsidRDefault="00B96F6A" w:rsidP="00B96F6A">
            <w:pPr>
              <w:ind w:right="-108"/>
              <w:rPr>
                <w:b/>
              </w:rPr>
            </w:pPr>
          </w:p>
        </w:tc>
        <w:tc>
          <w:tcPr>
            <w:tcW w:w="944" w:type="dxa"/>
            <w:tcBorders>
              <w:top w:val="single" w:sz="4" w:space="0" w:color="auto"/>
              <w:left w:val="nil"/>
              <w:bottom w:val="nil"/>
              <w:right w:val="nil"/>
            </w:tcBorders>
          </w:tcPr>
          <w:p w:rsidR="00B96F6A" w:rsidRPr="00653ADA" w:rsidRDefault="00B96F6A" w:rsidP="00B96F6A">
            <w:pPr>
              <w:jc w:val="center"/>
              <w:rPr>
                <w:rFonts w:eastAsia="MS Mincho"/>
                <w:b/>
              </w:rPr>
            </w:pPr>
          </w:p>
        </w:tc>
        <w:tc>
          <w:tcPr>
            <w:tcW w:w="899" w:type="dxa"/>
            <w:tcBorders>
              <w:top w:val="single" w:sz="4" w:space="0" w:color="auto"/>
              <w:left w:val="nil"/>
              <w:bottom w:val="nil"/>
              <w:right w:val="nil"/>
            </w:tcBorders>
          </w:tcPr>
          <w:p w:rsidR="00B96F6A" w:rsidRPr="00653ADA" w:rsidRDefault="00B96F6A" w:rsidP="00B96F6A">
            <w:pPr>
              <w:rPr>
                <w:b/>
              </w:rPr>
            </w:pPr>
          </w:p>
        </w:tc>
        <w:tc>
          <w:tcPr>
            <w:tcW w:w="567" w:type="dxa"/>
            <w:tcBorders>
              <w:top w:val="single" w:sz="4" w:space="0" w:color="auto"/>
              <w:left w:val="nil"/>
              <w:bottom w:val="nil"/>
              <w:right w:val="nil"/>
            </w:tcBorders>
          </w:tcPr>
          <w:p w:rsidR="00B96F6A" w:rsidRPr="00653ADA" w:rsidRDefault="00B96F6A" w:rsidP="00B96F6A">
            <w:pPr>
              <w:jc w:val="center"/>
              <w:rPr>
                <w:rFonts w:eastAsia="MS Mincho"/>
                <w:b/>
              </w:rPr>
            </w:pPr>
          </w:p>
        </w:tc>
        <w:tc>
          <w:tcPr>
            <w:tcW w:w="1275" w:type="dxa"/>
            <w:tcBorders>
              <w:top w:val="single" w:sz="4" w:space="0" w:color="auto"/>
              <w:left w:val="nil"/>
              <w:bottom w:val="nil"/>
              <w:right w:val="single" w:sz="4" w:space="0" w:color="auto"/>
            </w:tcBorders>
          </w:tcPr>
          <w:p w:rsidR="00B96F6A" w:rsidRPr="00653ADA" w:rsidRDefault="00B96F6A" w:rsidP="00B96F6A">
            <w:pPr>
              <w:ind w:left="54"/>
              <w:rPr>
                <w:b/>
              </w:rPr>
            </w:pPr>
          </w:p>
        </w:tc>
      </w:tr>
      <w:tr w:rsidR="00B96F6A" w:rsidRPr="00A179AE" w:rsidTr="00B96F6A">
        <w:tc>
          <w:tcPr>
            <w:tcW w:w="3811" w:type="dxa"/>
            <w:tcBorders>
              <w:top w:val="nil"/>
              <w:left w:val="single" w:sz="4" w:space="0" w:color="auto"/>
              <w:bottom w:val="nil"/>
              <w:right w:val="single" w:sz="4" w:space="0" w:color="auto"/>
            </w:tcBorders>
            <w:shd w:val="clear" w:color="auto" w:fill="E2E2E2"/>
          </w:tcPr>
          <w:p w:rsidR="00B96F6A" w:rsidRPr="009634B3" w:rsidRDefault="00B96F6A" w:rsidP="00B96F6A">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sdtPr>
          <w:sdtContent>
            <w:tc>
              <w:tcPr>
                <w:tcW w:w="541" w:type="dxa"/>
                <w:tcBorders>
                  <w:top w:val="nil"/>
                  <w:left w:val="single" w:sz="4" w:space="0" w:color="auto"/>
                  <w:bottom w:val="nil"/>
                  <w:right w:val="nil"/>
                </w:tcBorders>
              </w:tcPr>
              <w:p w:rsidR="00B96F6A" w:rsidRPr="00A179AE" w:rsidRDefault="00B96F6A" w:rsidP="00B96F6A">
                <w:pPr>
                  <w:jc w:val="center"/>
                  <w:rPr>
                    <w:b/>
                  </w:rPr>
                </w:pPr>
                <w:r>
                  <w:rPr>
                    <w:rFonts w:ascii="MS Gothic" w:eastAsia="MS Gothic" w:hAnsi="MS Gothic" w:hint="eastAsia"/>
                    <w:b/>
                  </w:rPr>
                  <w:t>☐</w:t>
                </w:r>
              </w:p>
            </w:tc>
          </w:sdtContent>
        </w:sdt>
        <w:tc>
          <w:tcPr>
            <w:tcW w:w="1143" w:type="dxa"/>
            <w:tcBorders>
              <w:top w:val="nil"/>
              <w:left w:val="nil"/>
              <w:bottom w:val="nil"/>
              <w:right w:val="nil"/>
            </w:tcBorders>
          </w:tcPr>
          <w:p w:rsidR="00B96F6A" w:rsidRPr="00A179AE" w:rsidRDefault="00B96F6A" w:rsidP="00B96F6A">
            <w:pPr>
              <w:ind w:right="-108"/>
              <w:rPr>
                <w:b/>
              </w:rPr>
            </w:pPr>
            <w:r w:rsidRPr="00A179AE">
              <w:rPr>
                <w:b/>
              </w:rPr>
              <w:t>Pozitívne</w:t>
            </w:r>
          </w:p>
        </w:tc>
        <w:sdt>
          <w:sdtPr>
            <w:rPr>
              <w:b/>
            </w:rPr>
            <w:id w:val="884985506"/>
          </w:sdtPr>
          <w:sdtContent>
            <w:tc>
              <w:tcPr>
                <w:tcW w:w="944" w:type="dxa"/>
                <w:tcBorders>
                  <w:top w:val="nil"/>
                  <w:left w:val="nil"/>
                  <w:bottom w:val="nil"/>
                  <w:right w:val="nil"/>
                </w:tcBorders>
              </w:tcPr>
              <w:p w:rsidR="00B96F6A" w:rsidRPr="00A179AE" w:rsidRDefault="00B96F6A" w:rsidP="00B96F6A">
                <w:pPr>
                  <w:jc w:val="center"/>
                  <w:rPr>
                    <w:b/>
                  </w:rPr>
                </w:pPr>
                <w:r>
                  <w:rPr>
                    <w:rFonts w:ascii="MS Gothic" w:eastAsia="MS Gothic" w:hAnsi="MS Gothic" w:hint="eastAsia"/>
                    <w:b/>
                  </w:rPr>
                  <w:t>☒</w:t>
                </w:r>
              </w:p>
            </w:tc>
          </w:sdtContent>
        </w:sdt>
        <w:tc>
          <w:tcPr>
            <w:tcW w:w="899" w:type="dxa"/>
            <w:tcBorders>
              <w:top w:val="nil"/>
              <w:left w:val="nil"/>
              <w:bottom w:val="nil"/>
              <w:right w:val="nil"/>
            </w:tcBorders>
          </w:tcPr>
          <w:p w:rsidR="00B96F6A" w:rsidRPr="00A179AE" w:rsidRDefault="00B96F6A" w:rsidP="00B96F6A">
            <w:pPr>
              <w:rPr>
                <w:b/>
              </w:rPr>
            </w:pPr>
            <w:r w:rsidRPr="00A179AE">
              <w:rPr>
                <w:b/>
              </w:rPr>
              <w:t>Žiadne</w:t>
            </w:r>
          </w:p>
        </w:tc>
        <w:sdt>
          <w:sdtPr>
            <w:rPr>
              <w:b/>
            </w:rPr>
            <w:id w:val="-2146805846"/>
          </w:sdtPr>
          <w:sdtContent>
            <w:tc>
              <w:tcPr>
                <w:tcW w:w="567" w:type="dxa"/>
                <w:tcBorders>
                  <w:top w:val="nil"/>
                  <w:left w:val="nil"/>
                  <w:bottom w:val="nil"/>
                  <w:right w:val="nil"/>
                </w:tcBorders>
              </w:tcPr>
              <w:p w:rsidR="00B96F6A" w:rsidRPr="00A179AE" w:rsidRDefault="00B96F6A" w:rsidP="00B96F6A">
                <w:pPr>
                  <w:jc w:val="center"/>
                  <w:rPr>
                    <w:b/>
                  </w:rPr>
                </w:pPr>
                <w:r w:rsidRPr="00A179AE">
                  <w:rPr>
                    <w:rFonts w:ascii="MS Mincho" w:eastAsia="MS Mincho" w:hAnsi="MS Mincho" w:cs="MS Mincho" w:hint="eastAsia"/>
                    <w:b/>
                  </w:rPr>
                  <w:t>☐</w:t>
                </w:r>
              </w:p>
            </w:tc>
          </w:sdtContent>
        </w:sdt>
        <w:tc>
          <w:tcPr>
            <w:tcW w:w="1275" w:type="dxa"/>
            <w:tcBorders>
              <w:top w:val="nil"/>
              <w:left w:val="nil"/>
              <w:bottom w:val="nil"/>
              <w:right w:val="single" w:sz="4" w:space="0" w:color="auto"/>
            </w:tcBorders>
          </w:tcPr>
          <w:p w:rsidR="00B96F6A" w:rsidRPr="00A179AE" w:rsidRDefault="00B96F6A" w:rsidP="00B96F6A">
            <w:pPr>
              <w:ind w:left="54"/>
              <w:rPr>
                <w:b/>
              </w:rPr>
            </w:pPr>
            <w:r w:rsidRPr="00A179AE">
              <w:rPr>
                <w:b/>
              </w:rPr>
              <w:t>Negatívne</w:t>
            </w:r>
          </w:p>
        </w:tc>
      </w:tr>
      <w:tr w:rsidR="00B96F6A" w:rsidRPr="00A179AE" w:rsidTr="00B96F6A">
        <w:tc>
          <w:tcPr>
            <w:tcW w:w="3811" w:type="dxa"/>
            <w:tcBorders>
              <w:top w:val="nil"/>
              <w:left w:val="single" w:sz="4" w:space="0" w:color="auto"/>
              <w:bottom w:val="single" w:sz="4" w:space="0" w:color="auto"/>
              <w:right w:val="single" w:sz="4" w:space="0" w:color="auto"/>
            </w:tcBorders>
            <w:shd w:val="clear" w:color="auto" w:fill="E2E2E2"/>
          </w:tcPr>
          <w:p w:rsidR="00B96F6A" w:rsidRPr="009634B3" w:rsidRDefault="00B96F6A" w:rsidP="00B96F6A">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sdtPr>
          <w:sdtContent>
            <w:tc>
              <w:tcPr>
                <w:tcW w:w="541" w:type="dxa"/>
                <w:tcBorders>
                  <w:top w:val="nil"/>
                  <w:left w:val="single" w:sz="4" w:space="0" w:color="auto"/>
                  <w:bottom w:val="single" w:sz="4" w:space="0" w:color="auto"/>
                  <w:right w:val="nil"/>
                </w:tcBorders>
              </w:tcPr>
              <w:p w:rsidR="00B96F6A" w:rsidRPr="00A179AE" w:rsidRDefault="00B96F6A" w:rsidP="00B96F6A">
                <w:pPr>
                  <w:jc w:val="center"/>
                  <w:rPr>
                    <w:b/>
                  </w:rPr>
                </w:pPr>
                <w:r w:rsidRPr="00A179AE">
                  <w:rPr>
                    <w:rFonts w:ascii="MS Mincho" w:eastAsia="MS Mincho" w:hAnsi="MS Mincho" w:cs="MS Mincho" w:hint="eastAsia"/>
                    <w:b/>
                  </w:rPr>
                  <w:t>☐</w:t>
                </w:r>
              </w:p>
            </w:tc>
          </w:sdtContent>
        </w:sdt>
        <w:tc>
          <w:tcPr>
            <w:tcW w:w="1143" w:type="dxa"/>
            <w:tcBorders>
              <w:top w:val="nil"/>
              <w:left w:val="nil"/>
              <w:bottom w:val="single" w:sz="4" w:space="0" w:color="auto"/>
              <w:right w:val="nil"/>
            </w:tcBorders>
          </w:tcPr>
          <w:p w:rsidR="00B96F6A" w:rsidRPr="00A179AE" w:rsidRDefault="00B96F6A" w:rsidP="00B96F6A">
            <w:pPr>
              <w:ind w:right="-108"/>
              <w:rPr>
                <w:b/>
              </w:rPr>
            </w:pPr>
            <w:r w:rsidRPr="00A179AE">
              <w:rPr>
                <w:b/>
              </w:rPr>
              <w:t>Pozitívne</w:t>
            </w:r>
          </w:p>
        </w:tc>
        <w:sdt>
          <w:sdtPr>
            <w:rPr>
              <w:b/>
            </w:rPr>
            <w:id w:val="-1325040833"/>
          </w:sdtPr>
          <w:sdtContent>
            <w:tc>
              <w:tcPr>
                <w:tcW w:w="944" w:type="dxa"/>
                <w:tcBorders>
                  <w:top w:val="nil"/>
                  <w:left w:val="nil"/>
                  <w:bottom w:val="single" w:sz="4" w:space="0" w:color="auto"/>
                  <w:right w:val="nil"/>
                </w:tcBorders>
              </w:tcPr>
              <w:p w:rsidR="00B96F6A" w:rsidRPr="00A179AE" w:rsidRDefault="00B96F6A" w:rsidP="00B96F6A">
                <w:pPr>
                  <w:jc w:val="center"/>
                  <w:rPr>
                    <w:b/>
                  </w:rPr>
                </w:pPr>
                <w:r>
                  <w:rPr>
                    <w:rFonts w:ascii="MS Gothic" w:eastAsia="MS Gothic" w:hAnsi="MS Gothic" w:hint="eastAsia"/>
                    <w:b/>
                  </w:rPr>
                  <w:t>☒</w:t>
                </w:r>
              </w:p>
            </w:tc>
          </w:sdtContent>
        </w:sdt>
        <w:tc>
          <w:tcPr>
            <w:tcW w:w="899" w:type="dxa"/>
            <w:tcBorders>
              <w:top w:val="nil"/>
              <w:left w:val="nil"/>
              <w:bottom w:val="single" w:sz="4" w:space="0" w:color="auto"/>
              <w:right w:val="nil"/>
            </w:tcBorders>
          </w:tcPr>
          <w:p w:rsidR="00B96F6A" w:rsidRPr="00A179AE" w:rsidRDefault="00B96F6A" w:rsidP="00B96F6A">
            <w:pPr>
              <w:rPr>
                <w:b/>
              </w:rPr>
            </w:pPr>
            <w:r w:rsidRPr="00A179AE">
              <w:rPr>
                <w:b/>
              </w:rPr>
              <w:t>Žiadne</w:t>
            </w:r>
          </w:p>
        </w:tc>
        <w:sdt>
          <w:sdtPr>
            <w:rPr>
              <w:b/>
            </w:rPr>
            <w:id w:val="2018029189"/>
          </w:sdtPr>
          <w:sdtContent>
            <w:tc>
              <w:tcPr>
                <w:tcW w:w="567" w:type="dxa"/>
                <w:tcBorders>
                  <w:top w:val="nil"/>
                  <w:left w:val="nil"/>
                  <w:bottom w:val="single" w:sz="4" w:space="0" w:color="auto"/>
                  <w:right w:val="nil"/>
                </w:tcBorders>
              </w:tcPr>
              <w:p w:rsidR="00B96F6A" w:rsidRPr="00A179AE" w:rsidRDefault="00B96F6A" w:rsidP="00B96F6A">
                <w:pPr>
                  <w:jc w:val="center"/>
                  <w:rPr>
                    <w:b/>
                  </w:rPr>
                </w:pPr>
                <w:r w:rsidRPr="00A179AE">
                  <w:rPr>
                    <w:rFonts w:ascii="MS Mincho" w:eastAsia="MS Mincho" w:hAnsi="MS Mincho" w:cs="MS Mincho" w:hint="eastAsia"/>
                    <w:b/>
                  </w:rPr>
                  <w:t>☐</w:t>
                </w:r>
              </w:p>
            </w:tc>
          </w:sdtContent>
        </w:sdt>
        <w:tc>
          <w:tcPr>
            <w:tcW w:w="1275" w:type="dxa"/>
            <w:tcBorders>
              <w:top w:val="nil"/>
              <w:left w:val="nil"/>
              <w:bottom w:val="single" w:sz="4" w:space="0" w:color="auto"/>
              <w:right w:val="single" w:sz="4" w:space="0" w:color="auto"/>
            </w:tcBorders>
          </w:tcPr>
          <w:p w:rsidR="00B96F6A" w:rsidRPr="00A179AE" w:rsidRDefault="00B96F6A" w:rsidP="00B96F6A">
            <w:pPr>
              <w:ind w:left="54"/>
              <w:rPr>
                <w:b/>
              </w:rPr>
            </w:pPr>
            <w:r w:rsidRPr="00A179AE">
              <w:rPr>
                <w:b/>
              </w:rPr>
              <w:t>Negatívne</w:t>
            </w:r>
          </w:p>
        </w:tc>
      </w:tr>
    </w:tbl>
    <w:p w:rsidR="00B96F6A" w:rsidRDefault="00B96F6A" w:rsidP="003501A1">
      <w:pPr>
        <w:ind w:right="141"/>
        <w:rPr>
          <w:b/>
        </w:rPr>
      </w:pPr>
    </w:p>
    <w:p w:rsidR="00B96F6A" w:rsidRPr="00A179AE" w:rsidRDefault="00B96F6A" w:rsidP="003501A1">
      <w:pPr>
        <w:ind w:right="141"/>
        <w:rPr>
          <w:b/>
        </w:rPr>
      </w:pPr>
    </w:p>
    <w:tbl>
      <w:tblPr>
        <w:tblStyle w:val="Mriekatabuky"/>
        <w:tblW w:w="9176" w:type="dxa"/>
        <w:tblLayout w:type="fixed"/>
        <w:tblLook w:val="04A0"/>
      </w:tblPr>
      <w:tblGrid>
        <w:gridCol w:w="9176"/>
      </w:tblGrid>
      <w:tr w:rsidR="004F6F1F" w:rsidRPr="00A179AE" w:rsidTr="00B96F6A">
        <w:tc>
          <w:tcPr>
            <w:tcW w:w="9176" w:type="dxa"/>
            <w:tcBorders>
              <w:top w:val="single" w:sz="4" w:space="0" w:color="auto"/>
              <w:left w:val="single" w:sz="4" w:space="0" w:color="auto"/>
              <w:bottom w:val="single" w:sz="4" w:space="0" w:color="auto"/>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B96F6A">
        <w:trPr>
          <w:trHeight w:val="713"/>
        </w:trPr>
        <w:tc>
          <w:tcPr>
            <w:tcW w:w="9176" w:type="dxa"/>
            <w:tcBorders>
              <w:top w:val="single" w:sz="4" w:space="0" w:color="auto"/>
              <w:left w:val="single" w:sz="4" w:space="0" w:color="auto"/>
              <w:bottom w:val="single" w:sz="4" w:space="0" w:color="auto"/>
              <w:right w:val="single" w:sz="4" w:space="0" w:color="auto"/>
            </w:tcBorders>
            <w:shd w:val="clear" w:color="auto" w:fill="auto"/>
          </w:tcPr>
          <w:p w:rsidR="00442BFD" w:rsidRPr="00B96F6A" w:rsidRDefault="00442BFD" w:rsidP="00B96F6A">
            <w:pPr>
              <w:spacing w:before="60"/>
              <w:jc w:val="both"/>
            </w:pPr>
            <w:r w:rsidRPr="00442BFD">
              <w:t>V súlade s metodickým usmernením technických poradcov EK JASPERS strategický plán neobsahuje zoznam konkrétnych projektov. MDVRR SR osobitne vypracuje finančný rámec vrátane časového harmonogramu plnenia opatrení definovaných v strategickom pláne a predloží ho na rokovanie vlády v roku 2017.</w:t>
            </w:r>
          </w:p>
          <w:p w:rsidR="004F6F1F" w:rsidRPr="00A179AE" w:rsidRDefault="004F6F1F" w:rsidP="004F6F1F">
            <w:pPr>
              <w:pStyle w:val="Odsekzoznamu"/>
              <w:spacing w:after="0" w:line="240" w:lineRule="auto"/>
              <w:ind w:left="426"/>
              <w:rPr>
                <w:rFonts w:ascii="Times New Roman" w:hAnsi="Times New Roman" w:cs="Times New Roman"/>
                <w:b/>
              </w:rPr>
            </w:pPr>
          </w:p>
        </w:tc>
      </w:tr>
      <w:tr w:rsidR="003501A1" w:rsidRPr="00A179AE" w:rsidTr="00B96F6A">
        <w:tc>
          <w:tcPr>
            <w:tcW w:w="9176"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B96F6A">
        <w:trPr>
          <w:trHeight w:val="586"/>
        </w:trPr>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rsidR="001C0E1D" w:rsidRDefault="001C0E1D" w:rsidP="00B96F6A">
            <w:pPr>
              <w:spacing w:before="60"/>
            </w:pPr>
            <w:r w:rsidRPr="00B96F6A">
              <w:t>Ministerstvo dopravy, výstavby a</w:t>
            </w:r>
            <w:r w:rsidR="001C4AF0" w:rsidRPr="00B96F6A">
              <w:t> </w:t>
            </w:r>
            <w:r w:rsidRPr="00B96F6A">
              <w:t>regionálneho</w:t>
            </w:r>
            <w:r w:rsidR="001C4AF0" w:rsidRPr="00B96F6A">
              <w:t xml:space="preserve"> </w:t>
            </w:r>
            <w:r w:rsidRPr="00B96F6A">
              <w:t>rozvoja Slovenskej republiky</w:t>
            </w:r>
          </w:p>
          <w:p w:rsidR="002804C2" w:rsidRDefault="002804C2" w:rsidP="002804C2">
            <w:r>
              <w:t>PhDr. Pavol Bžán, MA.</w:t>
            </w:r>
          </w:p>
          <w:p w:rsidR="002804C2" w:rsidRDefault="002804C2" w:rsidP="002804C2">
            <w:r>
              <w:t>riaditeľ odboru programovania a monitorovania programov</w:t>
            </w:r>
          </w:p>
          <w:p w:rsidR="002804C2" w:rsidRDefault="002804C2" w:rsidP="002804C2">
            <w:r>
              <w:t>sekcia riadenia projektov</w:t>
            </w:r>
          </w:p>
          <w:p w:rsidR="002804C2" w:rsidRDefault="002804C2" w:rsidP="002804C2">
            <w:r>
              <w:t>Námestie slobody č. 6</w:t>
            </w:r>
          </w:p>
          <w:p w:rsidR="002804C2" w:rsidRDefault="002804C2" w:rsidP="002804C2">
            <w:r>
              <w:t>810 05 Bratislava</w:t>
            </w:r>
          </w:p>
          <w:p w:rsidR="002804C2" w:rsidRDefault="002804C2" w:rsidP="002804C2">
            <w:r>
              <w:t>Slovenská republika</w:t>
            </w:r>
          </w:p>
          <w:p w:rsidR="002804C2" w:rsidRDefault="002804C2" w:rsidP="002804C2">
            <w:proofErr w:type="spellStart"/>
            <w:r>
              <w:t>tel</w:t>
            </w:r>
            <w:proofErr w:type="spellEnd"/>
            <w:r>
              <w:t>: +421 2 5949 4629</w:t>
            </w:r>
          </w:p>
          <w:p w:rsidR="002804C2" w:rsidRPr="002804C2" w:rsidRDefault="002804C2" w:rsidP="002804C2">
            <w:pPr>
              <w:spacing w:after="60"/>
            </w:pPr>
            <w:r>
              <w:t>e-mail: pavol.bzan@mindop.sk</w:t>
            </w:r>
          </w:p>
        </w:tc>
      </w:tr>
      <w:tr w:rsidR="003501A1" w:rsidRPr="00A179AE" w:rsidTr="00B96F6A">
        <w:tc>
          <w:tcPr>
            <w:tcW w:w="9176" w:type="dxa"/>
            <w:tcBorders>
              <w:top w:val="single" w:sz="4" w:space="0" w:color="auto"/>
              <w:left w:val="single" w:sz="4" w:space="0" w:color="auto"/>
              <w:bottom w:val="single" w:sz="4" w:space="0" w:color="auto"/>
              <w:right w:val="single" w:sz="4" w:space="0" w:color="auto"/>
            </w:tcBorders>
            <w:shd w:val="clear" w:color="auto" w:fill="E2E2E2"/>
          </w:tcPr>
          <w:p w:rsidR="003501A1" w:rsidRPr="001C0E1D" w:rsidRDefault="003501A1" w:rsidP="003501A1">
            <w:pPr>
              <w:pStyle w:val="Odsekzoznamu"/>
              <w:numPr>
                <w:ilvl w:val="0"/>
                <w:numId w:val="1"/>
              </w:numPr>
              <w:spacing w:after="0" w:line="240" w:lineRule="auto"/>
              <w:ind w:left="426"/>
              <w:rPr>
                <w:rFonts w:ascii="Times New Roman" w:hAnsi="Times New Roman" w:cs="Times New Roman"/>
                <w:b/>
              </w:rPr>
            </w:pPr>
            <w:r w:rsidRPr="001C0E1D">
              <w:rPr>
                <w:rFonts w:ascii="Times New Roman" w:hAnsi="Times New Roman" w:cs="Times New Roman"/>
                <w:b/>
              </w:rPr>
              <w:t>Zdroje</w:t>
            </w:r>
          </w:p>
        </w:tc>
      </w:tr>
      <w:tr w:rsidR="003501A1" w:rsidRPr="00A179AE" w:rsidTr="00B96F6A">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rsidR="00442BFD" w:rsidRPr="00667D59" w:rsidRDefault="00B96F6A" w:rsidP="00667D59">
            <w:pPr>
              <w:pStyle w:val="Odsekzoznamu"/>
              <w:numPr>
                <w:ilvl w:val="0"/>
                <w:numId w:val="6"/>
              </w:numPr>
              <w:spacing w:before="60" w:after="0" w:line="240" w:lineRule="auto"/>
              <w:ind w:left="426"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Strategický plán rozvoja dopravnej infraštruktúry SR do roku 2020</w:t>
            </w:r>
            <w:r w:rsidR="00A717B1" w:rsidRPr="00667D59">
              <w:rPr>
                <w:rFonts w:ascii="Times New Roman" w:hAnsi="Times New Roman" w:cs="Times New Roman"/>
                <w:sz w:val="20"/>
                <w:szCs w:val="20"/>
              </w:rPr>
              <w:t xml:space="preserve"> (I. fáza)</w:t>
            </w:r>
            <w:r w:rsidR="00667D59">
              <w:rPr>
                <w:rFonts w:ascii="Times New Roman" w:hAnsi="Times New Roman" w:cs="Times New Roman"/>
                <w:sz w:val="20"/>
                <w:szCs w:val="20"/>
              </w:rPr>
              <w:t>,</w:t>
            </w:r>
          </w:p>
          <w:p w:rsidR="006A482C" w:rsidRPr="00667D59" w:rsidRDefault="006A482C" w:rsidP="00667D59">
            <w:pPr>
              <w:pStyle w:val="Odsekzoznamu"/>
              <w:numPr>
                <w:ilvl w:val="0"/>
                <w:numId w:val="6"/>
              </w:numPr>
              <w:spacing w:after="0" w:line="240" w:lineRule="auto"/>
              <w:ind w:left="426"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 xml:space="preserve">Operačný program Integrovaná infraštruktúra 2014 </w:t>
            </w:r>
            <w:r w:rsidR="00667D59">
              <w:rPr>
                <w:rFonts w:ascii="Times New Roman" w:hAnsi="Times New Roman" w:cs="Times New Roman"/>
                <w:sz w:val="20"/>
                <w:szCs w:val="20"/>
              </w:rPr>
              <w:t>–</w:t>
            </w:r>
            <w:r w:rsidRPr="00667D59">
              <w:rPr>
                <w:rFonts w:ascii="Times New Roman" w:hAnsi="Times New Roman" w:cs="Times New Roman"/>
                <w:sz w:val="20"/>
                <w:szCs w:val="20"/>
              </w:rPr>
              <w:t xml:space="preserve"> 2020</w:t>
            </w:r>
            <w:r w:rsidR="00667D59">
              <w:rPr>
                <w:rFonts w:ascii="Times New Roman" w:hAnsi="Times New Roman" w:cs="Times New Roman"/>
                <w:sz w:val="20"/>
                <w:szCs w:val="20"/>
              </w:rPr>
              <w:t>,</w:t>
            </w:r>
          </w:p>
          <w:p w:rsidR="00442BFD" w:rsidRPr="00667D59" w:rsidRDefault="00442BFD" w:rsidP="00667D59">
            <w:pPr>
              <w:pStyle w:val="Odsekzoznamu"/>
              <w:numPr>
                <w:ilvl w:val="0"/>
                <w:numId w:val="6"/>
              </w:numPr>
              <w:spacing w:after="0" w:line="240" w:lineRule="auto"/>
              <w:ind w:left="426"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Dopravný model Slovenskej republiky</w:t>
            </w:r>
            <w:r w:rsidR="00667D59">
              <w:rPr>
                <w:rFonts w:ascii="Times New Roman" w:hAnsi="Times New Roman" w:cs="Times New Roman"/>
                <w:sz w:val="20"/>
                <w:szCs w:val="20"/>
              </w:rPr>
              <w:t>,</w:t>
            </w:r>
          </w:p>
          <w:p w:rsidR="003501A1" w:rsidRPr="00667D59" w:rsidRDefault="00665C5C" w:rsidP="00667D59">
            <w:pPr>
              <w:pStyle w:val="Odsekzoznamu"/>
              <w:numPr>
                <w:ilvl w:val="0"/>
                <w:numId w:val="6"/>
              </w:numPr>
              <w:spacing w:after="0" w:line="240" w:lineRule="auto"/>
              <w:ind w:left="426"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k</w:t>
            </w:r>
            <w:r w:rsidR="001C0E1D" w:rsidRPr="00667D59">
              <w:rPr>
                <w:rFonts w:ascii="Times New Roman" w:hAnsi="Times New Roman" w:cs="Times New Roman"/>
                <w:sz w:val="20"/>
                <w:szCs w:val="20"/>
              </w:rPr>
              <w:t>onzultácie so zástupcami odvetvových združení, zväzov a</w:t>
            </w:r>
            <w:r w:rsidR="00667D59">
              <w:rPr>
                <w:rFonts w:ascii="Times New Roman" w:hAnsi="Times New Roman" w:cs="Times New Roman"/>
                <w:sz w:val="20"/>
                <w:szCs w:val="20"/>
              </w:rPr>
              <w:t> </w:t>
            </w:r>
            <w:r w:rsidR="00B96F6A" w:rsidRPr="00667D59">
              <w:rPr>
                <w:rFonts w:ascii="Times New Roman" w:hAnsi="Times New Roman" w:cs="Times New Roman"/>
                <w:sz w:val="20"/>
                <w:szCs w:val="20"/>
              </w:rPr>
              <w:t>komôr</w:t>
            </w:r>
            <w:r w:rsidR="00667D59">
              <w:rPr>
                <w:rFonts w:ascii="Times New Roman" w:hAnsi="Times New Roman" w:cs="Times New Roman"/>
                <w:sz w:val="20"/>
                <w:szCs w:val="20"/>
              </w:rPr>
              <w:t>,</w:t>
            </w:r>
          </w:p>
          <w:p w:rsidR="002804C2" w:rsidRPr="00667D59" w:rsidRDefault="002804C2" w:rsidP="00667D59">
            <w:pPr>
              <w:pStyle w:val="Odsekzoznamu"/>
              <w:numPr>
                <w:ilvl w:val="0"/>
                <w:numId w:val="6"/>
              </w:numPr>
              <w:spacing w:after="0" w:line="240" w:lineRule="auto"/>
              <w:ind w:left="426"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Strategický plán rozvoja dopravy SR do roku 2030 – II. fáza - Správa o hodnotení strategického dokumentu (Výskumný ústav dopravný, 2016)</w:t>
            </w:r>
            <w:r w:rsidR="00667D59">
              <w:rPr>
                <w:rFonts w:ascii="Times New Roman" w:hAnsi="Times New Roman" w:cs="Times New Roman"/>
                <w:sz w:val="20"/>
                <w:szCs w:val="20"/>
              </w:rPr>
              <w:t>,</w:t>
            </w:r>
          </w:p>
          <w:p w:rsidR="00B96F6A" w:rsidRPr="00667D59" w:rsidRDefault="00562A1D" w:rsidP="00667D59">
            <w:pPr>
              <w:pStyle w:val="Odsekzoznamu"/>
              <w:numPr>
                <w:ilvl w:val="0"/>
                <w:numId w:val="6"/>
              </w:numPr>
              <w:spacing w:after="60" w:line="240" w:lineRule="auto"/>
              <w:ind w:left="425" w:hanging="357"/>
              <w:contextualSpacing w:val="0"/>
              <w:jc w:val="both"/>
              <w:rPr>
                <w:rFonts w:ascii="Times New Roman" w:hAnsi="Times New Roman" w:cs="Times New Roman"/>
                <w:sz w:val="20"/>
                <w:szCs w:val="20"/>
              </w:rPr>
            </w:pPr>
            <w:r w:rsidRPr="00667D59">
              <w:rPr>
                <w:rFonts w:ascii="Times New Roman" w:hAnsi="Times New Roman" w:cs="Times New Roman"/>
                <w:sz w:val="20"/>
                <w:szCs w:val="20"/>
              </w:rPr>
              <w:t>a</w:t>
            </w:r>
            <w:r w:rsidR="00667D59">
              <w:rPr>
                <w:rFonts w:ascii="Times New Roman" w:hAnsi="Times New Roman" w:cs="Times New Roman"/>
                <w:sz w:val="20"/>
                <w:szCs w:val="20"/>
              </w:rPr>
              <w:t> </w:t>
            </w:r>
            <w:r w:rsidRPr="00667D59">
              <w:rPr>
                <w:rFonts w:ascii="Times New Roman" w:hAnsi="Times New Roman" w:cs="Times New Roman"/>
                <w:sz w:val="20"/>
                <w:szCs w:val="20"/>
              </w:rPr>
              <w:t>iné</w:t>
            </w:r>
            <w:r w:rsidR="00667D59">
              <w:rPr>
                <w:rFonts w:ascii="Times New Roman" w:hAnsi="Times New Roman" w:cs="Times New Roman"/>
                <w:sz w:val="20"/>
                <w:szCs w:val="20"/>
              </w:rPr>
              <w:t>.</w:t>
            </w:r>
          </w:p>
        </w:tc>
      </w:tr>
      <w:tr w:rsidR="003501A1" w:rsidRPr="00A179AE" w:rsidTr="00B96F6A">
        <w:tc>
          <w:tcPr>
            <w:tcW w:w="9176" w:type="dxa"/>
            <w:tcBorders>
              <w:top w:val="single" w:sz="4" w:space="0" w:color="auto"/>
              <w:left w:val="single" w:sz="4" w:space="0" w:color="auto"/>
              <w:bottom w:val="single" w:sz="4" w:space="0" w:color="auto"/>
              <w:right w:val="single" w:sz="4" w:space="0" w:color="auto"/>
            </w:tcBorders>
            <w:shd w:val="clear" w:color="auto" w:fill="E2E2E2"/>
          </w:tcPr>
          <w:p w:rsidR="003501A1" w:rsidRPr="001C0E1D" w:rsidRDefault="003501A1" w:rsidP="003501A1">
            <w:pPr>
              <w:pStyle w:val="Odsekzoznamu"/>
              <w:numPr>
                <w:ilvl w:val="0"/>
                <w:numId w:val="1"/>
              </w:numPr>
              <w:spacing w:after="0" w:line="240" w:lineRule="auto"/>
              <w:ind w:left="426"/>
              <w:rPr>
                <w:rFonts w:ascii="Times New Roman" w:hAnsi="Times New Roman" w:cs="Times New Roman"/>
                <w:b/>
              </w:rPr>
            </w:pPr>
            <w:r w:rsidRPr="001C0E1D">
              <w:rPr>
                <w:rFonts w:ascii="Times New Roman" w:hAnsi="Times New Roman" w:cs="Times New Roman"/>
                <w:b/>
              </w:rPr>
              <w:t>Stanovisko Komisie pre posudzovanie vybraných vplyvov z PPK</w:t>
            </w:r>
          </w:p>
        </w:tc>
      </w:tr>
      <w:tr w:rsidR="003501A1" w:rsidRPr="00A179AE" w:rsidTr="00B96F6A">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rsidR="00BB3DBA" w:rsidRDefault="00254F98" w:rsidP="00BB3DBA">
            <w:pPr>
              <w:spacing w:before="60"/>
              <w:jc w:val="both"/>
            </w:pPr>
            <w:r w:rsidRPr="00254F98">
              <w:t xml:space="preserve">V súlade s </w:t>
            </w:r>
            <w:r>
              <w:t>ustanoveniami</w:t>
            </w:r>
            <w:r w:rsidRPr="00254F98">
              <w:t xml:space="preserve"> Jednotnej metodiky na posudzovanie vybraných vply</w:t>
            </w:r>
            <w:r>
              <w:t>vov požiadalo MDVRR SR dňa </w:t>
            </w:r>
            <w:r w:rsidRPr="00254F98">
              <w:t>1</w:t>
            </w:r>
            <w:r>
              <w:t>8</w:t>
            </w:r>
            <w:r w:rsidRPr="00254F98">
              <w:t>.0</w:t>
            </w:r>
            <w:r>
              <w:t>5</w:t>
            </w:r>
            <w:r w:rsidRPr="00254F98">
              <w:t>.2016 Ministerstvo hospodárstva SR (MH SR) o zaslanie stanovi</w:t>
            </w:r>
            <w:r>
              <w:t>ska, či je potrebné vzhľadom na </w:t>
            </w:r>
            <w:r w:rsidRPr="00254F98">
              <w:t xml:space="preserve">charakter </w:t>
            </w:r>
            <w:r>
              <w:t>dokumentu</w:t>
            </w:r>
            <w:r w:rsidRPr="00254F98">
              <w:t xml:space="preserve"> vykonať konzultácie s podnikateľskými subjektmi. MH SR dňa </w:t>
            </w:r>
            <w:r>
              <w:t>26</w:t>
            </w:r>
            <w:r w:rsidRPr="00254F98">
              <w:t>.0</w:t>
            </w:r>
            <w:r>
              <w:t>5</w:t>
            </w:r>
            <w:r w:rsidRPr="00254F98">
              <w:t xml:space="preserve">.2016 MDVRR SR oznámilo, že </w:t>
            </w:r>
            <w:r>
              <w:t>takéto konzultácie „</w:t>
            </w:r>
            <w:r w:rsidRPr="00254F98">
              <w:rPr>
                <w:b/>
              </w:rPr>
              <w:t>odporúča</w:t>
            </w:r>
            <w:r>
              <w:t>“ vykonať.</w:t>
            </w:r>
            <w:r w:rsidR="00BB3DBA">
              <w:t xml:space="preserve"> </w:t>
            </w:r>
          </w:p>
          <w:p w:rsidR="00667D59" w:rsidRPr="001C0E1D" w:rsidRDefault="00BB3DBA" w:rsidP="00A6595E">
            <w:pPr>
              <w:spacing w:before="60"/>
              <w:jc w:val="both"/>
              <w:rPr>
                <w:b/>
              </w:rPr>
            </w:pPr>
            <w:r>
              <w:t>V nadväznosti na stanovisko MH SR bol n</w:t>
            </w:r>
            <w:r w:rsidRPr="00676477">
              <w:t xml:space="preserve">ávrh </w:t>
            </w:r>
            <w:r>
              <w:t>strategického plánu</w:t>
            </w:r>
            <w:r w:rsidRPr="00676477">
              <w:t xml:space="preserve"> konzultovaný so zástupcami odvetvových </w:t>
            </w:r>
            <w:r w:rsidRPr="00676477">
              <w:lastRenderedPageBreak/>
              <w:t xml:space="preserve">združení, zväzov a komôr, ktoré zastrešujú aktivity jednotlivých podnikateľských subjektov. </w:t>
            </w:r>
            <w:r>
              <w:t>Podnikateľské konzultácie boli</w:t>
            </w:r>
            <w:r w:rsidRPr="00676477">
              <w:t xml:space="preserve"> realizované v termíne od 04.10. do 01.11.2016</w:t>
            </w:r>
            <w:r>
              <w:t xml:space="preserve">. </w:t>
            </w:r>
            <w:r w:rsidRPr="00676477">
              <w:t xml:space="preserve">V rámci konzultácií prebiehala komunikácia so Slovenskou obchodnou a priemyselnou komorou, </w:t>
            </w:r>
            <w:r>
              <w:t xml:space="preserve">Zväzom automobilového priemyslu SR, </w:t>
            </w:r>
            <w:r w:rsidRPr="00676477">
              <w:t>Zväzom st</w:t>
            </w:r>
            <w:r>
              <w:t>avebných podnikateľov Slovenska</w:t>
            </w:r>
            <w:r w:rsidRPr="00676477">
              <w:t>, Klubom 500, Slovenským plynárenským a naftovým zväz</w:t>
            </w:r>
            <w:r>
              <w:t xml:space="preserve">om a </w:t>
            </w:r>
            <w:r w:rsidRPr="00676477">
              <w:t>Zväzom chemického a farmaceutického priemyslu Slovenskej republiky</w:t>
            </w:r>
            <w:r>
              <w:t xml:space="preserve">. </w:t>
            </w:r>
            <w:r w:rsidR="00667D59">
              <w:t>Dňa 0</w:t>
            </w:r>
            <w:r>
              <w:t xml:space="preserve">9.11.2016 </w:t>
            </w:r>
            <w:r w:rsidR="00667D59">
              <w:t xml:space="preserve">sa </w:t>
            </w:r>
            <w:r>
              <w:t xml:space="preserve">na MDVRR SR </w:t>
            </w:r>
            <w:r w:rsidR="00667D59">
              <w:t xml:space="preserve">zároveň </w:t>
            </w:r>
            <w:r>
              <w:t>uskutočnilo pracovné stretnutie s podnikateľskými subjektmi</w:t>
            </w:r>
            <w:r w:rsidR="00667D59">
              <w:t xml:space="preserve">, a to za účelom vytvorenia </w:t>
            </w:r>
            <w:r w:rsidR="00667D59" w:rsidRPr="00667D59">
              <w:t>dodatočn</w:t>
            </w:r>
            <w:r w:rsidR="00667D59">
              <w:t>ého priestoru</w:t>
            </w:r>
            <w:r w:rsidR="00667D59" w:rsidRPr="00667D59">
              <w:t xml:space="preserve"> </w:t>
            </w:r>
            <w:r w:rsidR="00667D59">
              <w:t>na diskusiu k </w:t>
            </w:r>
            <w:r w:rsidR="00667D59" w:rsidRPr="00667D59">
              <w:t>uplatneným pripomienkam a</w:t>
            </w:r>
            <w:r w:rsidR="00667D59">
              <w:t> vysve</w:t>
            </w:r>
            <w:r w:rsidR="00493102">
              <w:t>tleniu prípadných nezrovnalostí (pozn.: záznam z pracovného stretnutia je </w:t>
            </w:r>
            <w:bookmarkStart w:id="0" w:name="_GoBack"/>
            <w:bookmarkEnd w:id="0"/>
            <w:r w:rsidR="00493102">
              <w:t>dostupný na vyžiadanie na MDVRR SR).</w:t>
            </w:r>
          </w:p>
          <w:p w:rsidR="003501A1" w:rsidRPr="001C0E1D" w:rsidRDefault="003501A1" w:rsidP="007B71A4">
            <w:pPr>
              <w:rPr>
                <w:b/>
              </w:rPr>
            </w:pPr>
          </w:p>
        </w:tc>
      </w:tr>
    </w:tbl>
    <w:p w:rsidR="003501A1" w:rsidRDefault="003501A1" w:rsidP="003501A1">
      <w:pPr>
        <w:rPr>
          <w:b/>
        </w:rPr>
      </w:pPr>
    </w:p>
    <w:p w:rsidR="003501A1" w:rsidRDefault="003501A1" w:rsidP="003501A1">
      <w:pPr>
        <w:rPr>
          <w:b/>
        </w:rPr>
      </w:pPr>
    </w:p>
    <w:p w:rsidR="00CB3623" w:rsidRDefault="00CB3623"/>
    <w:sectPr w:rsidR="00CB3623" w:rsidSect="00CC6EB9">
      <w:footerReference w:type="default" r:id="rId8"/>
      <w:pgSz w:w="11906" w:h="16838"/>
      <w:pgMar w:top="1417"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F5" w:rsidRDefault="00286BF5" w:rsidP="003501A1">
      <w:r>
        <w:separator/>
      </w:r>
    </w:p>
  </w:endnote>
  <w:endnote w:type="continuationSeparator" w:id="0">
    <w:p w:rsidR="00286BF5" w:rsidRDefault="00286BF5" w:rsidP="003501A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14346"/>
      <w:docPartObj>
        <w:docPartGallery w:val="Page Numbers (Bottom of Page)"/>
        <w:docPartUnique/>
      </w:docPartObj>
    </w:sdtPr>
    <w:sdtEndPr>
      <w:rPr>
        <w:sz w:val="24"/>
        <w:szCs w:val="24"/>
      </w:rPr>
    </w:sdtEndPr>
    <w:sdtContent>
      <w:p w:rsidR="00CC6EB9" w:rsidRPr="00CC6EB9" w:rsidRDefault="00D23341">
        <w:pPr>
          <w:pStyle w:val="Pta"/>
          <w:jc w:val="center"/>
          <w:rPr>
            <w:sz w:val="24"/>
            <w:szCs w:val="24"/>
          </w:rPr>
        </w:pPr>
        <w:r w:rsidRPr="00CC6EB9">
          <w:rPr>
            <w:sz w:val="24"/>
            <w:szCs w:val="24"/>
          </w:rPr>
          <w:fldChar w:fldCharType="begin"/>
        </w:r>
        <w:r w:rsidR="00CC6EB9" w:rsidRPr="00CC6EB9">
          <w:rPr>
            <w:sz w:val="24"/>
            <w:szCs w:val="24"/>
          </w:rPr>
          <w:instrText>PAGE   \* MERGEFORMAT</w:instrText>
        </w:r>
        <w:r w:rsidRPr="00CC6EB9">
          <w:rPr>
            <w:sz w:val="24"/>
            <w:szCs w:val="24"/>
          </w:rPr>
          <w:fldChar w:fldCharType="separate"/>
        </w:r>
        <w:r w:rsidR="00BF66BD">
          <w:rPr>
            <w:noProof/>
            <w:sz w:val="24"/>
            <w:szCs w:val="24"/>
          </w:rPr>
          <w:t>1</w:t>
        </w:r>
        <w:r w:rsidRPr="00CC6EB9">
          <w:rPr>
            <w:sz w:val="24"/>
            <w:szCs w:val="24"/>
          </w:rPr>
          <w:fldChar w:fldCharType="end"/>
        </w:r>
      </w:p>
    </w:sdtContent>
  </w:sdt>
  <w:p w:rsidR="00CC6EB9" w:rsidRDefault="00CC6EB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F5" w:rsidRDefault="00286BF5" w:rsidP="003501A1">
      <w:r>
        <w:separator/>
      </w:r>
    </w:p>
  </w:footnote>
  <w:footnote w:type="continuationSeparator" w:id="0">
    <w:p w:rsidR="00286BF5" w:rsidRDefault="00286BF5" w:rsidP="00350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211"/>
    <w:multiLevelType w:val="hybridMultilevel"/>
    <w:tmpl w:val="9C806FE2"/>
    <w:lvl w:ilvl="0" w:tplc="9E803478">
      <w:start w:val="1"/>
      <w:numFmt w:val="lowerLetter"/>
      <w:lvlText w:val="%1)"/>
      <w:lvlJc w:val="left"/>
      <w:pPr>
        <w:ind w:left="720" w:hanging="360"/>
      </w:pPr>
      <w:rPr>
        <w:rFonts w:ascii="Times New Roman" w:hAnsi="Times New Roman" w:cs="Times New Roman"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E1F30AE"/>
    <w:multiLevelType w:val="hybridMultilevel"/>
    <w:tmpl w:val="614E8C7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17362DE"/>
    <w:multiLevelType w:val="hybridMultilevel"/>
    <w:tmpl w:val="308817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DF13F85"/>
    <w:multiLevelType w:val="hybridMultilevel"/>
    <w:tmpl w:val="497A33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1A465E8"/>
    <w:multiLevelType w:val="hybridMultilevel"/>
    <w:tmpl w:val="74BCF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65A86"/>
    <w:rsid w:val="00024FAE"/>
    <w:rsid w:val="00036A60"/>
    <w:rsid w:val="000850A1"/>
    <w:rsid w:val="000A0383"/>
    <w:rsid w:val="000D2D8D"/>
    <w:rsid w:val="000D40AB"/>
    <w:rsid w:val="0011693A"/>
    <w:rsid w:val="00175FD8"/>
    <w:rsid w:val="001953A1"/>
    <w:rsid w:val="001A1559"/>
    <w:rsid w:val="001C0E1D"/>
    <w:rsid w:val="001C4AF0"/>
    <w:rsid w:val="00254F98"/>
    <w:rsid w:val="002804C2"/>
    <w:rsid w:val="00286BF5"/>
    <w:rsid w:val="00312F3E"/>
    <w:rsid w:val="003501A1"/>
    <w:rsid w:val="003679F2"/>
    <w:rsid w:val="00395098"/>
    <w:rsid w:val="003B2DAA"/>
    <w:rsid w:val="003C6BA4"/>
    <w:rsid w:val="003D283C"/>
    <w:rsid w:val="00442BFD"/>
    <w:rsid w:val="0045465B"/>
    <w:rsid w:val="00493102"/>
    <w:rsid w:val="004B0B00"/>
    <w:rsid w:val="004C1FD3"/>
    <w:rsid w:val="004C60B8"/>
    <w:rsid w:val="004C794A"/>
    <w:rsid w:val="004F22BB"/>
    <w:rsid w:val="004F6F1F"/>
    <w:rsid w:val="004F7D6F"/>
    <w:rsid w:val="00513EF9"/>
    <w:rsid w:val="00562A1D"/>
    <w:rsid w:val="00570B48"/>
    <w:rsid w:val="005B7A8D"/>
    <w:rsid w:val="005C7930"/>
    <w:rsid w:val="005F1F02"/>
    <w:rsid w:val="00643EEB"/>
    <w:rsid w:val="006450AC"/>
    <w:rsid w:val="00665C5C"/>
    <w:rsid w:val="00667D59"/>
    <w:rsid w:val="00685D5D"/>
    <w:rsid w:val="006951B9"/>
    <w:rsid w:val="006A482C"/>
    <w:rsid w:val="006C3B7D"/>
    <w:rsid w:val="00717F93"/>
    <w:rsid w:val="0072050F"/>
    <w:rsid w:val="00752BEA"/>
    <w:rsid w:val="00766371"/>
    <w:rsid w:val="007965BC"/>
    <w:rsid w:val="007C56CB"/>
    <w:rsid w:val="00805FE7"/>
    <w:rsid w:val="008512A7"/>
    <w:rsid w:val="00874DB8"/>
    <w:rsid w:val="00880435"/>
    <w:rsid w:val="00883584"/>
    <w:rsid w:val="008E5B6A"/>
    <w:rsid w:val="00907980"/>
    <w:rsid w:val="00922A80"/>
    <w:rsid w:val="009B1D25"/>
    <w:rsid w:val="00A6595E"/>
    <w:rsid w:val="00A717B1"/>
    <w:rsid w:val="00AA0839"/>
    <w:rsid w:val="00AB16BC"/>
    <w:rsid w:val="00AC2477"/>
    <w:rsid w:val="00B10FF9"/>
    <w:rsid w:val="00B65A86"/>
    <w:rsid w:val="00B96F6A"/>
    <w:rsid w:val="00BB3DBA"/>
    <w:rsid w:val="00BE581F"/>
    <w:rsid w:val="00BF66BD"/>
    <w:rsid w:val="00BF73F4"/>
    <w:rsid w:val="00C11A2E"/>
    <w:rsid w:val="00C53E97"/>
    <w:rsid w:val="00CB3623"/>
    <w:rsid w:val="00CC6EB9"/>
    <w:rsid w:val="00D004F7"/>
    <w:rsid w:val="00D13B6F"/>
    <w:rsid w:val="00D22FFB"/>
    <w:rsid w:val="00D23341"/>
    <w:rsid w:val="00D36D35"/>
    <w:rsid w:val="00D75D35"/>
    <w:rsid w:val="00D94CDA"/>
    <w:rsid w:val="00DE2A12"/>
    <w:rsid w:val="00DF4417"/>
    <w:rsid w:val="00E253C7"/>
    <w:rsid w:val="00E30B7C"/>
    <w:rsid w:val="00EB59E3"/>
    <w:rsid w:val="00EF466C"/>
    <w:rsid w:val="00F1100D"/>
    <w:rsid w:val="00F22831"/>
    <w:rsid w:val="00F6277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s>
</file>

<file path=word/webSettings.xml><?xml version="1.0" encoding="utf-8"?>
<w:webSettings xmlns:r="http://schemas.openxmlformats.org/officeDocument/2006/relationships" xmlns:w="http://schemas.openxmlformats.org/wordprocessingml/2006/main">
  <w:divs>
    <w:div w:id="711540555">
      <w:bodyDiv w:val="1"/>
      <w:marLeft w:val="0"/>
      <w:marRight w:val="0"/>
      <w:marTop w:val="0"/>
      <w:marBottom w:val="0"/>
      <w:divBdr>
        <w:top w:val="none" w:sz="0" w:space="0" w:color="auto"/>
        <w:left w:val="none" w:sz="0" w:space="0" w:color="auto"/>
        <w:bottom w:val="none" w:sz="0" w:space="0" w:color="auto"/>
        <w:right w:val="none" w:sz="0" w:space="0" w:color="auto"/>
      </w:divBdr>
    </w:div>
    <w:div w:id="11906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4BD6-CF81-4A5D-AFAE-58923FD1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1806</Words>
  <Characters>10299</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behil</cp:lastModifiedBy>
  <cp:revision>44</cp:revision>
  <cp:lastPrinted>2016-11-12T12:52:00Z</cp:lastPrinted>
  <dcterms:created xsi:type="dcterms:W3CDTF">2016-04-12T09:50:00Z</dcterms:created>
  <dcterms:modified xsi:type="dcterms:W3CDTF">2016-11-29T12:37:00Z</dcterms:modified>
</cp:coreProperties>
</file>