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29" w:rsidRPr="007D5B9C" w:rsidRDefault="00367329" w:rsidP="00367329">
      <w:pPr>
        <w:pStyle w:val="Zkladntext"/>
        <w:widowControl/>
        <w:jc w:val="both"/>
        <w:rPr>
          <w:b/>
          <w:bCs/>
          <w:color w:val="auto"/>
        </w:rPr>
      </w:pPr>
    </w:p>
    <w:p w:rsidR="00367329" w:rsidRPr="007D5B9C" w:rsidRDefault="000E4A85" w:rsidP="00367329">
      <w:pPr>
        <w:pStyle w:val="Zkladntext"/>
        <w:widowControl/>
        <w:jc w:val="both"/>
        <w:rPr>
          <w:b/>
          <w:bCs/>
          <w:color w:val="auto"/>
        </w:rPr>
      </w:pPr>
      <w:r>
        <w:rPr>
          <w:noProof/>
        </w:rPr>
        <w:drawing>
          <wp:inline distT="0" distB="0" distL="0" distR="0" wp14:anchorId="5974B808" wp14:editId="6DC4EB09">
            <wp:extent cx="723265" cy="712470"/>
            <wp:effectExtent l="0" t="0" r="0" b="0"/>
            <wp:docPr id="1" name="Obrázok 1" descr="ZM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ZMOS CMYK"/>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p w:rsidR="00367329" w:rsidRPr="007D5B9C" w:rsidRDefault="00367329" w:rsidP="00367329">
      <w:pPr>
        <w:pStyle w:val="Nadpis1"/>
        <w:jc w:val="both"/>
        <w:rPr>
          <w:rFonts w:ascii="Times New Roman" w:hAnsi="Times New Roman"/>
          <w:sz w:val="20"/>
        </w:rPr>
      </w:pPr>
      <w:r w:rsidRPr="007D5B9C">
        <w:rPr>
          <w:rFonts w:ascii="Times New Roman" w:hAnsi="Times New Roman"/>
          <w:sz w:val="20"/>
        </w:rPr>
        <w:t xml:space="preserve">Materiál na rokovanie </w:t>
      </w:r>
    </w:p>
    <w:p w:rsidR="00367329" w:rsidRPr="007D5B9C" w:rsidRDefault="00367329" w:rsidP="00367329">
      <w:pPr>
        <w:rPr>
          <w:b/>
          <w:bCs/>
          <w:sz w:val="20"/>
          <w:szCs w:val="20"/>
        </w:rPr>
      </w:pPr>
      <w:r w:rsidRPr="007D5B9C">
        <w:rPr>
          <w:b/>
          <w:bCs/>
          <w:sz w:val="20"/>
          <w:szCs w:val="20"/>
        </w:rPr>
        <w:t>Hospodárskej a sociálnej rady SR</w:t>
      </w:r>
    </w:p>
    <w:p w:rsidR="00367329" w:rsidRPr="007D5B9C" w:rsidRDefault="009325AA" w:rsidP="00367329">
      <w:pPr>
        <w:pStyle w:val="Nadpis1"/>
        <w:jc w:val="both"/>
        <w:rPr>
          <w:rFonts w:ascii="Times New Roman" w:hAnsi="Times New Roman"/>
          <w:sz w:val="20"/>
        </w:rPr>
      </w:pPr>
      <w:r>
        <w:rPr>
          <w:rFonts w:ascii="Times New Roman" w:hAnsi="Times New Roman"/>
          <w:sz w:val="20"/>
        </w:rPr>
        <w:t>d</w:t>
      </w:r>
      <w:r w:rsidR="00367329" w:rsidRPr="007D5B9C">
        <w:rPr>
          <w:rFonts w:ascii="Times New Roman" w:hAnsi="Times New Roman"/>
          <w:sz w:val="20"/>
        </w:rPr>
        <w:t>ňa</w:t>
      </w:r>
      <w:r>
        <w:rPr>
          <w:rFonts w:ascii="Times New Roman" w:hAnsi="Times New Roman"/>
          <w:sz w:val="20"/>
        </w:rPr>
        <w:t xml:space="preserve"> 12.12</w:t>
      </w:r>
      <w:r w:rsidR="00367329" w:rsidRPr="007D5B9C">
        <w:rPr>
          <w:rFonts w:ascii="Times New Roman" w:hAnsi="Times New Roman"/>
          <w:sz w:val="20"/>
        </w:rPr>
        <w:t>.2016</w:t>
      </w:r>
    </w:p>
    <w:p w:rsidR="009325AA" w:rsidRDefault="009325AA" w:rsidP="009325AA">
      <w:pPr>
        <w:ind w:right="98"/>
        <w:jc w:val="both"/>
        <w:rPr>
          <w:b/>
          <w:lang w:eastAsia="cs-CZ"/>
        </w:rPr>
      </w:pPr>
    </w:p>
    <w:p w:rsidR="00367329" w:rsidRPr="007D5B9C" w:rsidRDefault="009325AA" w:rsidP="009325AA">
      <w:pPr>
        <w:ind w:left="7080" w:right="98"/>
        <w:jc w:val="both"/>
        <w:rPr>
          <w:b/>
          <w:bCs/>
          <w:sz w:val="28"/>
          <w:szCs w:val="28"/>
        </w:rPr>
      </w:pPr>
      <w:r>
        <w:rPr>
          <w:b/>
          <w:lang w:eastAsia="cs-CZ"/>
        </w:rPr>
        <w:t xml:space="preserve">      </w:t>
      </w:r>
      <w:r w:rsidR="00367329">
        <w:rPr>
          <w:b/>
          <w:bCs/>
          <w:sz w:val="28"/>
          <w:szCs w:val="28"/>
        </w:rPr>
        <w:t>k</w:t>
      </w:r>
      <w:r w:rsidR="00367329" w:rsidRPr="007D5B9C">
        <w:rPr>
          <w:b/>
          <w:bCs/>
          <w:sz w:val="28"/>
          <w:szCs w:val="28"/>
        </w:rPr>
        <w:t> bodu č. 11)</w:t>
      </w:r>
    </w:p>
    <w:p w:rsidR="00367329" w:rsidRPr="007D5B9C" w:rsidRDefault="00367329" w:rsidP="00367329">
      <w:pPr>
        <w:tabs>
          <w:tab w:val="left" w:pos="6570"/>
        </w:tabs>
        <w:jc w:val="center"/>
        <w:rPr>
          <w:b/>
          <w:bCs/>
          <w:sz w:val="28"/>
          <w:szCs w:val="28"/>
        </w:rPr>
      </w:pPr>
    </w:p>
    <w:p w:rsidR="00367329" w:rsidRPr="00994619" w:rsidRDefault="00367329" w:rsidP="00367329">
      <w:pPr>
        <w:spacing w:after="200"/>
        <w:jc w:val="center"/>
        <w:rPr>
          <w:b/>
          <w:sz w:val="28"/>
          <w:szCs w:val="28"/>
        </w:rPr>
      </w:pPr>
      <w:r w:rsidRPr="00994619">
        <w:rPr>
          <w:b/>
          <w:bCs/>
          <w:sz w:val="28"/>
          <w:szCs w:val="28"/>
        </w:rPr>
        <w:t xml:space="preserve">Stanovisko k </w:t>
      </w:r>
      <w:r w:rsidRPr="00994619">
        <w:rPr>
          <w:b/>
          <w:sz w:val="28"/>
          <w:szCs w:val="28"/>
        </w:rPr>
        <w:t>návrhu zákona, ktorým</w:t>
      </w:r>
      <w:r w:rsidR="00994619">
        <w:rPr>
          <w:b/>
          <w:sz w:val="28"/>
          <w:szCs w:val="28"/>
        </w:rPr>
        <w:t xml:space="preserve"> sa mení a dopĺňa zákon </w:t>
      </w:r>
      <w:r w:rsidRPr="00994619">
        <w:rPr>
          <w:b/>
          <w:sz w:val="28"/>
          <w:szCs w:val="28"/>
        </w:rPr>
        <w:t>č. 571/2009 Z. z. o rodičovskom príspevku a o zmene a doplnení niektorých zákonov v znení neskorších predpisov</w:t>
      </w:r>
    </w:p>
    <w:p w:rsidR="00367329" w:rsidRPr="00FD2198" w:rsidRDefault="00367329" w:rsidP="00FD2198">
      <w:pPr>
        <w:jc w:val="both"/>
        <w:rPr>
          <w:b/>
          <w:bCs/>
        </w:rPr>
      </w:pPr>
      <w:r w:rsidRPr="000E4A85">
        <w:rPr>
          <w:b/>
          <w:bCs/>
        </w:rPr>
        <w:t>Vš</w:t>
      </w:r>
      <w:r w:rsidRPr="007D5B9C">
        <w:rPr>
          <w:b/>
          <w:bCs/>
        </w:rPr>
        <w:t>eobecne k návrhu:</w:t>
      </w:r>
    </w:p>
    <w:p w:rsidR="00367329" w:rsidRPr="007D5B9C" w:rsidRDefault="00367329" w:rsidP="00FD2198">
      <w:pPr>
        <w:ind w:firstLine="708"/>
        <w:jc w:val="both"/>
      </w:pPr>
      <w:r w:rsidRPr="007D5B9C">
        <w:t xml:space="preserve">Predkladaný návrh novely zákona o rodičovskom príspevku ustanovuje nad rámec automatického zákonného mechanizmu úpravy sumy rodičovského príspevku úpravu sumy rodičovského príspevku zo sumy 203,20 eura na sumu 213,20 eura. </w:t>
      </w:r>
    </w:p>
    <w:p w:rsidR="00367329" w:rsidRPr="00FD2198" w:rsidRDefault="00367329" w:rsidP="00FD2198">
      <w:pPr>
        <w:ind w:firstLine="708"/>
        <w:jc w:val="both"/>
      </w:pPr>
      <w:r w:rsidRPr="007D5B9C">
        <w:t>Podľa súčasne platného právneho stavu poskytovanie rodičovského príspevku  oprávnenej osobe spravidla nadväzuje na skončenie poskytovania materského, ale môže sa poskytnúť aj súbežne popri materskom v prípade, ak suma rodičovského príspevku je vyššia ako suma materského. V takomto prípade sa rodičovský príspevok poskytuje vo výške rozdielu medzi sumou rodičovského príspevku a sumou materského. Ak nárok na materské  nevznikol, môže sa poskytnúť oprávnenej osobe rodičovský príspevok od narodenia dieťaťa. Vzhľadom na uvedený vecný súvis a účel  materského a rodičovského príspevku spočívajúci v starostlivosti o dieťa v útlom veku, navrhovaným  zvýšením sumy rodičovského príspevku  sa zároveň zabezpečí, aby v prípade poskytovania rodičovského príspevku vo výške rozdielu, bol rodičovi po zvýšení materského  zvýšený aj rodičovský príspevok, čím sa celkový príjem rodiča zvýši. Navrhovaná právna úprava sa od jej účinnosti bude vzťahovať aj na oprávnené osoby, ktorým vznikol nárok na rodičovský príspevok pred jej účinnosťou a bude trvať aj po jej účinnosti.</w:t>
      </w:r>
    </w:p>
    <w:p w:rsidR="00367329" w:rsidRPr="007D5B9C" w:rsidRDefault="00367329" w:rsidP="00367329">
      <w:pPr>
        <w:ind w:firstLine="708"/>
        <w:jc w:val="both"/>
        <w:rPr>
          <w:b/>
        </w:rPr>
      </w:pPr>
      <w:r w:rsidRPr="007D5B9C">
        <w:rPr>
          <w:rStyle w:val="Zstupntext"/>
          <w:color w:val="auto"/>
        </w:rPr>
        <w:t>Predkladaný návrh zákona nebude mať vplyv na rozpočty obcí a rozpočty vyšších územných celkov</w:t>
      </w:r>
      <w:r w:rsidRPr="007D5B9C">
        <w:rPr>
          <w:b/>
        </w:rPr>
        <w:t xml:space="preserve"> </w:t>
      </w:r>
    </w:p>
    <w:p w:rsidR="00367329" w:rsidRPr="007D5B9C" w:rsidRDefault="00367329" w:rsidP="00367329">
      <w:pPr>
        <w:pStyle w:val="Zkladntext"/>
        <w:widowControl/>
        <w:jc w:val="both"/>
        <w:rPr>
          <w:b/>
          <w:bCs/>
          <w:color w:val="auto"/>
        </w:rPr>
      </w:pPr>
    </w:p>
    <w:p w:rsidR="00367329" w:rsidRPr="007D5B9C" w:rsidRDefault="00367329" w:rsidP="00367329">
      <w:pPr>
        <w:jc w:val="both"/>
        <w:rPr>
          <w:b/>
        </w:rPr>
      </w:pPr>
      <w:r w:rsidRPr="007D5B9C">
        <w:rPr>
          <w:b/>
        </w:rPr>
        <w:t xml:space="preserve">Pripomienky k návrhu: </w:t>
      </w:r>
    </w:p>
    <w:p w:rsidR="00367329" w:rsidRPr="00FD2198" w:rsidRDefault="00367329" w:rsidP="00367329">
      <w:pPr>
        <w:jc w:val="both"/>
      </w:pPr>
      <w:r w:rsidRPr="00FD2198">
        <w:t>ZMOS k predloženému návrhu zákona neuplatňuje žiadne pripomienky.</w:t>
      </w:r>
    </w:p>
    <w:p w:rsidR="00367329" w:rsidRPr="007D5B9C" w:rsidRDefault="00367329" w:rsidP="00367329">
      <w:pPr>
        <w:jc w:val="both"/>
        <w:rPr>
          <w:b/>
          <w:sz w:val="22"/>
          <w:szCs w:val="22"/>
        </w:rPr>
      </w:pPr>
    </w:p>
    <w:p w:rsidR="00367329" w:rsidRPr="007D5B9C" w:rsidRDefault="00367329" w:rsidP="00367329">
      <w:pPr>
        <w:jc w:val="both"/>
      </w:pPr>
      <w:r w:rsidRPr="007D5B9C">
        <w:rPr>
          <w:b/>
          <w:sz w:val="22"/>
          <w:szCs w:val="22"/>
        </w:rPr>
        <w:t xml:space="preserve">Záver: </w:t>
      </w:r>
      <w:r w:rsidRPr="007D5B9C">
        <w:t xml:space="preserve">ZMOS navrhuje, aby HSR SR </w:t>
      </w:r>
      <w:bookmarkStart w:id="0" w:name="_GoBack"/>
      <w:bookmarkEnd w:id="0"/>
      <w:r w:rsidRPr="007D5B9C">
        <w:t>odporučila návrh na ďalšie legislatívne konanie.</w:t>
      </w:r>
    </w:p>
    <w:p w:rsidR="00367329" w:rsidRPr="007D5B9C" w:rsidRDefault="00367329" w:rsidP="00367329">
      <w:pPr>
        <w:jc w:val="both"/>
        <w:rPr>
          <w:sz w:val="22"/>
          <w:szCs w:val="22"/>
        </w:rPr>
      </w:pPr>
    </w:p>
    <w:p w:rsidR="00367329" w:rsidRPr="007D5B9C" w:rsidRDefault="00367329" w:rsidP="00367329">
      <w:pPr>
        <w:pStyle w:val="Zkladntext"/>
        <w:widowControl/>
        <w:jc w:val="both"/>
        <w:rPr>
          <w:b/>
          <w:bCs/>
          <w:color w:val="auto"/>
        </w:rPr>
      </w:pPr>
    </w:p>
    <w:p w:rsidR="00367329" w:rsidRPr="007D5B9C" w:rsidRDefault="00367329" w:rsidP="00367329">
      <w:pPr>
        <w:pStyle w:val="Zkladntext"/>
        <w:widowControl/>
        <w:jc w:val="both"/>
        <w:rPr>
          <w:b/>
          <w:bCs/>
          <w:color w:val="auto"/>
        </w:rPr>
      </w:pPr>
    </w:p>
    <w:p w:rsidR="00367329" w:rsidRPr="007D5B9C" w:rsidRDefault="00367329" w:rsidP="00367329">
      <w:pPr>
        <w:pStyle w:val="Zkladntext"/>
        <w:widowControl/>
        <w:jc w:val="both"/>
        <w:rPr>
          <w:b/>
          <w:bCs/>
          <w:color w:val="auto"/>
        </w:rPr>
      </w:pPr>
    </w:p>
    <w:p w:rsidR="00367329" w:rsidRPr="007D5B9C" w:rsidRDefault="00367329" w:rsidP="00367329">
      <w:pPr>
        <w:pStyle w:val="Zkladntext"/>
        <w:widowControl/>
        <w:jc w:val="both"/>
        <w:rPr>
          <w:b/>
          <w:bCs/>
          <w:color w:val="auto"/>
        </w:rPr>
      </w:pPr>
    </w:p>
    <w:p w:rsidR="00367329" w:rsidRPr="007D5B9C" w:rsidRDefault="00367329" w:rsidP="00367329">
      <w:pPr>
        <w:ind w:left="4956" w:firstLine="708"/>
        <w:jc w:val="both"/>
        <w:rPr>
          <w:b/>
          <w:bCs/>
        </w:rPr>
      </w:pPr>
      <w:r w:rsidRPr="007D5B9C">
        <w:rPr>
          <w:b/>
          <w:bCs/>
        </w:rPr>
        <w:t>Michal Sýkora</w:t>
      </w:r>
    </w:p>
    <w:p w:rsidR="00367329" w:rsidRPr="007D5B9C" w:rsidRDefault="00FD2198" w:rsidP="00FD2198">
      <w:pPr>
        <w:ind w:left="4956"/>
        <w:jc w:val="both"/>
        <w:rPr>
          <w:b/>
          <w:bCs/>
        </w:rPr>
      </w:pPr>
      <w:r>
        <w:rPr>
          <w:b/>
          <w:bCs/>
        </w:rPr>
        <w:t xml:space="preserve">           </w:t>
      </w:r>
      <w:r w:rsidR="00367329" w:rsidRPr="007D5B9C">
        <w:rPr>
          <w:b/>
          <w:bCs/>
        </w:rPr>
        <w:t>predseda ZMOS</w:t>
      </w:r>
    </w:p>
    <w:sectPr w:rsidR="00367329" w:rsidRPr="007D5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29"/>
    <w:rsid w:val="000C2597"/>
    <w:rsid w:val="000E4A85"/>
    <w:rsid w:val="00367329"/>
    <w:rsid w:val="00515137"/>
    <w:rsid w:val="009325AA"/>
    <w:rsid w:val="00994619"/>
    <w:rsid w:val="00CD704A"/>
    <w:rsid w:val="00FD21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9C499-586A-48DD-A624-34C2D824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32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67329"/>
    <w:pPr>
      <w:keepNext/>
      <w:jc w:val="center"/>
      <w:outlineLvl w:val="0"/>
    </w:pPr>
    <w:rPr>
      <w:rFonts w:ascii="Arial" w:hAnsi="Arial"/>
      <w:b/>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67329"/>
    <w:rPr>
      <w:rFonts w:ascii="Arial" w:eastAsia="Times New Roman" w:hAnsi="Arial" w:cs="Times New Roman"/>
      <w:b/>
      <w:sz w:val="28"/>
      <w:szCs w:val="20"/>
      <w:lang w:eastAsia="cs-CZ"/>
    </w:rPr>
  </w:style>
  <w:style w:type="paragraph" w:styleId="Zkladntext">
    <w:name w:val="Body Text"/>
    <w:basedOn w:val="Normlny"/>
    <w:link w:val="ZkladntextChar"/>
    <w:uiPriority w:val="99"/>
    <w:rsid w:val="00367329"/>
    <w:pPr>
      <w:widowControl w:val="0"/>
    </w:pPr>
    <w:rPr>
      <w:color w:val="000000"/>
    </w:rPr>
  </w:style>
  <w:style w:type="character" w:customStyle="1" w:styleId="ZkladntextChar">
    <w:name w:val="Základný text Char"/>
    <w:basedOn w:val="Predvolenpsmoodseku"/>
    <w:link w:val="Zkladntext"/>
    <w:uiPriority w:val="99"/>
    <w:rsid w:val="00367329"/>
    <w:rPr>
      <w:rFonts w:ascii="Times New Roman" w:eastAsia="Times New Roman" w:hAnsi="Times New Roman" w:cs="Times New Roman"/>
      <w:color w:val="000000"/>
      <w:sz w:val="24"/>
      <w:szCs w:val="24"/>
      <w:lang w:eastAsia="sk-SK"/>
    </w:rPr>
  </w:style>
  <w:style w:type="character" w:styleId="Zstupntext">
    <w:name w:val="Placeholder Text"/>
    <w:basedOn w:val="Predvolenpsmoodseku"/>
    <w:uiPriority w:val="99"/>
    <w:semiHidden/>
    <w:rsid w:val="00367329"/>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506E.4C3F30C0" TargetMode="Externa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7</cp:revision>
  <dcterms:created xsi:type="dcterms:W3CDTF">2016-12-07T08:04:00Z</dcterms:created>
  <dcterms:modified xsi:type="dcterms:W3CDTF">2016-12-12T12:35:00Z</dcterms:modified>
</cp:coreProperties>
</file>