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4C" w:rsidRPr="00583B92" w:rsidRDefault="002011F9" w:rsidP="002011F9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583B92">
        <w:rPr>
          <w:b/>
          <w:bCs/>
        </w:rPr>
        <w:t>Návrh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  <w:jc w:val="center"/>
      </w:pPr>
      <w:r w:rsidRPr="00583B92">
        <w:rPr>
          <w:b/>
          <w:bCs/>
        </w:rPr>
        <w:t>ZÁKON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</w:pPr>
      <w:r w:rsidRPr="00583B92">
        <w:rPr>
          <w:sz w:val="20"/>
          <w:szCs w:val="20"/>
        </w:rPr>
        <w:t> 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  <w:jc w:val="center"/>
      </w:pPr>
      <w:r w:rsidRPr="00583B92">
        <w:t>z ... 2016,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  <w:jc w:val="center"/>
      </w:pPr>
    </w:p>
    <w:p w:rsidR="005C6A4C" w:rsidRPr="00583B92" w:rsidRDefault="005C6A4C" w:rsidP="005C6A4C">
      <w:pPr>
        <w:pStyle w:val="Normlnywebov"/>
        <w:spacing w:before="0" w:beforeAutospacing="0" w:after="0" w:afterAutospacing="0"/>
        <w:jc w:val="center"/>
      </w:pPr>
      <w:r w:rsidRPr="00583B92">
        <w:rPr>
          <w:b/>
          <w:bCs/>
        </w:rPr>
        <w:t>ktorým sa mení a dopĺňa zákon č. 258/2011 Z. z. o trvalom ukladaní oxidu uhličitého do geologického prostredia a o zmene a doplnení niektorých zákonov v znení neskorších predpisov a o doplnení zákona č. 39/2013 Z. z. o integrovanej prevencii a kontrole znečisťovania životného prostredia a o zmene a doplnení niektorých zákonov v znení neskorších predpisov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</w:pPr>
      <w:r w:rsidRPr="00583B92">
        <w:t> 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</w:pPr>
    </w:p>
    <w:p w:rsidR="005C6A4C" w:rsidRPr="00583B92" w:rsidRDefault="005C6A4C" w:rsidP="005C6A4C">
      <w:pPr>
        <w:pStyle w:val="Normlnywebov"/>
        <w:spacing w:before="0" w:beforeAutospacing="0" w:after="0" w:afterAutospacing="0"/>
        <w:jc w:val="both"/>
      </w:pPr>
      <w:r w:rsidRPr="00583B92">
        <w:t>Národná rada Slovenskej republiky sa uzniesla na tomto zákone: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</w:pPr>
      <w:r w:rsidRPr="00583B92">
        <w:rPr>
          <w:sz w:val="20"/>
          <w:szCs w:val="20"/>
        </w:rPr>
        <w:t> 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  <w:jc w:val="center"/>
      </w:pPr>
      <w:r w:rsidRPr="00583B92">
        <w:rPr>
          <w:b/>
          <w:bCs/>
        </w:rPr>
        <w:t>Čl. I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</w:pPr>
      <w:r w:rsidRPr="00583B92">
        <w:rPr>
          <w:sz w:val="20"/>
          <w:szCs w:val="20"/>
        </w:rPr>
        <w:t> 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  <w:jc w:val="both"/>
      </w:pPr>
      <w:r w:rsidRPr="00583B92">
        <w:t>Zákon č. 258/2011 Z. z. o trvalom ukladaní oxidu uhličitého do geologického prostredia a o zmene a doplnení niektorých zákonov v znení zákona č. 414/2012 Z. z. a zákona č. 39/2013 Z. z. sa mení a dopĺňa takto: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  <w:jc w:val="both"/>
      </w:pPr>
    </w:p>
    <w:p w:rsidR="005C6A4C" w:rsidRPr="00583B92" w:rsidRDefault="005C6A4C" w:rsidP="005C6A4C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583B92">
        <w:t>V § 2 písm. n) sa za slovo „akumulovať“ vkladajú slová „a úplne a trvalo izolovať“.</w:t>
      </w:r>
    </w:p>
    <w:p w:rsidR="005C6A4C" w:rsidRPr="00583B92" w:rsidRDefault="005C6A4C" w:rsidP="005C6A4C">
      <w:pPr>
        <w:pStyle w:val="Normlnywebov"/>
        <w:spacing w:before="0" w:beforeAutospacing="0" w:after="0" w:afterAutospacing="0"/>
        <w:ind w:left="426"/>
        <w:jc w:val="both"/>
      </w:pPr>
      <w:r w:rsidRPr="00583B92">
        <w:t xml:space="preserve"> </w:t>
      </w:r>
    </w:p>
    <w:p w:rsidR="005C6A4C" w:rsidRPr="00583B92" w:rsidRDefault="005C6A4C" w:rsidP="005C6A4C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583B92">
        <w:t>§ 3 sa dopĺňa odsekom 7, ktorý znie:</w:t>
      </w:r>
    </w:p>
    <w:p w:rsidR="005C6A4C" w:rsidRPr="00583B92" w:rsidRDefault="005C6A4C" w:rsidP="005C6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„(7) Ukladanie oxidu uhličitého nie je dovolené v úložisku, ktorého úložný komplex presahuje územie členských štátov</w:t>
      </w:r>
      <w:r w:rsidR="00DE1DCC" w:rsidRPr="00583B92">
        <w:rPr>
          <w:rFonts w:ascii="Times New Roman" w:hAnsi="Times New Roman"/>
          <w:sz w:val="24"/>
          <w:szCs w:val="24"/>
        </w:rPr>
        <w:t xml:space="preserve"> Európskej únie (ďalej len „členský štát“</w:t>
      </w:r>
      <w:r w:rsidR="00A70C6A" w:rsidRPr="00583B92">
        <w:rPr>
          <w:rFonts w:ascii="Times New Roman" w:hAnsi="Times New Roman"/>
          <w:sz w:val="24"/>
          <w:szCs w:val="24"/>
        </w:rPr>
        <w:t>)</w:t>
      </w:r>
      <w:r w:rsidRPr="00583B92">
        <w:rPr>
          <w:rFonts w:ascii="Times New Roman" w:hAnsi="Times New Roman"/>
          <w:sz w:val="24"/>
          <w:szCs w:val="24"/>
        </w:rPr>
        <w:t xml:space="preserve">, ich výhradných hospodárskych zón a ich kontinentálne šelfy.“. </w:t>
      </w:r>
    </w:p>
    <w:p w:rsidR="005C6A4C" w:rsidRPr="00583B92" w:rsidRDefault="005C6A4C" w:rsidP="005C6A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583B92">
        <w:t>V § 4 ods. 1 písm. b) sa slová „úložiska a úložného komplexu“ nahrádzajú slovami „úložiska, úložného komplexu a okolitej oblasti“.</w:t>
      </w:r>
    </w:p>
    <w:p w:rsidR="005C6A4C" w:rsidRPr="00583B92" w:rsidRDefault="005C6A4C" w:rsidP="005C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V § 4 ods. 2 písmeno f) znie:</w:t>
      </w:r>
    </w:p>
    <w:p w:rsidR="005C6A4C" w:rsidRPr="00583B92" w:rsidRDefault="005C6A4C" w:rsidP="005C6A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583B92">
        <w:rPr>
          <w:rFonts w:ascii="Times New Roman" w:hAnsi="Times New Roman"/>
          <w:sz w:val="24"/>
          <w:szCs w:val="24"/>
        </w:rPr>
        <w:t xml:space="preserve">„f)  záverečné stanovisko z posudzovania vplyvov </w:t>
      </w:r>
      <w:r w:rsidR="00A70C6A" w:rsidRPr="00583B92">
        <w:rPr>
          <w:rFonts w:ascii="Times New Roman" w:hAnsi="Times New Roman"/>
          <w:sz w:val="24"/>
          <w:szCs w:val="24"/>
        </w:rPr>
        <w:t>navrhovanej</w:t>
      </w:r>
      <w:r w:rsidRPr="00583B92">
        <w:rPr>
          <w:rFonts w:ascii="Times New Roman" w:hAnsi="Times New Roman"/>
          <w:sz w:val="24"/>
          <w:szCs w:val="24"/>
        </w:rPr>
        <w:t xml:space="preserve"> činnosti alebo jej zmeny podľa osobitného predpisu</w:t>
      </w:r>
      <w:r w:rsidRPr="00583B92">
        <w:rPr>
          <w:rFonts w:ascii="Times New Roman" w:hAnsi="Times New Roman"/>
        </w:rPr>
        <w:t>,</w:t>
      </w:r>
      <w:r w:rsidRPr="00583B92">
        <w:rPr>
          <w:rFonts w:ascii="Times New Roman" w:hAnsi="Times New Roman"/>
          <w:vertAlign w:val="superscript"/>
        </w:rPr>
        <w:t>3)</w:t>
      </w:r>
      <w:r w:rsidRPr="00583B92">
        <w:rPr>
          <w:rFonts w:ascii="Times New Roman" w:hAnsi="Times New Roman"/>
        </w:rPr>
        <w:t xml:space="preserve"> </w:t>
      </w:r>
      <w:r w:rsidRPr="00583B92">
        <w:rPr>
          <w:rFonts w:ascii="Times New Roman" w:hAnsi="Times New Roman"/>
          <w:sz w:val="24"/>
          <w:szCs w:val="24"/>
        </w:rPr>
        <w:t>alebo rozhodnutie vydané v zisťovacom konaní podľa osobitného predpisu,</w:t>
      </w:r>
      <w:r w:rsidRPr="00583B92">
        <w:rPr>
          <w:rFonts w:ascii="Times New Roman" w:hAnsi="Times New Roman"/>
          <w:vertAlign w:val="superscript"/>
        </w:rPr>
        <w:t>3a</w:t>
      </w:r>
      <w:r w:rsidR="00A70C6A" w:rsidRPr="00583B92">
        <w:rPr>
          <w:rFonts w:ascii="Times New Roman" w:hAnsi="Times New Roman"/>
        </w:rPr>
        <w:t>)</w:t>
      </w:r>
      <w:r w:rsidRPr="00583B92">
        <w:rPr>
          <w:rFonts w:ascii="Times New Roman" w:hAnsi="Times New Roman"/>
        </w:rPr>
        <w:t>“.</w:t>
      </w:r>
    </w:p>
    <w:p w:rsidR="005C6A4C" w:rsidRPr="00583B92" w:rsidRDefault="005C6A4C" w:rsidP="005C6A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5C6A4C" w:rsidRPr="00583B92" w:rsidRDefault="005C6A4C" w:rsidP="005C6A4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</w:rPr>
      </w:pPr>
      <w:r w:rsidRPr="00583B92">
        <w:rPr>
          <w:rFonts w:ascii="Times New Roman" w:hAnsi="Times New Roman"/>
          <w:sz w:val="24"/>
          <w:szCs w:val="24"/>
        </w:rPr>
        <w:t>Poznámky pod čiarou k odkazom</w:t>
      </w:r>
      <w:r w:rsidRPr="00583B92">
        <w:rPr>
          <w:rFonts w:ascii="Times New Roman" w:hAnsi="Times New Roman"/>
        </w:rPr>
        <w:t xml:space="preserve"> 3) a 3a) </w:t>
      </w:r>
      <w:r w:rsidRPr="00583B92">
        <w:rPr>
          <w:rFonts w:ascii="Times New Roman" w:hAnsi="Times New Roman"/>
          <w:sz w:val="24"/>
          <w:szCs w:val="24"/>
        </w:rPr>
        <w:t>znejú</w:t>
      </w:r>
      <w:r w:rsidRPr="00583B92">
        <w:rPr>
          <w:rFonts w:ascii="Times New Roman" w:hAnsi="Times New Roman"/>
        </w:rPr>
        <w:t>:</w:t>
      </w:r>
    </w:p>
    <w:p w:rsidR="005C6A4C" w:rsidRPr="00583B92" w:rsidRDefault="005C6A4C" w:rsidP="005C6A4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„</w:t>
      </w:r>
      <w:r w:rsidR="00A70C6A" w:rsidRPr="00583B92">
        <w:rPr>
          <w:rFonts w:ascii="Times New Roman" w:hAnsi="Times New Roman"/>
          <w:sz w:val="24"/>
          <w:szCs w:val="24"/>
          <w:vertAlign w:val="superscript"/>
        </w:rPr>
        <w:t>3</w:t>
      </w:r>
      <w:r w:rsidR="00A70C6A" w:rsidRPr="00583B92">
        <w:rPr>
          <w:rFonts w:ascii="Times New Roman" w:hAnsi="Times New Roman"/>
          <w:sz w:val="24"/>
          <w:szCs w:val="24"/>
        </w:rPr>
        <w:t>)</w:t>
      </w:r>
      <w:r w:rsidRPr="00583B92">
        <w:rPr>
          <w:rFonts w:ascii="Times New Roman" w:hAnsi="Times New Roman"/>
          <w:sz w:val="24"/>
          <w:szCs w:val="24"/>
        </w:rPr>
        <w:t xml:space="preserve"> § 37  zákona č. 24/2006 Z. z. o posudzovaní vplyvov na životné prostredie a o zmene a doplnení niektorých zákonov v znení neskorších predpisov.</w:t>
      </w:r>
    </w:p>
    <w:p w:rsidR="005C6A4C" w:rsidRPr="00583B92" w:rsidRDefault="005C6A4C" w:rsidP="005C6A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 xml:space="preserve">         </w:t>
      </w:r>
      <w:r w:rsidRPr="00583B92" w:rsidDel="00E837E7">
        <w:rPr>
          <w:rFonts w:ascii="Times New Roman" w:hAnsi="Times New Roman"/>
          <w:sz w:val="24"/>
          <w:szCs w:val="24"/>
        </w:rPr>
        <w:t xml:space="preserve"> </w:t>
      </w:r>
      <w:r w:rsidRPr="00583B92">
        <w:rPr>
          <w:rFonts w:ascii="Times New Roman" w:hAnsi="Times New Roman"/>
          <w:sz w:val="24"/>
          <w:szCs w:val="24"/>
          <w:vertAlign w:val="superscript"/>
        </w:rPr>
        <w:t>3a</w:t>
      </w:r>
      <w:r w:rsidR="00A70C6A" w:rsidRPr="00583B92">
        <w:rPr>
          <w:rFonts w:ascii="Times New Roman" w:hAnsi="Times New Roman"/>
          <w:sz w:val="24"/>
          <w:szCs w:val="24"/>
        </w:rPr>
        <w:t>)</w:t>
      </w:r>
      <w:r w:rsidRPr="00583B92">
        <w:rPr>
          <w:rFonts w:ascii="Times New Roman" w:hAnsi="Times New Roman"/>
          <w:sz w:val="24"/>
          <w:szCs w:val="24"/>
        </w:rPr>
        <w:t xml:space="preserve"> §  29 ods. 11 zákona č. 24/2006 Z. z.“.</w:t>
      </w:r>
    </w:p>
    <w:p w:rsidR="005C6A4C" w:rsidRPr="00583B92" w:rsidRDefault="005C6A4C" w:rsidP="005C6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3B92" w:rsidDel="005515EA">
        <w:rPr>
          <w:rFonts w:ascii="Times New Roman" w:hAnsi="Times New Roman"/>
          <w:sz w:val="24"/>
          <w:szCs w:val="24"/>
        </w:rPr>
        <w:t xml:space="preserve"> </w:t>
      </w:r>
    </w:p>
    <w:p w:rsidR="005C6A4C" w:rsidRPr="00583B92" w:rsidRDefault="005C6A4C" w:rsidP="005C6A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§ 6 sa dopĺňa odsekom 5, ktorý znie:</w:t>
      </w:r>
    </w:p>
    <w:p w:rsidR="005C6A4C" w:rsidRPr="00583B92" w:rsidRDefault="005C6A4C" w:rsidP="005C6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„(5) Od začatia konania o vydaní povolenia na ukladanie až do jeho právoplatného ukončenia nesmie byť v úložnom komplexe určené nové prieskumné územie pre vybrané geologické práce podľa osobitného predpisu.</w:t>
      </w:r>
      <w:r w:rsidRPr="00583B92">
        <w:rPr>
          <w:rFonts w:ascii="Times New Roman" w:hAnsi="Times New Roman"/>
          <w:sz w:val="24"/>
          <w:szCs w:val="24"/>
          <w:vertAlign w:val="superscript"/>
        </w:rPr>
        <w:t>8a</w:t>
      </w:r>
      <w:r w:rsidR="0080146C" w:rsidRPr="00583B92">
        <w:rPr>
          <w:rFonts w:ascii="Times New Roman" w:hAnsi="Times New Roman"/>
          <w:sz w:val="24"/>
          <w:szCs w:val="24"/>
        </w:rPr>
        <w:t>)</w:t>
      </w:r>
      <w:r w:rsidRPr="00583B92">
        <w:rPr>
          <w:rFonts w:ascii="Times New Roman" w:hAnsi="Times New Roman"/>
          <w:sz w:val="24"/>
          <w:szCs w:val="24"/>
        </w:rPr>
        <w:t xml:space="preserve">“. </w:t>
      </w:r>
    </w:p>
    <w:p w:rsidR="005C6A4C" w:rsidRPr="00583B92" w:rsidRDefault="005C6A4C" w:rsidP="005C6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 xml:space="preserve">Poznámka pod čiarou k odkazu 8a) znie: </w:t>
      </w:r>
    </w:p>
    <w:p w:rsidR="005C6A4C" w:rsidRPr="00583B92" w:rsidRDefault="005C6A4C" w:rsidP="005C6A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„</w:t>
      </w:r>
      <w:r w:rsidRPr="00583B92">
        <w:rPr>
          <w:rFonts w:ascii="Times New Roman" w:hAnsi="Times New Roman"/>
          <w:sz w:val="24"/>
          <w:szCs w:val="24"/>
          <w:vertAlign w:val="superscript"/>
        </w:rPr>
        <w:t>8a</w:t>
      </w:r>
      <w:r w:rsidR="0080146C" w:rsidRPr="00583B92">
        <w:rPr>
          <w:rFonts w:ascii="Times New Roman" w:hAnsi="Times New Roman"/>
          <w:sz w:val="24"/>
          <w:szCs w:val="24"/>
        </w:rPr>
        <w:t>)</w:t>
      </w:r>
      <w:r w:rsidRPr="00583B9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83B92">
        <w:rPr>
          <w:rFonts w:ascii="Times New Roman" w:hAnsi="Times New Roman"/>
          <w:sz w:val="24"/>
          <w:szCs w:val="24"/>
        </w:rPr>
        <w:t>§ 21 zákona č. 569/2007 Z. z. v znení neskorších predpisov.“.</w:t>
      </w:r>
    </w:p>
    <w:p w:rsidR="005C6A4C" w:rsidRPr="00583B92" w:rsidRDefault="005C6A4C" w:rsidP="005C6A4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V § 8 ods. 6 sa na konci pripája táto veta:</w:t>
      </w:r>
    </w:p>
    <w:p w:rsidR="005C6A4C" w:rsidRPr="00583B92" w:rsidRDefault="005C6A4C" w:rsidP="005C6A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583B92">
        <w:rPr>
          <w:rFonts w:ascii="Times New Roman" w:hAnsi="Times New Roman"/>
          <w:sz w:val="24"/>
          <w:szCs w:val="24"/>
        </w:rPr>
        <w:lastRenderedPageBreak/>
        <w:t>„Vydaniu takéhoto povolenia predchádza konanie podľa osobitného predpisu.</w:t>
      </w:r>
      <w:r w:rsidRPr="00583B92">
        <w:rPr>
          <w:rFonts w:ascii="Times New Roman" w:hAnsi="Times New Roman"/>
          <w:szCs w:val="24"/>
          <w:vertAlign w:val="superscript"/>
        </w:rPr>
        <w:t>8b</w:t>
      </w:r>
      <w:r w:rsidR="0080146C" w:rsidRPr="00583B92">
        <w:rPr>
          <w:rFonts w:ascii="Times New Roman" w:hAnsi="Times New Roman"/>
          <w:szCs w:val="24"/>
        </w:rPr>
        <w:t>)</w:t>
      </w:r>
      <w:r w:rsidRPr="00583B92">
        <w:rPr>
          <w:rFonts w:ascii="Times New Roman" w:hAnsi="Times New Roman"/>
          <w:szCs w:val="24"/>
          <w:vertAlign w:val="superscript"/>
        </w:rPr>
        <w:t>“</w:t>
      </w:r>
      <w:r w:rsidRPr="00583B92">
        <w:rPr>
          <w:rFonts w:ascii="Times New Roman" w:hAnsi="Times New Roman"/>
          <w:szCs w:val="24"/>
        </w:rPr>
        <w:t>.</w:t>
      </w:r>
    </w:p>
    <w:p w:rsidR="0080146C" w:rsidRPr="00583B92" w:rsidRDefault="0080146C" w:rsidP="005C6A4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spacing w:after="0"/>
        <w:ind w:left="567"/>
        <w:jc w:val="both"/>
        <w:rPr>
          <w:rFonts w:ascii="Times New Roman" w:hAnsi="Times New Roman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Poznámka pod čiarou k odkazu</w:t>
      </w:r>
      <w:r w:rsidRPr="00583B92">
        <w:rPr>
          <w:rFonts w:ascii="Times New Roman" w:hAnsi="Times New Roman"/>
          <w:szCs w:val="24"/>
        </w:rPr>
        <w:t xml:space="preserve"> 8b) </w:t>
      </w:r>
      <w:r w:rsidRPr="00583B92">
        <w:rPr>
          <w:rFonts w:ascii="Times New Roman" w:hAnsi="Times New Roman"/>
          <w:sz w:val="24"/>
          <w:szCs w:val="24"/>
        </w:rPr>
        <w:t>znie</w:t>
      </w:r>
      <w:r w:rsidRPr="00583B92">
        <w:rPr>
          <w:rFonts w:ascii="Times New Roman" w:hAnsi="Times New Roman"/>
          <w:szCs w:val="24"/>
        </w:rPr>
        <w:t>:</w:t>
      </w:r>
    </w:p>
    <w:p w:rsidR="005C6A4C" w:rsidRPr="00583B92" w:rsidRDefault="005C6A4C" w:rsidP="005C6A4C">
      <w:pPr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  <w:r w:rsidRPr="00583B92">
        <w:rPr>
          <w:rFonts w:ascii="Times New Roman" w:hAnsi="Times New Roman"/>
        </w:rPr>
        <w:t>„</w:t>
      </w:r>
      <w:r w:rsidRPr="00583B92">
        <w:rPr>
          <w:rFonts w:ascii="Times New Roman" w:hAnsi="Times New Roman"/>
          <w:sz w:val="24"/>
          <w:szCs w:val="24"/>
          <w:vertAlign w:val="superscript"/>
        </w:rPr>
        <w:t>8b</w:t>
      </w:r>
      <w:r w:rsidR="0080146C" w:rsidRPr="00583B92">
        <w:rPr>
          <w:rFonts w:ascii="Times New Roman" w:hAnsi="Times New Roman"/>
          <w:sz w:val="24"/>
          <w:szCs w:val="24"/>
        </w:rPr>
        <w:t>)</w:t>
      </w:r>
      <w:r w:rsidRPr="00583B92">
        <w:rPr>
          <w:rFonts w:ascii="Times New Roman" w:hAnsi="Times New Roman"/>
          <w:sz w:val="24"/>
          <w:szCs w:val="24"/>
        </w:rPr>
        <w:t xml:space="preserve"> </w:t>
      </w:r>
      <w:r w:rsidR="0080146C" w:rsidRPr="00583B92">
        <w:rPr>
          <w:rFonts w:ascii="Times New Roman" w:hAnsi="Times New Roman"/>
          <w:sz w:val="24"/>
          <w:szCs w:val="24"/>
        </w:rPr>
        <w:t>§ 29 a 37</w:t>
      </w:r>
      <w:r w:rsidRPr="00583B92">
        <w:rPr>
          <w:rFonts w:ascii="Times New Roman" w:hAnsi="Times New Roman"/>
          <w:sz w:val="24"/>
          <w:szCs w:val="24"/>
        </w:rPr>
        <w:t xml:space="preserve"> zákona č. 24/2006 Z. z. v znení neskorších predpisov.“.</w:t>
      </w:r>
      <w:r w:rsidRPr="00583B92" w:rsidDel="005515EA">
        <w:rPr>
          <w:rFonts w:ascii="Times New Roman" w:hAnsi="Times New Roman"/>
          <w:sz w:val="24"/>
          <w:szCs w:val="24"/>
        </w:rPr>
        <w:t xml:space="preserve"> </w:t>
      </w:r>
    </w:p>
    <w:p w:rsidR="005C6A4C" w:rsidRPr="00583B92" w:rsidRDefault="005C6A4C" w:rsidP="005C6A4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V § 10 odsek 1 znie: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 w:hanging="426"/>
      </w:pPr>
      <w:r w:rsidRPr="00583B92">
        <w:rPr>
          <w:bCs/>
        </w:rPr>
        <w:tab/>
        <w:t xml:space="preserve">„(1) </w:t>
      </w:r>
      <w:r w:rsidRPr="00583B92">
        <w:t>Prevádzkovateľ je povinný vykonávať monitorovanie vtláčacích zariadení, úložného komplexu, a tam, kde je to možné, aj mraku oxidu uhličitého, a ak je to vhodné, aj okolitého prostredia na účely</w:t>
      </w:r>
    </w:p>
    <w:p w:rsidR="005C6A4C" w:rsidRPr="00583B92" w:rsidRDefault="005C6A4C" w:rsidP="00EA17CF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  <w:rPr>
          <w:bCs/>
        </w:rPr>
      </w:pPr>
      <w:r w:rsidRPr="00583B92">
        <w:rPr>
          <w:bCs/>
        </w:rPr>
        <w:t>a) porovnania skutočného a modelového správania oxidu uhličitého a formačnej vody v úložisku,</w:t>
      </w:r>
    </w:p>
    <w:p w:rsidR="005C6A4C" w:rsidRPr="00583B92" w:rsidRDefault="005C6A4C" w:rsidP="00EA17CF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  <w:rPr>
          <w:bCs/>
        </w:rPr>
      </w:pPr>
      <w:r w:rsidRPr="00583B92">
        <w:rPr>
          <w:bCs/>
        </w:rPr>
        <w:t>b) zisťovania významných nedostatkov,</w:t>
      </w:r>
    </w:p>
    <w:p w:rsidR="005C6A4C" w:rsidRPr="00583B92" w:rsidRDefault="005C6A4C" w:rsidP="00EA17CF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  <w:rPr>
          <w:bCs/>
        </w:rPr>
      </w:pPr>
      <w:r w:rsidRPr="00583B92">
        <w:rPr>
          <w:bCs/>
        </w:rPr>
        <w:t>c) zisťovania migrácie oxidu uhličitého,</w:t>
      </w:r>
    </w:p>
    <w:p w:rsidR="005C6A4C" w:rsidRPr="00583B92" w:rsidRDefault="008E54A9" w:rsidP="00EA17CF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  <w:rPr>
          <w:bCs/>
        </w:rPr>
      </w:pPr>
      <w:r w:rsidRPr="00583B92">
        <w:rPr>
          <w:bCs/>
        </w:rPr>
        <w:t>d) zisťovania úniku</w:t>
      </w:r>
      <w:r w:rsidR="005C6A4C" w:rsidRPr="00583B92">
        <w:rPr>
          <w:bCs/>
        </w:rPr>
        <w:t xml:space="preserve"> oxidu uhličitého,</w:t>
      </w:r>
    </w:p>
    <w:p w:rsidR="005C6A4C" w:rsidRPr="00583B92" w:rsidRDefault="005C6A4C" w:rsidP="00EA17CF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</w:pPr>
      <w:r w:rsidRPr="00583B92">
        <w:rPr>
          <w:bCs/>
        </w:rPr>
        <w:t xml:space="preserve">e) </w:t>
      </w:r>
      <w:r w:rsidRPr="00583B92">
        <w:t>zis</w:t>
      </w:r>
      <w:r w:rsidRPr="00583B92">
        <w:rPr>
          <w:rFonts w:hint="eastAsia"/>
        </w:rPr>
        <w:t>ť</w:t>
      </w:r>
      <w:r w:rsidRPr="00583B92">
        <w:t xml:space="preserve">ovania významných nepriaznivých </w:t>
      </w:r>
      <w:r w:rsidRPr="00583B92">
        <w:rPr>
          <w:rFonts w:hint="eastAsia"/>
        </w:rPr>
        <w:t>úč</w:t>
      </w:r>
      <w:r w:rsidRPr="00583B92">
        <w:t xml:space="preserve">inkov na </w:t>
      </w:r>
      <w:r w:rsidRPr="00583B92">
        <w:rPr>
          <w:rFonts w:hint="eastAsia"/>
        </w:rPr>
        <w:t>ž</w:t>
      </w:r>
      <w:r w:rsidRPr="00583B92">
        <w:t>ivotné prostredie a jeho zložky,</w:t>
      </w:r>
      <w:hyperlink r:id="rId5" w:anchor="poznamky.poznamka-13" w:tooltip="Odkaz na predpis alebo ustanovenie" w:history="1">
        <w:r w:rsidRPr="00583B92">
          <w:rPr>
            <w:bCs/>
            <w:vertAlign w:val="superscript"/>
          </w:rPr>
          <w:t>13</w:t>
        </w:r>
        <w:r w:rsidRPr="00583B92">
          <w:rPr>
            <w:bCs/>
          </w:rPr>
          <w:t>)</w:t>
        </w:r>
      </w:hyperlink>
      <w:r w:rsidR="008E54A9" w:rsidRPr="00583B92">
        <w:rPr>
          <w:bCs/>
        </w:rPr>
        <w:t xml:space="preserve"> </w:t>
      </w:r>
      <w:r w:rsidRPr="00583B92">
        <w:t xml:space="preserve">vrátane </w:t>
      </w:r>
      <w:r w:rsidRPr="00583B92">
        <w:rPr>
          <w:bCs/>
        </w:rPr>
        <w:t>pitnej vody, obyvateľov a používateľov okolitej biosféry,</w:t>
      </w:r>
      <w:r w:rsidRPr="00583B92">
        <w:t xml:space="preserve"> </w:t>
      </w:r>
    </w:p>
    <w:p w:rsidR="005C6A4C" w:rsidRPr="00583B92" w:rsidRDefault="005C6A4C" w:rsidP="00EA17CF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3B92">
        <w:rPr>
          <w:rFonts w:ascii="Times New Roman" w:hAnsi="Times New Roman" w:cs="Times New Roman"/>
          <w:sz w:val="24"/>
          <w:szCs w:val="24"/>
        </w:rPr>
        <w:t xml:space="preserve">f) </w:t>
      </w:r>
      <w:r w:rsidRPr="00583B92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posudzovania ú</w:t>
      </w:r>
      <w:r w:rsidRPr="00583B92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č</w:t>
      </w:r>
      <w:r w:rsidRPr="00583B92">
        <w:rPr>
          <w:rFonts w:ascii="Times New Roman" w:eastAsia="Times New Roman" w:hAnsi="Times New Roman" w:cs="Times New Roman"/>
          <w:sz w:val="24"/>
          <w:szCs w:val="24"/>
          <w:lang w:eastAsia="sk-SK"/>
        </w:rPr>
        <w:t>innosti nápravných opatrení a dodato</w:t>
      </w:r>
      <w:r w:rsidRPr="00583B92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č</w:t>
      </w:r>
      <w:r w:rsidRPr="00583B92">
        <w:rPr>
          <w:rFonts w:ascii="Times New Roman" w:eastAsia="Times New Roman" w:hAnsi="Times New Roman" w:cs="Times New Roman"/>
          <w:sz w:val="24"/>
          <w:szCs w:val="24"/>
          <w:lang w:eastAsia="sk-SK"/>
        </w:rPr>
        <w:t>ných nápravných opatrení prijatých pod</w:t>
      </w:r>
      <w:r w:rsidRPr="00583B92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ľ</w:t>
      </w:r>
      <w:r w:rsidRPr="00583B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583B9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13</w:t>
      </w:r>
      <w:r w:rsidRPr="00583B9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C6A4C" w:rsidRPr="00583B92" w:rsidRDefault="005C6A4C" w:rsidP="00EA17CF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3B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g) </w:t>
      </w:r>
      <w:r w:rsidRPr="00583B92">
        <w:rPr>
          <w:rFonts w:ascii="Times New Roman" w:hAnsi="Times New Roman" w:cs="Times New Roman"/>
          <w:sz w:val="24"/>
          <w:szCs w:val="24"/>
        </w:rPr>
        <w:t>aktualizácie posudzovania bezpečnosti a neporušenosti úložného komplexu z krátkodobého a dlhodobého hľadiska vrátane posúdenia, či uložený oxid uhličitý bude úplne a trvalo izolovaný.“.</w:t>
      </w:r>
    </w:p>
    <w:p w:rsidR="005C6A4C" w:rsidRPr="00583B92" w:rsidRDefault="005C6A4C" w:rsidP="00EA17CF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</w:pPr>
      <w:r w:rsidRPr="00583B92">
        <w:t>Poznámka pod čiarou k odkazu 13</w:t>
      </w:r>
      <w:r w:rsidR="008E54A9" w:rsidRPr="00583B92">
        <w:t>)</w:t>
      </w:r>
      <w:r w:rsidRPr="00583B92">
        <w:t xml:space="preserve"> znie:</w:t>
      </w:r>
    </w:p>
    <w:p w:rsidR="005C6A4C" w:rsidRPr="00583B92" w:rsidRDefault="005C6A4C" w:rsidP="00EA17CF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</w:pPr>
      <w:r w:rsidRPr="00583B92">
        <w:t>„</w:t>
      </w:r>
      <w:r w:rsidRPr="00583B92">
        <w:rPr>
          <w:vertAlign w:val="superscript"/>
        </w:rPr>
        <w:t>13</w:t>
      </w:r>
      <w:r w:rsidRPr="00583B92">
        <w:t xml:space="preserve">) </w:t>
      </w:r>
      <w:hyperlink r:id="rId6" w:anchor="paragraf-2" w:tooltip="Odkaz na predpis alebo ustanovenie" w:history="1">
        <w:r w:rsidRPr="00583B92">
          <w:rPr>
            <w:rStyle w:val="Hypertextovprepojenie"/>
            <w:color w:val="auto"/>
            <w:u w:val="none"/>
          </w:rPr>
          <w:t>§ 2 zákona č. 17/1992 Zb.</w:t>
        </w:r>
      </w:hyperlink>
      <w:r w:rsidRPr="00583B92">
        <w:t xml:space="preserve">“. 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10 ods. 3 písmeno a) znie: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 w:hanging="426"/>
      </w:pPr>
      <w:r w:rsidRPr="00583B92">
        <w:tab/>
        <w:t>„a) zmeny posúdeného rizika úniku a rizika pre životné prostredie a zdravie ľudí,“.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 w:hanging="426"/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10 ods. 3 písmeno c) znie: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/>
      </w:pPr>
      <w:r w:rsidRPr="00583B92">
        <w:t>„c) zlepšenia najlepšie dostupných techník.</w:t>
      </w:r>
      <w:r w:rsidRPr="00583B92">
        <w:rPr>
          <w:vertAlign w:val="superscript"/>
        </w:rPr>
        <w:t>14</w:t>
      </w:r>
      <w:r w:rsidRPr="00583B92">
        <w:t>)“.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54" w:hanging="454"/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11 odsek 1 znie: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/>
      </w:pPr>
      <w:r w:rsidRPr="00583B92">
        <w:t>„(1) Prevádzkovateľ je povinný zaslať obvodnému banskému úradu každoročne v lehote do 31. januára správu o vykonanej činnosti za predchádzajúci kalendárny rok, ktorá obsahuje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/>
      </w:pPr>
      <w:r w:rsidRPr="00583B92">
        <w:t>a) výsledky monitorovania vrátane informácií o použitej monitorovacej technike,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</w:pPr>
      <w:r w:rsidRPr="00583B92" w:rsidDel="008A05D7">
        <w:t xml:space="preserve"> </w:t>
      </w:r>
      <w:r w:rsidRPr="00583B92">
        <w:t xml:space="preserve">      b) množstvo, zloženie a vlastnosti vtláčaných a uložených prúdov oxidu uhličitého,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/>
      </w:pPr>
      <w:r w:rsidRPr="00583B92">
        <w:t>c) doklad o zložení finančného zabezpečenia upraveného podľa § 16 ods. 5</w:t>
      </w:r>
      <w:r w:rsidR="00320CB3" w:rsidRPr="00583B92">
        <w:t xml:space="preserve"> a finančnej úhrade podľa § 17 ods. 1</w:t>
      </w:r>
      <w:r w:rsidRPr="00583B92">
        <w:t>,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/>
      </w:pPr>
      <w:r w:rsidRPr="00583B92">
        <w:t xml:space="preserve">d) informácie dôležité na </w:t>
      </w:r>
      <w:r w:rsidR="00C1704D" w:rsidRPr="00583B92">
        <w:t>posúdenie</w:t>
      </w:r>
      <w:r w:rsidRPr="00583B92">
        <w:t xml:space="preserve"> plnenia podmienok povol</w:t>
      </w:r>
      <w:r w:rsidR="00C1704D" w:rsidRPr="00583B92">
        <w:t>enia na ukladanie a rozširovanie</w:t>
      </w:r>
      <w:r w:rsidRPr="00583B92">
        <w:t xml:space="preserve"> poznatkov o pôsobení oxidu uhličitého v úložisku.“.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/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12 ods. 2 sa bodka nahrádza čiarkou a pripájajú tieto slová: „ktoré vedie prevádzkovateľ.“.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54" w:hanging="454"/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12 ods. 3 sa vypúšťajú slová „so zameraním sa na opatrenia minimalizácie účinkov ukladania na verejné zdravie a na životné prostredie“ a na konci sa pripája táto veta: „Pri predbežných prehliadkach sa preveria príslušné vtláčacie a monitorovacie zariadenia a škála súvisiacich účinkov úložného komplexu na verejné zdravie a na životné prostredie.“.</w:t>
      </w:r>
    </w:p>
    <w:p w:rsidR="005C6A4C" w:rsidRPr="00583B92" w:rsidRDefault="005C6A4C" w:rsidP="005C6A4C">
      <w:pPr>
        <w:pStyle w:val="Odsekzoznamu"/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lastRenderedPageBreak/>
        <w:t>V § 13 ods. 5 a 6 sa slovo „dodatočné“ nahrádza slovom „potrebné“.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13 ods. 7 sa slovo „dodatočných“ nahrádza slovom „potrebných“.</w:t>
      </w:r>
    </w:p>
    <w:p w:rsidR="005C6A4C" w:rsidRPr="00583B92" w:rsidRDefault="005C6A4C" w:rsidP="005C6A4C">
      <w:pPr>
        <w:pStyle w:val="Odsekzoznamu"/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14 ods. 3 sa slovo „zavretí“ nahrádza slovom „uzavretí“.</w:t>
      </w:r>
    </w:p>
    <w:p w:rsidR="005C6A4C" w:rsidRPr="00583B92" w:rsidRDefault="005C6A4C" w:rsidP="005C6A4C">
      <w:pPr>
        <w:pStyle w:val="Odsekzoznamu"/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14 ods. 4 písm. c) sa slovo „poznatky“ nahrádza slovom „postupy“.</w:t>
      </w:r>
    </w:p>
    <w:p w:rsidR="005C6A4C" w:rsidRPr="00583B92" w:rsidRDefault="005C6A4C" w:rsidP="005C6A4C">
      <w:pPr>
        <w:pStyle w:val="Odsekzoznamu"/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15 ods. 3 písmeno a) znie: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  <w:rPr>
          <w:rFonts w:eastAsiaTheme="minorHAnsi"/>
          <w:lang w:eastAsia="en-US"/>
        </w:rPr>
      </w:pPr>
      <w:r w:rsidRPr="00583B92">
        <w:rPr>
          <w:rFonts w:eastAsiaTheme="minorHAnsi"/>
          <w:lang w:eastAsia="en-US"/>
        </w:rPr>
        <w:t>„a) súlad skutočného správania vtláčaného oxidu uhličitého s modelovým správaním,“.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  <w:rPr>
          <w:rFonts w:eastAsiaTheme="minorHAnsi"/>
          <w:lang w:eastAsia="en-US"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rPr>
          <w:rFonts w:eastAsiaTheme="minorHAnsi"/>
          <w:lang w:eastAsia="en-US"/>
        </w:rPr>
        <w:t>V § 15 ods. 3 písmeno c) znie: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/>
        <w:rPr>
          <w:rFonts w:eastAsiaTheme="minorHAnsi"/>
          <w:lang w:eastAsia="en-US"/>
        </w:rPr>
      </w:pPr>
      <w:r w:rsidRPr="00583B92">
        <w:rPr>
          <w:rFonts w:eastAsiaTheme="minorHAnsi"/>
          <w:lang w:eastAsia="en-US"/>
        </w:rPr>
        <w:t>„c) vývojový trend úložiska k dlhodobej stabilite.“.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/>
        <w:rPr>
          <w:rFonts w:eastAsiaTheme="minorHAnsi"/>
          <w:lang w:eastAsia="en-US"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rPr>
          <w:rFonts w:eastAsiaTheme="minorHAnsi"/>
          <w:lang w:eastAsia="en-US"/>
        </w:rPr>
        <w:t>V § 15 ods. 3 sa vypúšťa písmeno d).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rPr>
          <w:bCs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15 ods. 4 sa slová „písm. d)“ nahrádzajú slovami „písm. e) vrátane všetkých aktualizovaných požiadaviek na zapečatenie úložiska a odstránenie vtláčacích zariadení“.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  <w:rPr>
          <w:rFonts w:eastAsiaTheme="minorHAnsi"/>
          <w:lang w:eastAsia="en-US"/>
        </w:rPr>
      </w:pPr>
      <w:r w:rsidRPr="00583B92">
        <w:rPr>
          <w:rFonts w:eastAsiaTheme="minorHAnsi"/>
          <w:lang w:eastAsia="en-US"/>
        </w:rPr>
        <w:t xml:space="preserve">V § 17 ods. 13 sa na konci pripájajú tieto slová „a parametre týkajúce sa histórie ukladania oxidu uhličitého významné z hľadiska určenia povinností po ukončení prechodu povinností.“. 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</w:pPr>
      <w:r w:rsidRPr="00583B92">
        <w:t>V § 18 ods. 4 písmená a) až c) znejú: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  <w:rPr>
          <w:rFonts w:eastAsiaTheme="minorHAnsi"/>
          <w:lang w:eastAsia="en-US"/>
        </w:rPr>
      </w:pPr>
      <w:r w:rsidRPr="00583B92">
        <w:rPr>
          <w:rFonts w:eastAsiaTheme="minorHAnsi"/>
          <w:lang w:eastAsia="en-US"/>
        </w:rPr>
        <w:t>„a) kapacitu úložiska, ktorá je k dispozícii alebo sa môže v primeranej miere sprístupniť na územiach podľa § 3,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/>
        <w:rPr>
          <w:rFonts w:eastAsiaTheme="minorHAnsi"/>
          <w:lang w:eastAsia="en-US"/>
        </w:rPr>
      </w:pPr>
      <w:r w:rsidRPr="00583B92" w:rsidDel="001412F5">
        <w:rPr>
          <w:rFonts w:eastAsiaTheme="minorHAnsi"/>
          <w:lang w:eastAsia="en-US"/>
        </w:rPr>
        <w:t xml:space="preserve"> </w:t>
      </w:r>
      <w:r w:rsidRPr="00583B92">
        <w:rPr>
          <w:rFonts w:eastAsiaTheme="minorHAnsi"/>
          <w:lang w:eastAsia="en-US"/>
        </w:rPr>
        <w:t>b) kapacitu prepravnej siete, ktorá je alebo môže byť k dispozícii,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/>
      </w:pPr>
      <w:r w:rsidRPr="00583B92" w:rsidDel="00C53BED">
        <w:rPr>
          <w:rFonts w:eastAsiaTheme="minorHAnsi"/>
          <w:lang w:eastAsia="en-US"/>
        </w:rPr>
        <w:t xml:space="preserve"> </w:t>
      </w:r>
      <w:r w:rsidRPr="00583B92">
        <w:rPr>
          <w:rFonts w:eastAsiaTheme="minorHAnsi"/>
          <w:lang w:eastAsia="en-US"/>
        </w:rPr>
        <w:t>c) potrebu odmietnuť prístup, ak existuje nezlučiteľnosť neprekonateľných technických špecifikácií,“.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 w:hanging="426"/>
        <w:rPr>
          <w:bCs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5" w:hanging="425"/>
        <w:rPr>
          <w:bCs/>
        </w:rPr>
      </w:pPr>
      <w:r w:rsidRPr="00583B92">
        <w:rPr>
          <w:bCs/>
        </w:rPr>
        <w:t>V § 18 ods. 7 sa slová „</w:t>
      </w:r>
      <w:r w:rsidRPr="00583B92">
        <w:t>môže nariadiť“ nahrádzajú slovom „nariadi“.</w:t>
      </w:r>
    </w:p>
    <w:p w:rsidR="005C6A4C" w:rsidRPr="00583B92" w:rsidRDefault="005C6A4C" w:rsidP="005C6A4C">
      <w:pPr>
        <w:pStyle w:val="Odsekzoznamu"/>
        <w:spacing w:after="0" w:line="240" w:lineRule="auto"/>
        <w:ind w:left="426" w:hanging="426"/>
        <w:rPr>
          <w:bCs/>
          <w:sz w:val="24"/>
          <w:szCs w:val="24"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5" w:hanging="425"/>
        <w:rPr>
          <w:bCs/>
        </w:rPr>
      </w:pPr>
      <w:r w:rsidRPr="00583B92">
        <w:rPr>
          <w:bCs/>
        </w:rPr>
        <w:t>V § 18 ods. 7 písm. b) sa na konci pripájajú tieto slová: „za predpokladu, že to nepriaznivo neovplyvní environmentálnu bezpečnosť prepravy a ukladania.“.</w:t>
      </w:r>
    </w:p>
    <w:p w:rsidR="00A70C6A" w:rsidRPr="00583B92" w:rsidRDefault="00A70C6A" w:rsidP="00A70C6A">
      <w:pPr>
        <w:pStyle w:val="Odsekzoznamu"/>
        <w:rPr>
          <w:bCs/>
        </w:rPr>
      </w:pPr>
    </w:p>
    <w:p w:rsidR="00A70C6A" w:rsidRPr="00583B92" w:rsidRDefault="00A70C6A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5" w:hanging="425"/>
        <w:rPr>
          <w:bCs/>
        </w:rPr>
      </w:pPr>
      <w:r w:rsidRPr="00583B92">
        <w:rPr>
          <w:bCs/>
        </w:rPr>
        <w:t>V § 18 ods. 8 sa vypúšťajú slová „Európskej únie (ďalej len „členský štát“)</w:t>
      </w:r>
      <w:r w:rsidR="00641187">
        <w:rPr>
          <w:bCs/>
        </w:rPr>
        <w:t>“</w:t>
      </w:r>
      <w:bookmarkStart w:id="0" w:name="_GoBack"/>
      <w:bookmarkEnd w:id="0"/>
      <w:r w:rsidRPr="00583B92">
        <w:rPr>
          <w:bCs/>
        </w:rPr>
        <w:t>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26" w:hanging="426"/>
        <w:rPr>
          <w:bCs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  <w:rPr>
          <w:bCs/>
        </w:rPr>
      </w:pPr>
      <w:r w:rsidRPr="00583B92">
        <w:rPr>
          <w:bCs/>
        </w:rPr>
        <w:t>V § 19 ods. 2 písm. c) sa za slová „uzavretých úložísk“ vkladajú slová „a okolitých úložných komplexov“.</w:t>
      </w:r>
    </w:p>
    <w:p w:rsidR="005C6A4C" w:rsidRPr="00583B92" w:rsidRDefault="005C6A4C" w:rsidP="005C6A4C">
      <w:pPr>
        <w:pStyle w:val="Odsekzoznamu"/>
        <w:spacing w:after="0" w:line="240" w:lineRule="auto"/>
        <w:rPr>
          <w:bCs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  <w:rPr>
          <w:bCs/>
        </w:rPr>
      </w:pPr>
      <w:r w:rsidRPr="00583B92">
        <w:rPr>
          <w:bCs/>
        </w:rPr>
        <w:t xml:space="preserve">V § 19 ods. 2 sa za písmeno e) vkladajú nové písmená f) a g, ktoré znejú: 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426"/>
        </w:tabs>
        <w:ind w:left="426"/>
        <w:rPr>
          <w:rFonts w:eastAsiaTheme="minorHAnsi"/>
          <w:bCs/>
          <w:lang w:eastAsia="en-US"/>
        </w:rPr>
      </w:pPr>
      <w:r w:rsidRPr="00583B92">
        <w:rPr>
          <w:rFonts w:eastAsiaTheme="minorHAnsi"/>
          <w:bCs/>
          <w:lang w:eastAsia="en-US"/>
        </w:rPr>
        <w:t>„f) charakteristík úložísk a úložných komplexov a posúdení úplnej a trvalej izolácie oxidu uhličitého podľa § 3 ods. 2 a prílohy č. 1,</w:t>
      </w:r>
    </w:p>
    <w:p w:rsidR="005C6A4C" w:rsidRPr="00583B92" w:rsidRDefault="005C6A4C" w:rsidP="005C6A4C">
      <w:pPr>
        <w:ind w:left="426"/>
        <w:rPr>
          <w:rFonts w:ascii="Times New Roman" w:hAnsi="Times New Roman" w:cs="Times New Roman"/>
          <w:sz w:val="24"/>
          <w:szCs w:val="24"/>
        </w:rPr>
      </w:pPr>
      <w:r w:rsidRPr="00583B92" w:rsidDel="009C22C9">
        <w:rPr>
          <w:rFonts w:ascii="Times New Roman" w:hAnsi="Times New Roman" w:cs="Times New Roman"/>
          <w:sz w:val="24"/>
          <w:szCs w:val="24"/>
        </w:rPr>
        <w:t xml:space="preserve"> </w:t>
      </w:r>
      <w:r w:rsidRPr="00583B92">
        <w:rPr>
          <w:rFonts w:ascii="Times New Roman" w:hAnsi="Times New Roman" w:cs="Times New Roman"/>
          <w:sz w:val="24"/>
          <w:szCs w:val="24"/>
        </w:rPr>
        <w:t xml:space="preserve">g) dostupných informácií potrebných pre posúdenie úplnej a trvalej izolácie uloženého oxidu uhličitého,“. </w:t>
      </w:r>
    </w:p>
    <w:p w:rsidR="005C6A4C" w:rsidRPr="00583B92" w:rsidRDefault="005C6A4C" w:rsidP="005C6A4C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Doterajšie písmená f) až k) sa označujú ako písmená h) až m).</w:t>
      </w:r>
    </w:p>
    <w:p w:rsidR="005C6A4C" w:rsidRPr="00583B92" w:rsidRDefault="005C6A4C" w:rsidP="005C6A4C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lastRenderedPageBreak/>
        <w:t>V § 19 ods. 3 sa za slová „verejnej správy“ vkladajú slová „pri plánovacích postupoch a“.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rPr>
          <w:bCs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</w:tabs>
        <w:ind w:left="426" w:hanging="426"/>
        <w:rPr>
          <w:bCs/>
        </w:rPr>
      </w:pPr>
      <w:r w:rsidRPr="00583B92">
        <w:rPr>
          <w:bCs/>
        </w:rPr>
        <w:t>V názve prílohy č. 1 sa za slová „úložného komplexu“ pripájajú slová „a okolitej oblasti“.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54" w:hanging="454"/>
        <w:rPr>
          <w:bCs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  <w:rPr>
          <w:bCs/>
        </w:rPr>
      </w:pPr>
      <w:r w:rsidRPr="00583B92">
        <w:rPr>
          <w:bCs/>
        </w:rPr>
        <w:t>V úvodnej vete prílohy č. 1 a v poslednej vete prílohy č. 1  sa za slová „úložného komplexu“ vkladajú slová „a okolitej oblasti“.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54" w:hanging="454"/>
        <w:rPr>
          <w:bCs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  <w:rPr>
          <w:bCs/>
        </w:rPr>
      </w:pPr>
      <w:r w:rsidRPr="00583B92">
        <w:rPr>
          <w:bCs/>
        </w:rPr>
        <w:t xml:space="preserve">V úvodnej vete prílohy č. 1 druhý bod sa za slovo „model“ vkladajú slová  „alebo modely“ a za slová „úložného komplexu“ sa vkladá čiarka a slová „nadložia a hydraulicky prepojených oblastí a kvapalín“. 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rPr>
          <w:bCs/>
        </w:rPr>
      </w:pPr>
    </w:p>
    <w:p w:rsidR="005C6A4C" w:rsidRPr="00583B92" w:rsidRDefault="005C6A4C" w:rsidP="005C6A4C">
      <w:pPr>
        <w:pStyle w:val="tl1"/>
        <w:numPr>
          <w:ilvl w:val="0"/>
          <w:numId w:val="1"/>
        </w:numPr>
        <w:tabs>
          <w:tab w:val="clear" w:pos="454"/>
          <w:tab w:val="left" w:pos="0"/>
        </w:tabs>
        <w:ind w:left="426" w:hanging="426"/>
        <w:rPr>
          <w:bCs/>
        </w:rPr>
      </w:pPr>
      <w:r w:rsidRPr="00583B92">
        <w:rPr>
          <w:bCs/>
        </w:rPr>
        <w:t xml:space="preserve">V prílohe č. 1 v bode 2.3 sa slová „širšieho okolia“ nahrádzajú slovami „okolitých jednotiek“. 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rPr>
          <w:bCs/>
        </w:rPr>
      </w:pP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</w:tabs>
        <w:ind w:left="454" w:hanging="454"/>
        <w:jc w:val="center"/>
        <w:rPr>
          <w:b/>
          <w:bCs/>
        </w:rPr>
      </w:pPr>
      <w:r w:rsidRPr="00583B92">
        <w:rPr>
          <w:b/>
          <w:bCs/>
        </w:rPr>
        <w:t>Čl. II</w:t>
      </w:r>
    </w:p>
    <w:p w:rsidR="005C6A4C" w:rsidRPr="00583B92" w:rsidRDefault="005C6A4C" w:rsidP="005C6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>Zákon č. 39/2013 Z. z. o integrovanej prevencii a kontrole znečisťovania životného prostredia a o zmene a doplnení niektorých zákonov v znení zákona č. 484/2013 Z. z., zákona č. 58/2014 Z. z., zákona č. 79/2015 Z. z. a zákona č. 262/2015 Z. z. sa dopĺňa takto:</w:t>
      </w:r>
    </w:p>
    <w:p w:rsidR="005C6A4C" w:rsidRPr="00583B92" w:rsidRDefault="005C6A4C" w:rsidP="005C6A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C6A4C" w:rsidRPr="00583B92" w:rsidRDefault="005C6A4C" w:rsidP="005C6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 xml:space="preserve">V § 21 sa odsek 2 dopĺňa písmenom p), ktoré znie: </w:t>
      </w:r>
    </w:p>
    <w:p w:rsidR="005C6A4C" w:rsidRPr="00583B92" w:rsidRDefault="005C6A4C" w:rsidP="005C6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B92">
        <w:rPr>
          <w:rFonts w:ascii="Times New Roman" w:hAnsi="Times New Roman"/>
          <w:sz w:val="24"/>
          <w:szCs w:val="24"/>
        </w:rPr>
        <w:t xml:space="preserve">„p) v prípade splnenia podmienok podľa § 7 ods. 1 písm. j) určí opatrenia na vyčlenenie vhodného priestoru na umiestnenie zariadení na zachytávanie a vtláčanie oxidu uhličitého a určí, či boli tieto podmienky splnené na základe posúdenia </w:t>
      </w:r>
      <w:r w:rsidR="004F54A4" w:rsidRPr="00583B92">
        <w:rPr>
          <w:rFonts w:ascii="Times New Roman" w:hAnsi="Times New Roman"/>
          <w:sz w:val="24"/>
          <w:szCs w:val="24"/>
        </w:rPr>
        <w:t xml:space="preserve">uvedeného v § 7 ods. 1 písm. i) </w:t>
      </w:r>
      <w:r w:rsidRPr="00583B92">
        <w:rPr>
          <w:rFonts w:ascii="Times New Roman" w:hAnsi="Times New Roman"/>
          <w:sz w:val="24"/>
          <w:szCs w:val="24"/>
        </w:rPr>
        <w:t>a iných dostupných informácií, ktoré sa týkajú najmä ochrany životného prostredia a zdravia ľudí.“</w:t>
      </w:r>
      <w:r w:rsidR="00EA17CF" w:rsidRPr="00583B92">
        <w:rPr>
          <w:rFonts w:ascii="Times New Roman" w:hAnsi="Times New Roman"/>
          <w:sz w:val="24"/>
          <w:szCs w:val="24"/>
        </w:rPr>
        <w:t>.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54" w:hanging="454"/>
        <w:rPr>
          <w:bCs/>
        </w:rPr>
      </w:pP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54" w:hanging="454"/>
        <w:jc w:val="center"/>
        <w:rPr>
          <w:b/>
          <w:bCs/>
        </w:rPr>
      </w:pPr>
      <w:r w:rsidRPr="00583B92">
        <w:rPr>
          <w:b/>
          <w:bCs/>
        </w:rPr>
        <w:t>Čl. III</w:t>
      </w:r>
    </w:p>
    <w:p w:rsidR="005C6A4C" w:rsidRPr="00583B92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54" w:hanging="454"/>
        <w:rPr>
          <w:bCs/>
        </w:rPr>
      </w:pPr>
    </w:p>
    <w:p w:rsidR="005C6A4C" w:rsidRPr="005C6A4C" w:rsidRDefault="005C6A4C" w:rsidP="005C6A4C">
      <w:pPr>
        <w:pStyle w:val="tl1"/>
        <w:numPr>
          <w:ilvl w:val="0"/>
          <w:numId w:val="0"/>
        </w:numPr>
        <w:tabs>
          <w:tab w:val="clear" w:pos="454"/>
          <w:tab w:val="left" w:pos="0"/>
        </w:tabs>
        <w:ind w:left="454" w:hanging="454"/>
        <w:rPr>
          <w:bCs/>
        </w:rPr>
      </w:pPr>
      <w:r w:rsidRPr="00583B92">
        <w:rPr>
          <w:bCs/>
        </w:rPr>
        <w:t>Tento zákon nadobúda účinnosť dňom vyhlásenia.</w:t>
      </w:r>
    </w:p>
    <w:p w:rsidR="0006625B" w:rsidRPr="005C6A4C" w:rsidRDefault="0006625B"/>
    <w:sectPr w:rsidR="0006625B" w:rsidRPr="005C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8E6"/>
    <w:multiLevelType w:val="hybridMultilevel"/>
    <w:tmpl w:val="2682D486"/>
    <w:lvl w:ilvl="0" w:tplc="C85AB2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4C"/>
    <w:rsid w:val="0006625B"/>
    <w:rsid w:val="002011F9"/>
    <w:rsid w:val="00320CB3"/>
    <w:rsid w:val="004F54A4"/>
    <w:rsid w:val="00583B92"/>
    <w:rsid w:val="005C6A4C"/>
    <w:rsid w:val="00641187"/>
    <w:rsid w:val="0080146C"/>
    <w:rsid w:val="008E54A9"/>
    <w:rsid w:val="00A70C6A"/>
    <w:rsid w:val="00C1704D"/>
    <w:rsid w:val="00DE1DCC"/>
    <w:rsid w:val="00E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B21A8-33B2-4F2F-A26D-1AE3DE7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6A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C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6A4C"/>
    <w:pPr>
      <w:ind w:left="720"/>
      <w:contextualSpacing/>
    </w:pPr>
  </w:style>
  <w:style w:type="paragraph" w:customStyle="1" w:styleId="tl1">
    <w:name w:val="Štýl1"/>
    <w:basedOn w:val="Normlny"/>
    <w:link w:val="tl1Char"/>
    <w:rsid w:val="005C6A4C"/>
    <w:pPr>
      <w:numPr>
        <w:numId w:val="2"/>
      </w:numPr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3">
    <w:name w:val="Štýl3"/>
    <w:basedOn w:val="Normlny"/>
    <w:rsid w:val="005C6A4C"/>
    <w:pPr>
      <w:numPr>
        <w:ilvl w:val="1"/>
        <w:numId w:val="2"/>
      </w:numPr>
      <w:tabs>
        <w:tab w:val="clear" w:pos="1440"/>
        <w:tab w:val="num" w:pos="-360"/>
      </w:tabs>
      <w:spacing w:after="0" w:line="240" w:lineRule="auto"/>
      <w:ind w:left="738" w:hanging="284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l1Char">
    <w:name w:val="Štýl1 Char"/>
    <w:link w:val="tl1"/>
    <w:rsid w:val="005C6A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C6A4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2/17/" TargetMode="External"/><Relationship Id="rId5" Type="http://schemas.openxmlformats.org/officeDocument/2006/relationships/hyperlink" Target="https://www.slov-lex.sk/pravne-predpisy/SK/ZZ/2011/258/20130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13</cp:revision>
  <cp:lastPrinted>2017-01-12T14:03:00Z</cp:lastPrinted>
  <dcterms:created xsi:type="dcterms:W3CDTF">2016-11-15T08:57:00Z</dcterms:created>
  <dcterms:modified xsi:type="dcterms:W3CDTF">2017-01-12T14:04:00Z</dcterms:modified>
</cp:coreProperties>
</file>