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57" w:rsidRPr="00732E57" w:rsidRDefault="00732E57" w:rsidP="007C7F8B">
      <w:pPr>
        <w:spacing w:line="240" w:lineRule="auto"/>
        <w:jc w:val="right"/>
        <w:rPr>
          <w:rFonts w:eastAsia="Calibri"/>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9C2704">
        <w:trPr>
          <w:trHeight w:val="822"/>
        </w:trPr>
        <w:tc>
          <w:tcPr>
            <w:tcW w:w="9371" w:type="dxa"/>
            <w:shd w:val="clear" w:color="auto" w:fill="BFBFBF"/>
            <w:vAlign w:val="center"/>
          </w:tcPr>
          <w:p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9C2704">
        <w:trPr>
          <w:trHeight w:val="655"/>
        </w:trPr>
        <w:tc>
          <w:tcPr>
            <w:tcW w:w="9371" w:type="dxa"/>
          </w:tcPr>
          <w:p w:rsidR="00337789" w:rsidRDefault="00D8725B" w:rsidP="00477A7E">
            <w:pPr>
              <w:spacing w:line="240" w:lineRule="auto"/>
              <w:rPr>
                <w:i/>
                <w:sz w:val="22"/>
                <w:szCs w:val="22"/>
              </w:rPr>
            </w:pPr>
            <w:r>
              <w:rPr>
                <w:i/>
                <w:sz w:val="22"/>
                <w:szCs w:val="22"/>
              </w:rPr>
              <w:t>V čl. I</w:t>
            </w:r>
            <w:r w:rsidR="00477A7E">
              <w:rPr>
                <w:i/>
                <w:sz w:val="22"/>
                <w:szCs w:val="22"/>
              </w:rPr>
              <w:t xml:space="preserve"> rozširujú sa dôvody, pre ktoré je možné povoliť pozemkové úpravy, precizujú sa postupy jednoduchých pozemkových úprav z pohľadu správneho orgánu, </w:t>
            </w:r>
            <w:proofErr w:type="spellStart"/>
            <w:r w:rsidR="00477A7E">
              <w:rPr>
                <w:i/>
                <w:sz w:val="22"/>
                <w:szCs w:val="22"/>
              </w:rPr>
              <w:t>legislatívno</w:t>
            </w:r>
            <w:proofErr w:type="spellEnd"/>
            <w:r w:rsidR="00477A7E">
              <w:rPr>
                <w:i/>
                <w:sz w:val="22"/>
                <w:szCs w:val="22"/>
              </w:rPr>
              <w:t xml:space="preserve"> technicky sa upravujú niektoré ustanovenia zákona</w:t>
            </w:r>
          </w:p>
          <w:p w:rsidR="00477A7E" w:rsidRDefault="00477A7E" w:rsidP="00A546D2">
            <w:pPr>
              <w:spacing w:line="240" w:lineRule="auto"/>
              <w:rPr>
                <w:i/>
                <w:sz w:val="22"/>
                <w:szCs w:val="22"/>
              </w:rPr>
            </w:pPr>
            <w:r>
              <w:rPr>
                <w:i/>
                <w:sz w:val="22"/>
                <w:szCs w:val="22"/>
              </w:rPr>
              <w:t>V čl. II sa umožňuje schváliť registre obnovenej evidencie pozemkov aj pred rozhodnutím o všetkých návrhoch podľa § 11 zákona a umožňuje sa zapísať rozhodnutia</w:t>
            </w:r>
            <w:r w:rsidR="00A546D2">
              <w:rPr>
                <w:i/>
                <w:sz w:val="22"/>
                <w:szCs w:val="22"/>
              </w:rPr>
              <w:t xml:space="preserve"> podľa § 11</w:t>
            </w:r>
            <w:r>
              <w:rPr>
                <w:i/>
                <w:sz w:val="22"/>
                <w:szCs w:val="22"/>
              </w:rPr>
              <w:t xml:space="preserve"> do katastra samostatne po </w:t>
            </w:r>
            <w:bookmarkStart w:id="0" w:name="_GoBack"/>
            <w:bookmarkEnd w:id="0"/>
            <w:r>
              <w:rPr>
                <w:i/>
                <w:sz w:val="22"/>
                <w:szCs w:val="22"/>
              </w:rPr>
              <w:t>zápise registra. Sprísnili sa podmienky drobenia pozemkov po pozemkových úpravách.</w:t>
            </w:r>
          </w:p>
          <w:p w:rsidR="00DF65A9" w:rsidRPr="00F36EF9" w:rsidRDefault="00DF65A9" w:rsidP="00A546D2">
            <w:pPr>
              <w:spacing w:line="240" w:lineRule="auto"/>
              <w:rPr>
                <w:i/>
                <w:sz w:val="22"/>
                <w:szCs w:val="22"/>
              </w:rPr>
            </w:pPr>
            <w:r>
              <w:rPr>
                <w:i/>
                <w:sz w:val="22"/>
                <w:szCs w:val="22"/>
              </w:rPr>
              <w:t>Čl. IV nemá vplyv na služby verejnej správy</w:t>
            </w:r>
            <w:r w:rsidR="00B36ADF">
              <w:rPr>
                <w:i/>
                <w:sz w:val="22"/>
                <w:szCs w:val="22"/>
              </w:rPr>
              <w:t xml:space="preserve"> pre občana</w:t>
            </w:r>
            <w:r>
              <w:rPr>
                <w:i/>
                <w:sz w:val="22"/>
                <w:szCs w:val="22"/>
              </w:rPr>
              <w:t>.</w:t>
            </w:r>
          </w:p>
        </w:tc>
      </w:tr>
      <w:tr w:rsidR="00337789" w:rsidRPr="005C4B9C" w:rsidTr="009C2704">
        <w:trPr>
          <w:trHeight w:val="212"/>
        </w:trPr>
        <w:tc>
          <w:tcPr>
            <w:tcW w:w="9371" w:type="dxa"/>
          </w:tcPr>
          <w:p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rsidTr="009C2704">
        <w:trPr>
          <w:trHeight w:val="598"/>
        </w:trPr>
        <w:tc>
          <w:tcPr>
            <w:tcW w:w="9371" w:type="dxa"/>
          </w:tcPr>
          <w:p w:rsidR="00337789" w:rsidRPr="00F36EF9" w:rsidRDefault="001B1B55" w:rsidP="007C7F8B">
            <w:pPr>
              <w:spacing w:line="240" w:lineRule="auto"/>
              <w:rPr>
                <w:i/>
                <w:sz w:val="22"/>
                <w:szCs w:val="22"/>
              </w:rPr>
            </w:pPr>
            <w:r>
              <w:rPr>
                <w:i/>
                <w:sz w:val="22"/>
                <w:szCs w:val="22"/>
              </w:rPr>
              <w:t>V čl. III sa vytvára nová služba štátnej správy, kde presne určeným osobám, vlastníkom pozemkov v konkrétnych prípadoch sa umožňuje podať návrh na konanie o vydaní rozhodnutia o vzniku podnájomného vzťahu k pozemku.</w:t>
            </w:r>
          </w:p>
        </w:tc>
      </w:tr>
      <w:tr w:rsidR="00337789" w:rsidRPr="005C4B9C" w:rsidTr="009C2704">
        <w:trPr>
          <w:trHeight w:val="248"/>
        </w:trPr>
        <w:tc>
          <w:tcPr>
            <w:tcW w:w="9371" w:type="dxa"/>
          </w:tcPr>
          <w:p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rsidTr="009C2704">
        <w:trPr>
          <w:trHeight w:val="248"/>
        </w:trPr>
        <w:tc>
          <w:tcPr>
            <w:tcW w:w="9371" w:type="dxa"/>
          </w:tcPr>
          <w:p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rsidTr="009C2704">
        <w:trPr>
          <w:trHeight w:val="545"/>
        </w:trPr>
        <w:tc>
          <w:tcPr>
            <w:tcW w:w="9371" w:type="dxa"/>
          </w:tcPr>
          <w:p w:rsidR="00337789" w:rsidRDefault="00477A7E" w:rsidP="007C7F8B">
            <w:pPr>
              <w:spacing w:line="240" w:lineRule="auto"/>
              <w:rPr>
                <w:i/>
                <w:sz w:val="22"/>
                <w:szCs w:val="22"/>
              </w:rPr>
            </w:pPr>
            <w:r>
              <w:rPr>
                <w:i/>
                <w:sz w:val="22"/>
                <w:szCs w:val="22"/>
              </w:rPr>
              <w:t>čl. I – pozemkové úpravy</w:t>
            </w:r>
          </w:p>
          <w:p w:rsidR="00477A7E" w:rsidRDefault="00477A7E" w:rsidP="00477A7E">
            <w:pPr>
              <w:spacing w:line="240" w:lineRule="auto"/>
              <w:rPr>
                <w:i/>
                <w:sz w:val="22"/>
                <w:szCs w:val="22"/>
              </w:rPr>
            </w:pPr>
            <w:r>
              <w:rPr>
                <w:i/>
                <w:sz w:val="22"/>
                <w:szCs w:val="22"/>
              </w:rPr>
              <w:t>čl. II – registre obnovenej evidencie pozemkov</w:t>
            </w:r>
          </w:p>
          <w:p w:rsidR="00477A7E" w:rsidRPr="00D3615C" w:rsidRDefault="00477A7E" w:rsidP="00477A7E">
            <w:pPr>
              <w:spacing w:line="240" w:lineRule="auto"/>
              <w:rPr>
                <w:i/>
                <w:sz w:val="22"/>
                <w:szCs w:val="22"/>
              </w:rPr>
            </w:pPr>
            <w:r>
              <w:rPr>
                <w:i/>
                <w:sz w:val="22"/>
                <w:szCs w:val="22"/>
              </w:rPr>
              <w:t>čl. III – podnájomné vzťahy k doterajším náhradným pozemkom</w:t>
            </w:r>
          </w:p>
        </w:tc>
      </w:tr>
      <w:tr w:rsidR="00337789" w:rsidRPr="005C4B9C" w:rsidTr="009C2704">
        <w:trPr>
          <w:trHeight w:val="248"/>
        </w:trPr>
        <w:tc>
          <w:tcPr>
            <w:tcW w:w="9371" w:type="dxa"/>
          </w:tcPr>
          <w:p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956165" w:rsidRPr="005C4B9C" w:rsidTr="009C2704">
        <w:trPr>
          <w:trHeight w:val="630"/>
        </w:trPr>
        <w:tc>
          <w:tcPr>
            <w:tcW w:w="9371" w:type="dxa"/>
          </w:tcPr>
          <w:p w:rsidR="00956165" w:rsidRDefault="00956165" w:rsidP="00956165">
            <w:pPr>
              <w:spacing w:line="240" w:lineRule="auto"/>
              <w:rPr>
                <w:b/>
                <w:i/>
                <w:sz w:val="22"/>
                <w:szCs w:val="22"/>
              </w:rPr>
            </w:pPr>
            <w:r>
              <w:rPr>
                <w:b/>
                <w:i/>
                <w:sz w:val="22"/>
                <w:szCs w:val="22"/>
              </w:rPr>
              <w:t>čl. I – Zákon SNR č. 330/1991 Zb. o pozemkových úpravách, usporiadaní pozemkového vlastníctva, pozemkových úradoch, pozemkovom fonde a o pozemkových spoločenstvách v znení neskorších predpisov</w:t>
            </w:r>
          </w:p>
          <w:p w:rsidR="00956165" w:rsidRDefault="00956165" w:rsidP="00956165">
            <w:pPr>
              <w:spacing w:line="240" w:lineRule="auto"/>
              <w:rPr>
                <w:b/>
                <w:i/>
                <w:sz w:val="22"/>
                <w:szCs w:val="22"/>
              </w:rPr>
            </w:pPr>
            <w:r>
              <w:rPr>
                <w:b/>
                <w:i/>
                <w:sz w:val="22"/>
                <w:szCs w:val="22"/>
              </w:rPr>
              <w:t xml:space="preserve">čl. II – Zákon NR SR č. 180/1995 </w:t>
            </w:r>
            <w:proofErr w:type="spellStart"/>
            <w:r>
              <w:rPr>
                <w:b/>
                <w:i/>
                <w:sz w:val="22"/>
                <w:szCs w:val="22"/>
              </w:rPr>
              <w:t>Z.z</w:t>
            </w:r>
            <w:proofErr w:type="spellEnd"/>
            <w:r>
              <w:rPr>
                <w:b/>
                <w:i/>
                <w:sz w:val="22"/>
                <w:szCs w:val="22"/>
              </w:rPr>
              <w:t xml:space="preserve">.. </w:t>
            </w:r>
            <w:r w:rsidRPr="00956165">
              <w:rPr>
                <w:b/>
                <w:i/>
                <w:sz w:val="22"/>
                <w:szCs w:val="22"/>
              </w:rPr>
              <w:t>o</w:t>
            </w:r>
            <w:r>
              <w:rPr>
                <w:b/>
                <w:i/>
                <w:sz w:val="22"/>
                <w:szCs w:val="22"/>
              </w:rPr>
              <w:t> </w:t>
            </w:r>
            <w:r w:rsidRPr="00956165">
              <w:rPr>
                <w:b/>
                <w:i/>
                <w:sz w:val="22"/>
                <w:szCs w:val="22"/>
              </w:rPr>
              <w:t>niektorých opatreniach na usporiadanie vlastníctva k</w:t>
            </w:r>
            <w:r>
              <w:rPr>
                <w:b/>
                <w:i/>
                <w:sz w:val="22"/>
                <w:szCs w:val="22"/>
              </w:rPr>
              <w:t> </w:t>
            </w:r>
            <w:r w:rsidRPr="00956165">
              <w:rPr>
                <w:b/>
                <w:i/>
                <w:sz w:val="22"/>
                <w:szCs w:val="22"/>
              </w:rPr>
              <w:t>pozemkom</w:t>
            </w:r>
            <w:r>
              <w:rPr>
                <w:b/>
                <w:i/>
                <w:sz w:val="22"/>
                <w:szCs w:val="22"/>
              </w:rPr>
              <w:t xml:space="preserve"> v znení neskorších predpisov</w:t>
            </w:r>
          </w:p>
          <w:p w:rsidR="00956165" w:rsidRPr="005C4B9C" w:rsidRDefault="00956165" w:rsidP="00956165">
            <w:pPr>
              <w:spacing w:line="240" w:lineRule="auto"/>
              <w:rPr>
                <w:b/>
                <w:i/>
                <w:sz w:val="22"/>
                <w:szCs w:val="22"/>
              </w:rPr>
            </w:pPr>
            <w:r>
              <w:rPr>
                <w:b/>
                <w:i/>
                <w:sz w:val="22"/>
                <w:szCs w:val="22"/>
              </w:rPr>
              <w:t xml:space="preserve">čl. III – Zákon NR SR č. 504/2003 </w:t>
            </w:r>
            <w:proofErr w:type="spellStart"/>
            <w:r>
              <w:rPr>
                <w:b/>
                <w:i/>
                <w:sz w:val="22"/>
                <w:szCs w:val="22"/>
              </w:rPr>
              <w:t>Z.z</w:t>
            </w:r>
            <w:proofErr w:type="spellEnd"/>
            <w:r>
              <w:rPr>
                <w:b/>
                <w:i/>
                <w:sz w:val="22"/>
                <w:szCs w:val="22"/>
              </w:rPr>
              <w:t xml:space="preserve">. </w:t>
            </w:r>
            <w:r w:rsidRPr="00956165">
              <w:rPr>
                <w:b/>
                <w:i/>
                <w:sz w:val="22"/>
                <w:szCs w:val="22"/>
              </w:rPr>
              <w:t>o</w:t>
            </w:r>
            <w:r>
              <w:rPr>
                <w:b/>
                <w:i/>
                <w:sz w:val="22"/>
                <w:szCs w:val="22"/>
              </w:rPr>
              <w:t> </w:t>
            </w:r>
            <w:r w:rsidRPr="00956165">
              <w:rPr>
                <w:b/>
                <w:i/>
                <w:sz w:val="22"/>
                <w:szCs w:val="22"/>
              </w:rPr>
              <w:t>nájme poľnohospodárskych pozemkov, poľnohospodárskeho podniku a lesných pozemkov a o zmene niektorých zákonov</w:t>
            </w:r>
            <w:r>
              <w:rPr>
                <w:b/>
                <w:i/>
                <w:sz w:val="22"/>
                <w:szCs w:val="22"/>
              </w:rPr>
              <w:t xml:space="preserve"> v znení neskorších predpisov</w:t>
            </w:r>
          </w:p>
        </w:tc>
      </w:tr>
      <w:tr w:rsidR="00956165" w:rsidRPr="005C4B9C" w:rsidTr="009C2704">
        <w:trPr>
          <w:trHeight w:val="220"/>
        </w:trPr>
        <w:tc>
          <w:tcPr>
            <w:tcW w:w="9371" w:type="dxa"/>
          </w:tcPr>
          <w:p w:rsidR="00956165" w:rsidRPr="00F36EF9" w:rsidRDefault="00956165" w:rsidP="00956165">
            <w:pPr>
              <w:spacing w:line="240" w:lineRule="auto"/>
              <w:rPr>
                <w:b/>
                <w:i/>
                <w:sz w:val="22"/>
                <w:szCs w:val="22"/>
              </w:rPr>
            </w:pPr>
            <w:r>
              <w:rPr>
                <w:i/>
                <w:sz w:val="22"/>
                <w:szCs w:val="22"/>
              </w:rPr>
              <w:t xml:space="preserve">Subjekt, ktorý je na základe platnej právnej úpravy oprávnený službu poskytovať </w:t>
            </w:r>
          </w:p>
        </w:tc>
      </w:tr>
      <w:tr w:rsidR="00956165" w:rsidRPr="005C4B9C" w:rsidTr="009C2704">
        <w:trPr>
          <w:trHeight w:val="587"/>
        </w:trPr>
        <w:tc>
          <w:tcPr>
            <w:tcW w:w="9371" w:type="dxa"/>
          </w:tcPr>
          <w:p w:rsidR="00956165" w:rsidRPr="00B1031A" w:rsidRDefault="00956165" w:rsidP="00956165">
            <w:pPr>
              <w:spacing w:line="240" w:lineRule="auto"/>
              <w:rPr>
                <w:sz w:val="22"/>
                <w:szCs w:val="22"/>
              </w:rPr>
            </w:pPr>
            <w:r>
              <w:rPr>
                <w:sz w:val="22"/>
                <w:szCs w:val="22"/>
              </w:rPr>
              <w:t>Pozemkové a lesné odbory okresných úradov</w:t>
            </w:r>
          </w:p>
        </w:tc>
      </w:tr>
      <w:tr w:rsidR="00956165" w:rsidRPr="005C4B9C" w:rsidTr="009C2704">
        <w:trPr>
          <w:trHeight w:val="423"/>
        </w:trPr>
        <w:tc>
          <w:tcPr>
            <w:tcW w:w="9371" w:type="dxa"/>
          </w:tcPr>
          <w:p w:rsidR="00956165" w:rsidRPr="005C4B9C" w:rsidRDefault="00956165" w:rsidP="00956165">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956165" w:rsidRPr="005C4B9C" w:rsidTr="009C2704">
        <w:trPr>
          <w:trHeight w:val="256"/>
        </w:trPr>
        <w:tc>
          <w:tcPr>
            <w:tcW w:w="9371" w:type="dxa"/>
          </w:tcPr>
          <w:p w:rsidR="00956165" w:rsidRPr="00F36EF9" w:rsidRDefault="00956165" w:rsidP="00956165">
            <w:pPr>
              <w:spacing w:line="240" w:lineRule="auto"/>
              <w:rPr>
                <w:b/>
                <w:i/>
                <w:sz w:val="22"/>
                <w:szCs w:val="22"/>
              </w:rPr>
            </w:pPr>
            <w:r w:rsidRPr="00F36EF9">
              <w:rPr>
                <w:i/>
                <w:sz w:val="22"/>
                <w:szCs w:val="22"/>
              </w:rPr>
              <w:t xml:space="preserve">Priamy vplyv (popíšte) </w:t>
            </w:r>
          </w:p>
        </w:tc>
      </w:tr>
      <w:tr w:rsidR="00956165" w:rsidRPr="005C4B9C" w:rsidTr="009C2704">
        <w:trPr>
          <w:trHeight w:val="543"/>
        </w:trPr>
        <w:tc>
          <w:tcPr>
            <w:tcW w:w="9371" w:type="dxa"/>
          </w:tcPr>
          <w:p w:rsidR="00477A7E" w:rsidRDefault="00477A7E" w:rsidP="00477A7E">
            <w:pPr>
              <w:spacing w:line="240" w:lineRule="auto"/>
              <w:rPr>
                <w:i/>
                <w:sz w:val="22"/>
                <w:szCs w:val="22"/>
              </w:rPr>
            </w:pPr>
            <w:r>
              <w:rPr>
                <w:i/>
                <w:sz w:val="22"/>
                <w:szCs w:val="22"/>
              </w:rPr>
              <w:t xml:space="preserve">V čl. I rozširujú sa dôvody, pre ktoré je možné povoliť pozemkové úpravy, precizujú sa postupy jednoduchých pozemkových úprav z pohľadu správneho orgánu, </w:t>
            </w:r>
            <w:proofErr w:type="spellStart"/>
            <w:r>
              <w:rPr>
                <w:i/>
                <w:sz w:val="22"/>
                <w:szCs w:val="22"/>
              </w:rPr>
              <w:t>legislatívno</w:t>
            </w:r>
            <w:proofErr w:type="spellEnd"/>
            <w:r>
              <w:rPr>
                <w:i/>
                <w:sz w:val="22"/>
                <w:szCs w:val="22"/>
              </w:rPr>
              <w:t xml:space="preserve"> technicky sa upravujú niektoré ustanovenia zákona</w:t>
            </w:r>
          </w:p>
          <w:p w:rsidR="00956165" w:rsidRDefault="00477A7E" w:rsidP="00477A7E">
            <w:pPr>
              <w:spacing w:line="240" w:lineRule="auto"/>
              <w:rPr>
                <w:i/>
                <w:sz w:val="22"/>
                <w:szCs w:val="22"/>
              </w:rPr>
            </w:pPr>
            <w:r>
              <w:rPr>
                <w:i/>
                <w:sz w:val="22"/>
                <w:szCs w:val="22"/>
              </w:rPr>
              <w:t>V čl. II sa umožňuje schváliť registre obnovenej evidencie pozemkov aj pred rozhodnutím o všetkých návrhoch podľa § 11 zákona a umožňuje sa zapísať tieto rozhodnutia do katastra samostatne po zápise registra. Sprísnili sa podmienky drobenia pozemkov po pozemkových úpravách.</w:t>
            </w:r>
          </w:p>
          <w:p w:rsidR="00477A7E" w:rsidRPr="005C4B9C" w:rsidRDefault="00477A7E" w:rsidP="00477A7E">
            <w:pPr>
              <w:spacing w:line="240" w:lineRule="auto"/>
              <w:rPr>
                <w:b/>
                <w:i/>
                <w:sz w:val="22"/>
                <w:szCs w:val="22"/>
              </w:rPr>
            </w:pPr>
            <w:r>
              <w:rPr>
                <w:i/>
                <w:sz w:val="22"/>
                <w:szCs w:val="22"/>
              </w:rPr>
              <w:t>V čl. III sa vytvára nová služba štátnej správy, kde presne určeným osobám, vlastníkom pozemkov v konkrétnych prípadoch sa umožňuje podať návrh na konanie o vydaní rozhodnutia o vzniku podnájomného vzťahu k pozemku.</w:t>
            </w:r>
          </w:p>
        </w:tc>
      </w:tr>
      <w:tr w:rsidR="00956165" w:rsidRPr="005C4B9C" w:rsidTr="009C2704">
        <w:trPr>
          <w:trHeight w:val="20"/>
        </w:trPr>
        <w:tc>
          <w:tcPr>
            <w:tcW w:w="9371" w:type="dxa"/>
          </w:tcPr>
          <w:p w:rsidR="00956165" w:rsidRPr="00F36EF9" w:rsidRDefault="00956165" w:rsidP="00956165">
            <w:pPr>
              <w:spacing w:line="240" w:lineRule="auto"/>
              <w:rPr>
                <w:b/>
                <w:i/>
                <w:sz w:val="22"/>
                <w:szCs w:val="22"/>
              </w:rPr>
            </w:pPr>
            <w:r w:rsidRPr="00F36EF9">
              <w:rPr>
                <w:i/>
                <w:sz w:val="22"/>
                <w:szCs w:val="22"/>
              </w:rPr>
              <w:t xml:space="preserve">Nepriamy vplyv (popíšte) </w:t>
            </w:r>
          </w:p>
        </w:tc>
      </w:tr>
      <w:tr w:rsidR="00956165" w:rsidRPr="005C4B9C" w:rsidTr="009C2704">
        <w:trPr>
          <w:trHeight w:val="616"/>
        </w:trPr>
        <w:tc>
          <w:tcPr>
            <w:tcW w:w="9371" w:type="dxa"/>
          </w:tcPr>
          <w:p w:rsidR="00956165" w:rsidRPr="002E48EF" w:rsidRDefault="002E48EF" w:rsidP="00956165">
            <w:pPr>
              <w:spacing w:line="240" w:lineRule="auto"/>
              <w:rPr>
                <w:i/>
                <w:sz w:val="22"/>
                <w:szCs w:val="22"/>
              </w:rPr>
            </w:pPr>
            <w:r>
              <w:rPr>
                <w:i/>
                <w:sz w:val="22"/>
                <w:szCs w:val="22"/>
              </w:rPr>
              <w:lastRenderedPageBreak/>
              <w:t xml:space="preserve">Podľa § 42v sú dotknutí vlastníci pozemkov </w:t>
            </w:r>
            <w:r w:rsidRPr="002E48EF">
              <w:rPr>
                <w:i/>
                <w:sz w:val="22"/>
                <w:szCs w:val="22"/>
              </w:rPr>
              <w:t>povinní do 31. októbra 2019 usporiadať svo</w:t>
            </w:r>
            <w:r>
              <w:rPr>
                <w:i/>
                <w:sz w:val="22"/>
                <w:szCs w:val="22"/>
              </w:rPr>
              <w:t>je užívacie vzťahy podľa zákona č. 504/2003 o nájme ...</w:t>
            </w:r>
          </w:p>
        </w:tc>
      </w:tr>
      <w:tr w:rsidR="00956165" w:rsidRPr="005C4B9C" w:rsidTr="009C2704">
        <w:trPr>
          <w:trHeight w:val="20"/>
        </w:trPr>
        <w:tc>
          <w:tcPr>
            <w:tcW w:w="9371" w:type="dxa"/>
            <w:shd w:val="clear" w:color="auto" w:fill="C0C0C0"/>
            <w:vAlign w:val="center"/>
          </w:tcPr>
          <w:p w:rsidR="00956165" w:rsidRPr="00B1784E" w:rsidRDefault="00956165" w:rsidP="00956165">
            <w:pPr>
              <w:spacing w:line="240" w:lineRule="auto"/>
              <w:jc w:val="center"/>
              <w:rPr>
                <w:b/>
                <w:sz w:val="28"/>
                <w:szCs w:val="28"/>
              </w:rPr>
            </w:pPr>
            <w:r>
              <w:rPr>
                <w:b/>
                <w:sz w:val="28"/>
                <w:szCs w:val="28"/>
              </w:rPr>
              <w:t>7.2 Vplyv služieb verejnej správy na</w:t>
            </w:r>
            <w:r w:rsidRPr="00B1784E">
              <w:rPr>
                <w:b/>
                <w:sz w:val="28"/>
                <w:szCs w:val="28"/>
              </w:rPr>
              <w:t xml:space="preserve"> občana</w:t>
            </w:r>
          </w:p>
        </w:tc>
      </w:tr>
      <w:tr w:rsidR="00956165" w:rsidRPr="005C4B9C" w:rsidTr="009C2704">
        <w:trPr>
          <w:trHeight w:val="388"/>
        </w:trPr>
        <w:tc>
          <w:tcPr>
            <w:tcW w:w="9371" w:type="dxa"/>
          </w:tcPr>
          <w:p w:rsidR="00956165" w:rsidRDefault="00956165" w:rsidP="00956165">
            <w:pPr>
              <w:spacing w:line="240" w:lineRule="auto"/>
              <w:rPr>
                <w:b/>
              </w:rPr>
            </w:pPr>
            <w:r>
              <w:rPr>
                <w:b/>
              </w:rPr>
              <w:t>7.2</w:t>
            </w:r>
            <w:r w:rsidRPr="00B1784E">
              <w:rPr>
                <w:b/>
              </w:rPr>
              <w:t>.</w:t>
            </w:r>
            <w:r>
              <w:rPr>
                <w:b/>
              </w:rPr>
              <w:t xml:space="preserve">1 Náklady </w:t>
            </w:r>
          </w:p>
        </w:tc>
      </w:tr>
      <w:tr w:rsidR="00956165" w:rsidRPr="005C4B9C" w:rsidTr="009C2704">
        <w:trPr>
          <w:trHeight w:val="226"/>
        </w:trPr>
        <w:tc>
          <w:tcPr>
            <w:tcW w:w="9371" w:type="dxa"/>
          </w:tcPr>
          <w:p w:rsidR="00956165" w:rsidRDefault="00956165" w:rsidP="00956165">
            <w:pPr>
              <w:spacing w:line="240" w:lineRule="auto"/>
              <w:rPr>
                <w:b/>
              </w:rPr>
            </w:pPr>
            <w:r>
              <w:rPr>
                <w:i/>
              </w:rPr>
              <w:t xml:space="preserve">Zníženie priamych finančných nákladov </w:t>
            </w:r>
          </w:p>
        </w:tc>
      </w:tr>
      <w:tr w:rsidR="00956165" w:rsidRPr="005C4B9C" w:rsidTr="009C2704">
        <w:trPr>
          <w:trHeight w:val="599"/>
        </w:trPr>
        <w:tc>
          <w:tcPr>
            <w:tcW w:w="9371" w:type="dxa"/>
          </w:tcPr>
          <w:p w:rsidR="00956165" w:rsidRDefault="002E48EF" w:rsidP="00956165">
            <w:pPr>
              <w:spacing w:line="240" w:lineRule="auto"/>
              <w:rPr>
                <w:i/>
              </w:rPr>
            </w:pPr>
            <w:r>
              <w:rPr>
                <w:i/>
              </w:rPr>
              <w:t>-</w:t>
            </w:r>
          </w:p>
        </w:tc>
      </w:tr>
      <w:tr w:rsidR="00956165" w:rsidRPr="005C4B9C" w:rsidTr="009C2704">
        <w:trPr>
          <w:trHeight w:val="294"/>
        </w:trPr>
        <w:tc>
          <w:tcPr>
            <w:tcW w:w="9371" w:type="dxa"/>
          </w:tcPr>
          <w:p w:rsidR="00956165" w:rsidRPr="00E43AA2" w:rsidRDefault="00956165" w:rsidP="00956165">
            <w:pPr>
              <w:spacing w:line="240" w:lineRule="auto"/>
              <w:rPr>
                <w:i/>
              </w:rPr>
            </w:pPr>
            <w:r w:rsidRPr="00E43AA2">
              <w:rPr>
                <w:i/>
              </w:rPr>
              <w:t xml:space="preserve">Zvýšenie </w:t>
            </w:r>
            <w:r>
              <w:rPr>
                <w:i/>
              </w:rPr>
              <w:t>priamych finančných nákladov</w:t>
            </w:r>
          </w:p>
        </w:tc>
      </w:tr>
      <w:tr w:rsidR="00956165" w:rsidRPr="005C4B9C" w:rsidTr="009C2704">
        <w:trPr>
          <w:trHeight w:val="572"/>
        </w:trPr>
        <w:tc>
          <w:tcPr>
            <w:tcW w:w="9371" w:type="dxa"/>
          </w:tcPr>
          <w:p w:rsidR="00956165" w:rsidRPr="00E43AA2" w:rsidRDefault="002E48EF" w:rsidP="00956165">
            <w:pPr>
              <w:spacing w:line="240" w:lineRule="auto"/>
              <w:rPr>
                <w:i/>
              </w:rPr>
            </w:pPr>
            <w:r>
              <w:rPr>
                <w:i/>
              </w:rPr>
              <w:t>-</w:t>
            </w:r>
          </w:p>
        </w:tc>
      </w:tr>
      <w:tr w:rsidR="00956165" w:rsidRPr="005C4B9C" w:rsidTr="009C2704">
        <w:trPr>
          <w:trHeight w:val="214"/>
        </w:trPr>
        <w:tc>
          <w:tcPr>
            <w:tcW w:w="9371" w:type="dxa"/>
          </w:tcPr>
          <w:p w:rsidR="00956165" w:rsidRPr="00E43AA2" w:rsidRDefault="00956165" w:rsidP="00956165">
            <w:pPr>
              <w:spacing w:line="240" w:lineRule="auto"/>
              <w:rPr>
                <w:i/>
              </w:rPr>
            </w:pPr>
            <w:r>
              <w:rPr>
                <w:i/>
              </w:rPr>
              <w:t>Zníženie nepriamych finančných nákladov</w:t>
            </w:r>
          </w:p>
        </w:tc>
      </w:tr>
      <w:tr w:rsidR="00956165" w:rsidRPr="005C4B9C" w:rsidTr="009C2704">
        <w:trPr>
          <w:trHeight w:val="707"/>
        </w:trPr>
        <w:tc>
          <w:tcPr>
            <w:tcW w:w="9371" w:type="dxa"/>
          </w:tcPr>
          <w:p w:rsidR="00956165" w:rsidRDefault="002E48EF" w:rsidP="00956165">
            <w:pPr>
              <w:spacing w:line="240" w:lineRule="auto"/>
              <w:rPr>
                <w:i/>
              </w:rPr>
            </w:pPr>
            <w:r>
              <w:rPr>
                <w:i/>
              </w:rPr>
              <w:t>-</w:t>
            </w:r>
          </w:p>
        </w:tc>
      </w:tr>
      <w:tr w:rsidR="00956165" w:rsidRPr="005C4B9C" w:rsidTr="009C2704">
        <w:trPr>
          <w:trHeight w:val="388"/>
        </w:trPr>
        <w:tc>
          <w:tcPr>
            <w:tcW w:w="9371" w:type="dxa"/>
          </w:tcPr>
          <w:p w:rsidR="00956165" w:rsidRPr="00E43AA2" w:rsidRDefault="00956165" w:rsidP="00956165">
            <w:pPr>
              <w:spacing w:line="240" w:lineRule="auto"/>
              <w:rPr>
                <w:i/>
              </w:rPr>
            </w:pPr>
            <w:r w:rsidRPr="00E43AA2">
              <w:rPr>
                <w:i/>
              </w:rPr>
              <w:t xml:space="preserve">Zvýšenie </w:t>
            </w:r>
            <w:r>
              <w:rPr>
                <w:i/>
              </w:rPr>
              <w:t>nepriamych finančných nákladov</w:t>
            </w:r>
          </w:p>
        </w:tc>
      </w:tr>
      <w:tr w:rsidR="00956165" w:rsidRPr="005C4B9C" w:rsidTr="009C2704">
        <w:trPr>
          <w:trHeight w:val="800"/>
        </w:trPr>
        <w:tc>
          <w:tcPr>
            <w:tcW w:w="9371" w:type="dxa"/>
          </w:tcPr>
          <w:p w:rsidR="00956165" w:rsidRPr="00E43AA2" w:rsidRDefault="002E48EF" w:rsidP="00956165">
            <w:pPr>
              <w:spacing w:line="240" w:lineRule="auto"/>
              <w:rPr>
                <w:i/>
              </w:rPr>
            </w:pPr>
            <w:r>
              <w:rPr>
                <w:i/>
              </w:rPr>
              <w:t>-</w:t>
            </w:r>
          </w:p>
        </w:tc>
      </w:tr>
      <w:tr w:rsidR="00956165" w:rsidRPr="005C4B9C" w:rsidTr="009C2704">
        <w:trPr>
          <w:trHeight w:val="388"/>
        </w:trPr>
        <w:tc>
          <w:tcPr>
            <w:tcW w:w="9371" w:type="dxa"/>
          </w:tcPr>
          <w:p w:rsidR="00956165" w:rsidRPr="00B1031A" w:rsidRDefault="00956165" w:rsidP="00956165">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956165" w:rsidRPr="005C4B9C" w:rsidTr="009C2704">
        <w:trPr>
          <w:trHeight w:val="20"/>
        </w:trPr>
        <w:tc>
          <w:tcPr>
            <w:tcW w:w="9371" w:type="dxa"/>
          </w:tcPr>
          <w:p w:rsidR="00956165" w:rsidRPr="00B007AE" w:rsidRDefault="00956165" w:rsidP="00956165">
            <w:pPr>
              <w:spacing w:line="240" w:lineRule="auto"/>
              <w:rPr>
                <w:b/>
              </w:rPr>
            </w:pPr>
            <w:r w:rsidRPr="00B007AE">
              <w:rPr>
                <w:i/>
              </w:rPr>
              <w:t>Zvýšenie času vybavenia požiadavky (popíšte)</w:t>
            </w:r>
          </w:p>
        </w:tc>
      </w:tr>
      <w:tr w:rsidR="00956165" w:rsidRPr="005C4B9C" w:rsidTr="009C2704">
        <w:trPr>
          <w:trHeight w:val="703"/>
        </w:trPr>
        <w:tc>
          <w:tcPr>
            <w:tcW w:w="9371" w:type="dxa"/>
          </w:tcPr>
          <w:p w:rsidR="00956165" w:rsidRPr="002E48EF" w:rsidRDefault="002E48EF" w:rsidP="00956165">
            <w:pPr>
              <w:spacing w:line="240" w:lineRule="auto"/>
            </w:pPr>
            <w:r w:rsidRPr="002E48EF">
              <w:t>čl</w:t>
            </w:r>
            <w:r>
              <w:t>. III – podanie návrhu – do 6 mesiacov od účinnosti zákona, správny rozhodne do 24 mesiacov od skončenia predošlej lehoty</w:t>
            </w:r>
          </w:p>
        </w:tc>
      </w:tr>
      <w:tr w:rsidR="00956165" w:rsidRPr="005C4B9C" w:rsidTr="009C2704">
        <w:trPr>
          <w:trHeight w:val="20"/>
        </w:trPr>
        <w:tc>
          <w:tcPr>
            <w:tcW w:w="9371" w:type="dxa"/>
          </w:tcPr>
          <w:p w:rsidR="00956165" w:rsidRPr="00B007AE" w:rsidRDefault="00956165" w:rsidP="00956165">
            <w:pPr>
              <w:spacing w:line="240" w:lineRule="auto"/>
              <w:rPr>
                <w:b/>
              </w:rPr>
            </w:pPr>
            <w:r w:rsidRPr="00B007AE">
              <w:rPr>
                <w:i/>
              </w:rPr>
              <w:t>Zníženie času  vybavenia požiadavky (popíšte)</w:t>
            </w:r>
          </w:p>
        </w:tc>
      </w:tr>
      <w:tr w:rsidR="00956165" w:rsidRPr="005C4B9C" w:rsidTr="009C2704">
        <w:trPr>
          <w:trHeight w:val="729"/>
        </w:trPr>
        <w:tc>
          <w:tcPr>
            <w:tcW w:w="9371" w:type="dxa"/>
          </w:tcPr>
          <w:p w:rsidR="00956165" w:rsidRPr="003C3251" w:rsidRDefault="002E48EF" w:rsidP="00956165">
            <w:pPr>
              <w:spacing w:line="240" w:lineRule="auto"/>
              <w:rPr>
                <w:b/>
              </w:rPr>
            </w:pPr>
            <w:r>
              <w:rPr>
                <w:b/>
              </w:rPr>
              <w:t>-</w:t>
            </w:r>
          </w:p>
        </w:tc>
      </w:tr>
      <w:tr w:rsidR="00956165" w:rsidRPr="005C4B9C" w:rsidTr="009C2704">
        <w:trPr>
          <w:trHeight w:val="424"/>
        </w:trPr>
        <w:tc>
          <w:tcPr>
            <w:tcW w:w="9371" w:type="dxa"/>
          </w:tcPr>
          <w:p w:rsidR="00956165" w:rsidRDefault="00956165" w:rsidP="00956165">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956165" w:rsidRPr="005C4B9C" w:rsidRDefault="00956165" w:rsidP="00956165">
            <w:pPr>
              <w:spacing w:line="240" w:lineRule="auto"/>
              <w:rPr>
                <w:i/>
                <w:iCs/>
              </w:rPr>
            </w:pPr>
            <w:r>
              <w:rPr>
                <w:i/>
                <w:iCs/>
              </w:rPr>
              <w:t>Špecifikujte skupinu občanov, ktorá bude návrhom ovplyvnená (napr. držitelia vodičských oprávnení). Aká je  veľkosť tejto skupiny?</w:t>
            </w:r>
          </w:p>
        </w:tc>
      </w:tr>
      <w:tr w:rsidR="00956165" w:rsidRPr="005C4B9C" w:rsidTr="009C2704">
        <w:trPr>
          <w:trHeight w:val="734"/>
        </w:trPr>
        <w:tc>
          <w:tcPr>
            <w:tcW w:w="9371" w:type="dxa"/>
          </w:tcPr>
          <w:p w:rsidR="00956165" w:rsidRDefault="002E48EF" w:rsidP="00956165">
            <w:pPr>
              <w:spacing w:line="240" w:lineRule="auto"/>
              <w:rPr>
                <w:i/>
                <w:iCs/>
              </w:rPr>
            </w:pPr>
            <w:r>
              <w:rPr>
                <w:i/>
                <w:iCs/>
              </w:rPr>
              <w:t>čl. I – vlastníci pozemkov a spoluvlastníckych podielov k pozemkom, ktoré sa nachádzajú v obvode projektu pozemkových úprav</w:t>
            </w:r>
          </w:p>
          <w:p w:rsidR="002E48EF" w:rsidRDefault="002E48EF" w:rsidP="00956165">
            <w:pPr>
              <w:spacing w:line="240" w:lineRule="auto"/>
              <w:rPr>
                <w:i/>
                <w:iCs/>
              </w:rPr>
            </w:pPr>
            <w:r>
              <w:rPr>
                <w:i/>
                <w:iCs/>
              </w:rPr>
              <w:t>čl. II – osoby, ktoré podali návrh podľa §11 zákona 180/1995 a o ich návrhu bude rozhodnuté po schválení registra a jeho zápise do katastra</w:t>
            </w:r>
          </w:p>
          <w:p w:rsidR="002E48EF" w:rsidRPr="00B1784E" w:rsidRDefault="002E48EF" w:rsidP="002E48EF">
            <w:pPr>
              <w:spacing w:line="240" w:lineRule="auto"/>
              <w:rPr>
                <w:i/>
                <w:iCs/>
              </w:rPr>
            </w:pPr>
            <w:r>
              <w:rPr>
                <w:i/>
                <w:iCs/>
              </w:rPr>
              <w:t>čl. III – vlastníci, ktorým boli vyčlenené doterajšie náhradné pozemky a ktorí podali návrh podľa nového §12b zákona 504/2003</w:t>
            </w:r>
          </w:p>
        </w:tc>
      </w:tr>
      <w:tr w:rsidR="00956165" w:rsidRPr="005C4B9C" w:rsidTr="009C2704">
        <w:trPr>
          <w:trHeight w:val="20"/>
        </w:trPr>
        <w:tc>
          <w:tcPr>
            <w:tcW w:w="9371" w:type="dxa"/>
          </w:tcPr>
          <w:p w:rsidR="00956165" w:rsidRPr="005C4B9C" w:rsidRDefault="00956165" w:rsidP="00956165">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956165" w:rsidRPr="005C4B9C" w:rsidTr="009C2704">
        <w:trPr>
          <w:trHeight w:val="20"/>
        </w:trPr>
        <w:tc>
          <w:tcPr>
            <w:tcW w:w="9371" w:type="dxa"/>
          </w:tcPr>
          <w:p w:rsidR="00956165" w:rsidRPr="00B007AE" w:rsidRDefault="00956165" w:rsidP="00956165">
            <w:pPr>
              <w:spacing w:line="240" w:lineRule="auto"/>
              <w:rPr>
                <w:i/>
                <w:iCs/>
              </w:rPr>
            </w:pPr>
            <w:r w:rsidRPr="00B007AE">
              <w:rPr>
                <w:i/>
                <w:iCs/>
              </w:rPr>
              <w:t xml:space="preserve">Nové povinnosti (identifikujte) </w:t>
            </w:r>
          </w:p>
        </w:tc>
      </w:tr>
      <w:tr w:rsidR="00956165" w:rsidRPr="005C4B9C" w:rsidTr="009C2704">
        <w:trPr>
          <w:trHeight w:val="726"/>
        </w:trPr>
        <w:tc>
          <w:tcPr>
            <w:tcW w:w="9371" w:type="dxa"/>
          </w:tcPr>
          <w:p w:rsidR="00956165" w:rsidRDefault="002E48EF" w:rsidP="00956165">
            <w:pPr>
              <w:spacing w:line="240" w:lineRule="auto"/>
              <w:rPr>
                <w:i/>
                <w:sz w:val="22"/>
                <w:szCs w:val="22"/>
              </w:rPr>
            </w:pPr>
            <w:r>
              <w:rPr>
                <w:i/>
                <w:iCs/>
              </w:rPr>
              <w:t xml:space="preserve">čl. I - </w:t>
            </w:r>
            <w:r w:rsidR="000A5ED6">
              <w:rPr>
                <w:i/>
                <w:sz w:val="22"/>
                <w:szCs w:val="22"/>
              </w:rPr>
              <w:t xml:space="preserve">Podľa § 42v sú dotknutí vlastníci pozemkov </w:t>
            </w:r>
            <w:r w:rsidR="000A5ED6" w:rsidRPr="002E48EF">
              <w:rPr>
                <w:i/>
                <w:sz w:val="22"/>
                <w:szCs w:val="22"/>
              </w:rPr>
              <w:t>povinní do 31. októbra 2019 usporiadať svo</w:t>
            </w:r>
            <w:r w:rsidR="000A5ED6">
              <w:rPr>
                <w:i/>
                <w:sz w:val="22"/>
                <w:szCs w:val="22"/>
              </w:rPr>
              <w:t>je užívacie vzťahy podľa zákona č. 504/2003 o nájme</w:t>
            </w:r>
          </w:p>
          <w:p w:rsidR="000A5ED6" w:rsidRDefault="000A5ED6" w:rsidP="000A5ED6">
            <w:pPr>
              <w:spacing w:line="240" w:lineRule="auto"/>
              <w:rPr>
                <w:i/>
                <w:sz w:val="22"/>
                <w:szCs w:val="22"/>
              </w:rPr>
            </w:pPr>
            <w:r>
              <w:rPr>
                <w:i/>
                <w:sz w:val="22"/>
                <w:szCs w:val="22"/>
              </w:rPr>
              <w:t>čl. II – ak úkonom vlastníka dôjde k drobeniu pozemku po pozemkových úpravách, výška odvodov sa zdvojnásobuje</w:t>
            </w:r>
          </w:p>
          <w:p w:rsidR="000A5ED6" w:rsidRPr="005C4B9C" w:rsidRDefault="000A5ED6" w:rsidP="000A5ED6">
            <w:pPr>
              <w:spacing w:line="240" w:lineRule="auto"/>
              <w:rPr>
                <w:i/>
                <w:iCs/>
              </w:rPr>
            </w:pPr>
            <w:r>
              <w:rPr>
                <w:i/>
                <w:sz w:val="22"/>
                <w:szCs w:val="22"/>
              </w:rPr>
              <w:t>čl. III – ak ide o presne stanovené podmienky, vlastník môže podľa návrh podľa § 12b zákona 504/2003</w:t>
            </w:r>
          </w:p>
        </w:tc>
      </w:tr>
      <w:tr w:rsidR="00956165" w:rsidRPr="005C4B9C" w:rsidTr="009C2704">
        <w:trPr>
          <w:trHeight w:val="20"/>
        </w:trPr>
        <w:tc>
          <w:tcPr>
            <w:tcW w:w="9371" w:type="dxa"/>
          </w:tcPr>
          <w:p w:rsidR="00956165" w:rsidRPr="00B007AE" w:rsidRDefault="00956165" w:rsidP="00956165">
            <w:pPr>
              <w:spacing w:line="240" w:lineRule="auto"/>
              <w:rPr>
                <w:i/>
                <w:iCs/>
              </w:rPr>
            </w:pPr>
            <w:r w:rsidRPr="00B007AE">
              <w:rPr>
                <w:i/>
                <w:iCs/>
              </w:rPr>
              <w:t>Zanikajúce povinnosti (identifikujte)</w:t>
            </w:r>
          </w:p>
        </w:tc>
      </w:tr>
      <w:tr w:rsidR="00956165" w:rsidRPr="005C4B9C" w:rsidTr="009C2704">
        <w:trPr>
          <w:trHeight w:val="609"/>
        </w:trPr>
        <w:tc>
          <w:tcPr>
            <w:tcW w:w="9371" w:type="dxa"/>
          </w:tcPr>
          <w:p w:rsidR="00956165" w:rsidRDefault="00956165" w:rsidP="00956165">
            <w:pPr>
              <w:spacing w:line="240" w:lineRule="auto"/>
              <w:rPr>
                <w:i/>
                <w:iCs/>
              </w:rPr>
            </w:pPr>
          </w:p>
          <w:p w:rsidR="00956165" w:rsidRDefault="00956165" w:rsidP="00956165">
            <w:pPr>
              <w:spacing w:line="240" w:lineRule="auto"/>
              <w:rPr>
                <w:i/>
                <w:iCs/>
              </w:rPr>
            </w:pPr>
          </w:p>
          <w:p w:rsidR="00956165" w:rsidRDefault="00956165" w:rsidP="00956165">
            <w:pPr>
              <w:spacing w:line="240" w:lineRule="auto"/>
              <w:rPr>
                <w:i/>
                <w:iCs/>
              </w:rPr>
            </w:pPr>
          </w:p>
          <w:p w:rsidR="00956165" w:rsidRPr="00B1784E" w:rsidRDefault="00956165" w:rsidP="00956165">
            <w:pPr>
              <w:spacing w:line="240" w:lineRule="auto"/>
              <w:rPr>
                <w:i/>
                <w:iCs/>
              </w:rPr>
            </w:pPr>
          </w:p>
        </w:tc>
      </w:tr>
      <w:tr w:rsidR="00956165" w:rsidRPr="005C4B9C" w:rsidTr="009C2704">
        <w:trPr>
          <w:trHeight w:val="20"/>
        </w:trPr>
        <w:tc>
          <w:tcPr>
            <w:tcW w:w="9371" w:type="dxa"/>
            <w:shd w:val="clear" w:color="auto" w:fill="BFBFBF"/>
            <w:vAlign w:val="center"/>
          </w:tcPr>
          <w:p w:rsidR="00956165" w:rsidRPr="00B1784E" w:rsidRDefault="00956165" w:rsidP="00956165">
            <w:pPr>
              <w:spacing w:line="240" w:lineRule="auto"/>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956165" w:rsidRPr="005C4B9C" w:rsidTr="009C2704">
        <w:trPr>
          <w:trHeight w:val="390"/>
        </w:trPr>
        <w:tc>
          <w:tcPr>
            <w:tcW w:w="9371" w:type="dxa"/>
          </w:tcPr>
          <w:p w:rsidR="00956165" w:rsidRDefault="00956165" w:rsidP="00956165">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956165" w:rsidRPr="00435B44" w:rsidRDefault="00956165" w:rsidP="00956165">
            <w:pPr>
              <w:spacing w:line="240" w:lineRule="auto"/>
              <w:rPr>
                <w:i/>
                <w:iCs/>
              </w:rPr>
            </w:pPr>
            <w:r>
              <w:rPr>
                <w:i/>
              </w:rPr>
              <w:t xml:space="preserve">Ktoré subjekty verejnej správy sú účastné procesu poskytnutia služby? </w:t>
            </w:r>
          </w:p>
        </w:tc>
      </w:tr>
      <w:tr w:rsidR="00956165" w:rsidRPr="005C4B9C" w:rsidTr="009C2704">
        <w:trPr>
          <w:trHeight w:val="733"/>
        </w:trPr>
        <w:tc>
          <w:tcPr>
            <w:tcW w:w="9371" w:type="dxa"/>
          </w:tcPr>
          <w:p w:rsidR="00956165" w:rsidRPr="00B1784E" w:rsidRDefault="000A5ED6" w:rsidP="00956165">
            <w:pPr>
              <w:spacing w:line="240" w:lineRule="auto"/>
              <w:rPr>
                <w:b/>
              </w:rPr>
            </w:pPr>
            <w:r>
              <w:rPr>
                <w:sz w:val="22"/>
                <w:szCs w:val="22"/>
              </w:rPr>
              <w:t>Pozemkové a lesné odbory okresných úradov</w:t>
            </w:r>
          </w:p>
        </w:tc>
      </w:tr>
      <w:tr w:rsidR="00956165" w:rsidRPr="005C4B9C" w:rsidTr="009C2704">
        <w:trPr>
          <w:trHeight w:val="20"/>
        </w:trPr>
        <w:tc>
          <w:tcPr>
            <w:tcW w:w="9371" w:type="dxa"/>
          </w:tcPr>
          <w:p w:rsidR="00956165" w:rsidRPr="005C4B9C" w:rsidRDefault="00956165" w:rsidP="00956165">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956165" w:rsidRPr="005C4B9C" w:rsidTr="009C2704">
        <w:trPr>
          <w:trHeight w:val="20"/>
        </w:trPr>
        <w:tc>
          <w:tcPr>
            <w:tcW w:w="9371" w:type="dxa"/>
          </w:tcPr>
          <w:p w:rsidR="00956165" w:rsidRPr="00B007AE" w:rsidRDefault="00956165" w:rsidP="00956165">
            <w:pPr>
              <w:spacing w:line="240" w:lineRule="auto"/>
              <w:rPr>
                <w:i/>
                <w:iCs/>
              </w:rPr>
            </w:pPr>
            <w:r w:rsidRPr="00B007AE">
              <w:rPr>
                <w:i/>
                <w:iCs/>
              </w:rPr>
              <w:t>Nové povinnosti (identifikujte)</w:t>
            </w:r>
          </w:p>
        </w:tc>
      </w:tr>
      <w:tr w:rsidR="00956165" w:rsidRPr="005C4B9C" w:rsidTr="009C2704">
        <w:trPr>
          <w:trHeight w:val="674"/>
        </w:trPr>
        <w:tc>
          <w:tcPr>
            <w:tcW w:w="9371" w:type="dxa"/>
          </w:tcPr>
          <w:p w:rsidR="000A5ED6" w:rsidRPr="005C4B9C" w:rsidRDefault="000A5ED6" w:rsidP="000A5ED6">
            <w:pPr>
              <w:spacing w:line="240" w:lineRule="auto"/>
              <w:rPr>
                <w:i/>
                <w:iCs/>
              </w:rPr>
            </w:pPr>
            <w:r>
              <w:rPr>
                <w:i/>
                <w:iCs/>
              </w:rPr>
              <w:t xml:space="preserve">čl. I - § 7 ods. 4 písm. </w:t>
            </w:r>
            <w:r w:rsidRPr="000A5ED6">
              <w:rPr>
                <w:i/>
                <w:iCs/>
              </w:rPr>
              <w:t>h)</w:t>
            </w:r>
            <w:r>
              <w:rPr>
                <w:i/>
                <w:iCs/>
              </w:rPr>
              <w:t xml:space="preserve"> až k); </w:t>
            </w:r>
            <w:r w:rsidR="00501BB1">
              <w:rPr>
                <w:i/>
                <w:iCs/>
              </w:rPr>
              <w:t>§ 8g ods. 8; § 11 ods. 12;</w:t>
            </w:r>
          </w:p>
          <w:p w:rsidR="00956165" w:rsidRPr="005C4B9C" w:rsidRDefault="00501BB1" w:rsidP="00501BB1">
            <w:pPr>
              <w:spacing w:line="240" w:lineRule="auto"/>
              <w:rPr>
                <w:i/>
                <w:iCs/>
              </w:rPr>
            </w:pPr>
            <w:r>
              <w:rPr>
                <w:i/>
                <w:iCs/>
              </w:rPr>
              <w:t>čl. III - § 12b ods.4, 5, 9</w:t>
            </w:r>
          </w:p>
        </w:tc>
      </w:tr>
      <w:tr w:rsidR="00956165" w:rsidRPr="005C4B9C" w:rsidTr="009C2704">
        <w:trPr>
          <w:trHeight w:val="20"/>
        </w:trPr>
        <w:tc>
          <w:tcPr>
            <w:tcW w:w="9371" w:type="dxa"/>
          </w:tcPr>
          <w:p w:rsidR="00956165" w:rsidRPr="00B007AE" w:rsidRDefault="00956165" w:rsidP="00956165">
            <w:pPr>
              <w:spacing w:line="240" w:lineRule="auto"/>
              <w:rPr>
                <w:i/>
                <w:iCs/>
              </w:rPr>
            </w:pPr>
            <w:r w:rsidRPr="00B007AE">
              <w:rPr>
                <w:i/>
                <w:iCs/>
              </w:rPr>
              <w:t>Zanikajúce povinnosti (identifikujte)</w:t>
            </w:r>
          </w:p>
        </w:tc>
      </w:tr>
      <w:tr w:rsidR="00956165" w:rsidRPr="005C4B9C" w:rsidTr="009C2704">
        <w:trPr>
          <w:trHeight w:val="859"/>
        </w:trPr>
        <w:tc>
          <w:tcPr>
            <w:tcW w:w="9371" w:type="dxa"/>
          </w:tcPr>
          <w:p w:rsidR="00956165" w:rsidRPr="00B1784E" w:rsidRDefault="00501BB1" w:rsidP="00956165">
            <w:pPr>
              <w:spacing w:line="240" w:lineRule="auto"/>
              <w:rPr>
                <w:i/>
                <w:iCs/>
              </w:rPr>
            </w:pPr>
            <w:r>
              <w:rPr>
                <w:i/>
                <w:iCs/>
              </w:rPr>
              <w:t>čl. I - § 8 ods. 4</w:t>
            </w:r>
          </w:p>
        </w:tc>
      </w:tr>
    </w:tbl>
    <w:p w:rsidR="00337789" w:rsidRDefault="00337789" w:rsidP="007C7F8B">
      <w:pPr>
        <w:autoSpaceDE w:val="0"/>
        <w:autoSpaceDN w:val="0"/>
        <w:spacing w:line="240" w:lineRule="auto"/>
        <w:jc w:val="center"/>
        <w:rPr>
          <w:rFonts w:eastAsia="Calibri"/>
          <w:b/>
          <w:bCs/>
          <w:color w:val="000000"/>
          <w:sz w:val="36"/>
          <w:szCs w:val="28"/>
          <w:lang w:eastAsia="en-US"/>
        </w:rPr>
      </w:pPr>
    </w:p>
    <w:sectPr w:rsidR="00337789" w:rsidSect="007B485D">
      <w:footerReference w:type="default" r:id="rId8"/>
      <w:pgSz w:w="11906" w:h="16838"/>
      <w:pgMar w:top="1178" w:right="1418" w:bottom="964" w:left="1418"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8A" w:rsidRDefault="0090318A">
      <w:r>
        <w:separator/>
      </w:r>
    </w:p>
  </w:endnote>
  <w:endnote w:type="continuationSeparator" w:id="0">
    <w:p w:rsidR="0090318A" w:rsidRDefault="009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0769"/>
      <w:docPartObj>
        <w:docPartGallery w:val="Page Numbers (Bottom of Page)"/>
        <w:docPartUnique/>
      </w:docPartObj>
    </w:sdtPr>
    <w:sdtContent>
      <w:p w:rsidR="007B485D" w:rsidRDefault="007B485D">
        <w:pPr>
          <w:pStyle w:val="Pta"/>
          <w:jc w:val="center"/>
        </w:pPr>
        <w:r>
          <w:fldChar w:fldCharType="begin"/>
        </w:r>
        <w:r>
          <w:instrText>PAGE   \* MERGEFORMAT</w:instrText>
        </w:r>
        <w:r>
          <w:fldChar w:fldCharType="separate"/>
        </w:r>
        <w:r>
          <w:rPr>
            <w:noProof/>
          </w:rPr>
          <w:t>17</w:t>
        </w:r>
        <w:r>
          <w:fldChar w:fldCharType="end"/>
        </w:r>
      </w:p>
    </w:sdtContent>
  </w:sdt>
  <w:p w:rsidR="009C2704" w:rsidRPr="00DA3A35" w:rsidRDefault="009C2704" w:rsidP="00F15AB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8A" w:rsidRDefault="0090318A">
      <w:r>
        <w:separator/>
      </w:r>
    </w:p>
  </w:footnote>
  <w:footnote w:type="continuationSeparator" w:id="0">
    <w:p w:rsidR="0090318A" w:rsidRDefault="0090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6">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5ED6"/>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044"/>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B55"/>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8EF"/>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475"/>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498"/>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14C6"/>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192"/>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77A7E"/>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BB1"/>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120"/>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85D"/>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6990"/>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2DD"/>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6A1"/>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18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165"/>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6D2"/>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ADF"/>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41"/>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82D"/>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5B"/>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5A9"/>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7D4"/>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29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7609D6-1602-415A-ADF1-2D3F4DC4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customStyle="1" w:styleId="Textzstupnhosymbolu2">
    <w:name w:val="Text zástupného symbolu2"/>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3DD7-B2D7-4DBC-864D-985DAE4C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5152</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subject/>
  <dc:creator>lassova</dc:creator>
  <cp:keywords/>
  <cp:lastModifiedBy>Hrnčiarová Lenka</cp:lastModifiedBy>
  <cp:revision>3</cp:revision>
  <cp:lastPrinted>2016-02-22T12:58:00Z</cp:lastPrinted>
  <dcterms:created xsi:type="dcterms:W3CDTF">2017-02-13T10:30:00Z</dcterms:created>
  <dcterms:modified xsi:type="dcterms:W3CDTF">2017-02-13T12:14:00Z</dcterms:modified>
</cp:coreProperties>
</file>