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B9" w:rsidRDefault="00F657B9" w:rsidP="00F657B9">
      <w:pPr>
        <w:spacing w:line="240" w:lineRule="auto"/>
        <w:jc w:val="center"/>
      </w:pPr>
    </w:p>
    <w:p w:rsidR="00F657B9" w:rsidRDefault="00F657B9" w:rsidP="00F657B9">
      <w:pPr>
        <w:spacing w:line="240" w:lineRule="auto"/>
        <w:jc w:val="center"/>
      </w:pPr>
    </w:p>
    <w:p w:rsidR="00F657B9" w:rsidRDefault="00F657B9" w:rsidP="00F657B9">
      <w:pPr>
        <w:spacing w:line="240" w:lineRule="auto"/>
      </w:pPr>
      <w:r>
        <w:rPr>
          <w:rFonts w:ascii="Times New Roman" w:eastAsia="Times New Roman" w:hAnsi="Times New Roman" w:cs="Times New Roman"/>
          <w:b/>
          <w:sz w:val="24"/>
          <w:szCs w:val="24"/>
        </w:rPr>
        <w:t>B. Osobitná časť</w:t>
      </w:r>
    </w:p>
    <w:p w:rsidR="00F657B9" w:rsidRDefault="00F657B9" w:rsidP="00F657B9"/>
    <w:p w:rsidR="00F657B9" w:rsidRDefault="00F657B9" w:rsidP="00F657B9">
      <w:pPr>
        <w:jc w:val="both"/>
      </w:pPr>
      <w:r>
        <w:rPr>
          <w:rFonts w:ascii="Times New Roman" w:eastAsia="Times New Roman" w:hAnsi="Times New Roman" w:cs="Times New Roman"/>
          <w:b/>
          <w:sz w:val="24"/>
          <w:szCs w:val="24"/>
        </w:rPr>
        <w:t>Čl. I</w:t>
      </w:r>
    </w:p>
    <w:p w:rsidR="00F657B9" w:rsidRDefault="00F657B9" w:rsidP="00F657B9">
      <w:pPr>
        <w:jc w:val="both"/>
      </w:pPr>
      <w:r>
        <w:rPr>
          <w:rFonts w:ascii="Times New Roman" w:eastAsia="Times New Roman" w:hAnsi="Times New Roman" w:cs="Times New Roman"/>
          <w:b/>
          <w:sz w:val="24"/>
          <w:szCs w:val="24"/>
        </w:rPr>
        <w:t>K bodu 1</w:t>
      </w:r>
    </w:p>
    <w:p w:rsidR="00F657B9" w:rsidRDefault="00F657B9" w:rsidP="00F657B9">
      <w:pPr>
        <w:jc w:val="both"/>
      </w:pPr>
      <w:r>
        <w:rPr>
          <w:rFonts w:ascii="Times New Roman" w:eastAsia="Times New Roman" w:hAnsi="Times New Roman" w:cs="Times New Roman"/>
          <w:sz w:val="24"/>
          <w:szCs w:val="24"/>
        </w:rPr>
        <w:t>V § 2 sa dopĺňa písm. g), pričom ostatné písmena sa posúvajú a premenovávajú. V tomto písmene sa doplnila definícia prevádzkovateľa, nakoľko táto v doterajšom znení zákona chýbala. Potreba doplnenia definície vyplynula z aplikačnej praxe.</w:t>
      </w:r>
    </w:p>
    <w:p w:rsidR="00F657B9" w:rsidRDefault="00F657B9" w:rsidP="00F657B9">
      <w:pPr>
        <w:jc w:val="both"/>
      </w:pPr>
      <w:r>
        <w:rPr>
          <w:rFonts w:ascii="Times New Roman" w:eastAsia="Times New Roman" w:hAnsi="Times New Roman" w:cs="Times New Roman"/>
          <w:sz w:val="24"/>
          <w:szCs w:val="24"/>
        </w:rPr>
        <w:t>V § 2 sa dopĺňa nové písmeno h) s definíciou pojmu stavebník. Potreba doplnenia definície vyplynula z aplikačnej praxe, kedy pri budovaní jednej prevádzky alebo pri obnove a technických zmenách bol prevádzkovateľ jedna fyzická alebo právnická osoba a stavebník iná (investor), pričom bolo potrebné samostatne definovať podmienky a povinnosti pre stavebníka a samostatne pre prevádzkovateľa. Nakoľko v súčasnom znení zákona nie je definovaná činnosť podľa prílohy č. 1, nie je možné aby stavebník požiadal o integrované povolenie pre stavebnú činnosť ako špecializovaný stavebný úrad. Podľa navrhovanej novely zákona č. 39/2013 Z. z. o integrovanej prevencii a kontrole znečisťovania životného prostredia  a o zmene a doplnení niektorých zákonov v znení neskorších predpisov bude uvedená možnosť sprístupnená a tým sa lepšie zabezpečí zodpovednosť za priebeh výstavby ako aj prevádzky priamo kompetentnými fyzickými resp. právnickými osobami.</w:t>
      </w:r>
    </w:p>
    <w:p w:rsidR="00F657B9" w:rsidRDefault="00F657B9" w:rsidP="00F657B9">
      <w:pPr>
        <w:jc w:val="both"/>
      </w:pPr>
    </w:p>
    <w:p w:rsidR="00F657B9" w:rsidRDefault="00F657B9" w:rsidP="00F657B9">
      <w:pPr>
        <w:jc w:val="both"/>
      </w:pPr>
      <w:r>
        <w:rPr>
          <w:rFonts w:ascii="Times New Roman" w:eastAsia="Times New Roman" w:hAnsi="Times New Roman" w:cs="Times New Roman"/>
          <w:b/>
          <w:sz w:val="24"/>
          <w:szCs w:val="24"/>
        </w:rPr>
        <w:t>K bodu 2</w:t>
      </w:r>
    </w:p>
    <w:p w:rsidR="00F657B9" w:rsidRDefault="00F657B9" w:rsidP="00F657B9">
      <w:pPr>
        <w:jc w:val="both"/>
      </w:pPr>
      <w:r>
        <w:rPr>
          <w:rFonts w:ascii="Times New Roman" w:eastAsia="Times New Roman" w:hAnsi="Times New Roman" w:cs="Times New Roman"/>
          <w:sz w:val="24"/>
          <w:szCs w:val="24"/>
        </w:rPr>
        <w:t xml:space="preserve">Uvedenú zmenu je nutné </w:t>
      </w:r>
      <w:r w:rsidRPr="00F657B9">
        <w:rPr>
          <w:rFonts w:ascii="Times New Roman" w:eastAsia="Times New Roman" w:hAnsi="Times New Roman" w:cs="Times New Roman"/>
          <w:color w:val="auto"/>
          <w:sz w:val="24"/>
          <w:szCs w:val="24"/>
        </w:rPr>
        <w:t>vypustiť,</w:t>
      </w:r>
      <w:r>
        <w:rPr>
          <w:rFonts w:ascii="Times New Roman" w:eastAsia="Times New Roman" w:hAnsi="Times New Roman" w:cs="Times New Roman"/>
          <w:sz w:val="24"/>
          <w:szCs w:val="24"/>
        </w:rPr>
        <w:t xml:space="preserve"> nakoľko už v predchádzajúcej novele zákona č. 39/2013 Z. z. o integrovanej prevencii a kontrole znečisťovania životného prostredia a o zmene a doplnení niektorých zákonov v znení neskorších predpisov  došlo k vyčleneniu kolaudačného konania z integrovaného povoľovania. Preto sa touto úpravou dá do súladu právny stav a možnosti povoľujúceho orgánu. </w:t>
      </w:r>
    </w:p>
    <w:p w:rsidR="00F657B9" w:rsidRDefault="00F657B9" w:rsidP="00F657B9">
      <w:pPr>
        <w:jc w:val="both"/>
      </w:pPr>
    </w:p>
    <w:p w:rsidR="00F657B9" w:rsidRDefault="00F657B9" w:rsidP="00F657B9">
      <w:pPr>
        <w:jc w:val="both"/>
      </w:pPr>
      <w:r>
        <w:rPr>
          <w:rFonts w:ascii="Times New Roman" w:eastAsia="Times New Roman" w:hAnsi="Times New Roman" w:cs="Times New Roman"/>
          <w:b/>
          <w:sz w:val="24"/>
          <w:szCs w:val="24"/>
        </w:rPr>
        <w:t>K bodu 3</w:t>
      </w:r>
    </w:p>
    <w:p w:rsidR="00F657B9" w:rsidRPr="00000E6D" w:rsidRDefault="00F657B9" w:rsidP="00F657B9">
      <w:pPr>
        <w:spacing w:line="240" w:lineRule="auto"/>
        <w:ind w:left="103"/>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V § 3 ods. 4, boli potrebné úpravy platného znenia, z dôvodu aby nemohlo dôjsť k spochybňovaniu procesu povoľovania u povoľujúceho orgánu pri stavebnom povoľovaní, kde má inšpekcia postavenie špecializovaného stavebného </w:t>
      </w:r>
      <w:r w:rsidRPr="00000E6D">
        <w:rPr>
          <w:rFonts w:ascii="Times New Roman" w:eastAsia="Times New Roman" w:hAnsi="Times New Roman" w:cs="Times New Roman"/>
          <w:color w:val="auto"/>
          <w:sz w:val="24"/>
          <w:szCs w:val="24"/>
        </w:rPr>
        <w:t>úradu a</w:t>
      </w:r>
      <w:r w:rsidRPr="00000E6D">
        <w:rPr>
          <w:rFonts w:ascii="Times New Roman" w:hAnsi="Times New Roman" w:cs="Times New Roman"/>
          <w:color w:val="auto"/>
          <w:sz w:val="24"/>
          <w:szCs w:val="24"/>
        </w:rPr>
        <w:t xml:space="preserve"> postupuje aj v súčasnosti podľ</w:t>
      </w:r>
      <w:r w:rsidR="00D46F27" w:rsidRPr="00000E6D">
        <w:rPr>
          <w:rFonts w:ascii="Times New Roman" w:hAnsi="Times New Roman" w:cs="Times New Roman"/>
          <w:color w:val="auto"/>
          <w:sz w:val="24"/>
          <w:szCs w:val="24"/>
        </w:rPr>
        <w:t>a § 86 až 88 stavebného zákona pričom</w:t>
      </w:r>
      <w:r w:rsidRPr="00000E6D">
        <w:rPr>
          <w:rFonts w:ascii="Times New Roman" w:hAnsi="Times New Roman" w:cs="Times New Roman"/>
          <w:color w:val="auto"/>
          <w:sz w:val="24"/>
          <w:szCs w:val="24"/>
        </w:rPr>
        <w:t> môže nariadiť vo verejnom záujme nápravu nedostatkov. Dôvodom uvedenia odkazu na § 86 až 88 stavebného zákona je absencia takéhoto odkazu v zákone č. 39/2013 Z. z., keďže uvedené paragrafy riešia nevyhnutné úpravy a odstraňovanie stavieb</w:t>
      </w:r>
      <w:r w:rsidR="00CE6586" w:rsidRPr="00000E6D">
        <w:rPr>
          <w:rFonts w:ascii="Times New Roman" w:hAnsi="Times New Roman" w:cs="Times New Roman"/>
          <w:color w:val="auto"/>
          <w:sz w:val="24"/>
          <w:szCs w:val="24"/>
        </w:rPr>
        <w:t xml:space="preserve"> vo verejnom záujme</w:t>
      </w:r>
      <w:r w:rsidRPr="00000E6D">
        <w:rPr>
          <w:rFonts w:ascii="Times New Roman" w:hAnsi="Times New Roman" w:cs="Times New Roman"/>
          <w:color w:val="auto"/>
          <w:sz w:val="24"/>
          <w:szCs w:val="24"/>
        </w:rPr>
        <w:t xml:space="preserve">, ktoré je neoddeliteľnou súčasťou stavebného povoľovania. Nakoľko je z integrovaného povoľovania v rámci stavebného konania vylúčená iba kolaudácia a územné konanie, bolo nevyhnutné, zaradiť uvedené paragrafy do poznámky pod čiarou ako súvisiace činnosti so stavebnou činnosťou podliehajúcou stavebnému povoľovaniu, ktorá je súčasťou integrovaného povoľovania. </w:t>
      </w:r>
    </w:p>
    <w:p w:rsidR="00F657B9" w:rsidRDefault="00F657B9" w:rsidP="00F657B9">
      <w:pPr>
        <w:jc w:val="both"/>
      </w:pPr>
    </w:p>
    <w:p w:rsidR="00F657B9" w:rsidRDefault="00F657B9" w:rsidP="00F657B9">
      <w:pPr>
        <w:jc w:val="both"/>
      </w:pPr>
      <w:r>
        <w:rPr>
          <w:rFonts w:ascii="Times New Roman" w:eastAsia="Times New Roman" w:hAnsi="Times New Roman" w:cs="Times New Roman"/>
          <w:b/>
          <w:sz w:val="24"/>
          <w:szCs w:val="24"/>
        </w:rPr>
        <w:t xml:space="preserve">K bodu 4 </w:t>
      </w:r>
    </w:p>
    <w:p w:rsidR="00F657B9" w:rsidRDefault="00F657B9" w:rsidP="00F657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základe novelizačného bodu č. </w:t>
      </w:r>
      <w:r w:rsidR="00D759C0">
        <w:rPr>
          <w:rFonts w:ascii="Times New Roman" w:eastAsia="Times New Roman" w:hAnsi="Times New Roman" w:cs="Times New Roman"/>
          <w:color w:val="auto"/>
          <w:sz w:val="24"/>
          <w:szCs w:val="24"/>
        </w:rPr>
        <w:t>20</w:t>
      </w:r>
      <w:r>
        <w:rPr>
          <w:rFonts w:ascii="Times New Roman" w:eastAsia="Times New Roman" w:hAnsi="Times New Roman" w:cs="Times New Roman"/>
          <w:sz w:val="24"/>
          <w:szCs w:val="24"/>
        </w:rPr>
        <w:t xml:space="preserve"> je potrebné doplniť znenie súčasného §  7 ods. 1 písmeno j) o činnosť vtláčania oxidu uhličitého.</w:t>
      </w:r>
    </w:p>
    <w:p w:rsidR="00F657B9" w:rsidRDefault="00F657B9" w:rsidP="00F657B9">
      <w:pPr>
        <w:jc w:val="both"/>
      </w:pPr>
    </w:p>
    <w:p w:rsidR="00F657B9" w:rsidRDefault="00F657B9" w:rsidP="00F657B9"/>
    <w:p w:rsidR="00F657B9" w:rsidRDefault="00F657B9" w:rsidP="00F657B9">
      <w:r>
        <w:rPr>
          <w:rFonts w:ascii="Times New Roman" w:eastAsia="Times New Roman" w:hAnsi="Times New Roman" w:cs="Times New Roman"/>
          <w:b/>
          <w:sz w:val="24"/>
          <w:szCs w:val="24"/>
        </w:rPr>
        <w:lastRenderedPageBreak/>
        <w:t>K bodu 5</w:t>
      </w:r>
    </w:p>
    <w:p w:rsidR="00F657B9" w:rsidRDefault="00F657B9" w:rsidP="00F657B9">
      <w:pPr>
        <w:rPr>
          <w:rFonts w:ascii="Times New Roman" w:eastAsia="Times New Roman" w:hAnsi="Times New Roman" w:cs="Times New Roman"/>
          <w:sz w:val="24"/>
          <w:szCs w:val="24"/>
        </w:rPr>
      </w:pPr>
      <w:r>
        <w:rPr>
          <w:rFonts w:ascii="Times New Roman" w:eastAsia="Times New Roman" w:hAnsi="Times New Roman" w:cs="Times New Roman"/>
          <w:sz w:val="24"/>
          <w:szCs w:val="24"/>
        </w:rPr>
        <w:t>V §7  s</w:t>
      </w:r>
      <w:r w:rsidR="00D46F27">
        <w:rPr>
          <w:rFonts w:ascii="Times New Roman" w:eastAsia="Times New Roman" w:hAnsi="Times New Roman" w:cs="Times New Roman"/>
          <w:sz w:val="24"/>
          <w:szCs w:val="24"/>
        </w:rPr>
        <w:t>a</w:t>
      </w:r>
      <w:r>
        <w:rPr>
          <w:rFonts w:ascii="Times New Roman" w:eastAsia="Times New Roman" w:hAnsi="Times New Roman" w:cs="Times New Roman"/>
          <w:sz w:val="24"/>
          <w:szCs w:val="24"/>
        </w:rPr>
        <w:t> dopĺňa nové písmeno, ktoré hovorí o nutnosti doplnenia označenia stavebníka priamo v žiadosti v prípade ak je stavebník inou právnickou alebo fyzickou osobou s oprávnením na podnikanie ako je stavebník.</w:t>
      </w:r>
    </w:p>
    <w:p w:rsidR="00F657B9" w:rsidRDefault="00F657B9" w:rsidP="00F657B9"/>
    <w:p w:rsidR="00F657B9" w:rsidRDefault="00F657B9" w:rsidP="00F657B9">
      <w:r>
        <w:rPr>
          <w:rFonts w:ascii="Times New Roman" w:eastAsia="Times New Roman" w:hAnsi="Times New Roman" w:cs="Times New Roman"/>
          <w:b/>
          <w:sz w:val="24"/>
          <w:szCs w:val="24"/>
        </w:rPr>
        <w:t>K bodu 6</w:t>
      </w:r>
    </w:p>
    <w:p w:rsidR="00F657B9" w:rsidRDefault="00F657B9" w:rsidP="00F657B9">
      <w:r>
        <w:rPr>
          <w:rFonts w:ascii="Times New Roman" w:eastAsia="Times New Roman" w:hAnsi="Times New Roman" w:cs="Times New Roman"/>
          <w:sz w:val="24"/>
          <w:szCs w:val="24"/>
        </w:rPr>
        <w:t>Ide o formálnu zmenu, ktorá nebola upravená v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 w:rsidR="00F657B9" w:rsidRDefault="00F657B9" w:rsidP="00F657B9">
      <w:r>
        <w:rPr>
          <w:rFonts w:ascii="Times New Roman" w:eastAsia="Times New Roman" w:hAnsi="Times New Roman" w:cs="Times New Roman"/>
          <w:b/>
          <w:sz w:val="24"/>
          <w:szCs w:val="24"/>
        </w:rPr>
        <w:t>K bodu 7</w:t>
      </w:r>
    </w:p>
    <w:p w:rsidR="00F657B9" w:rsidRDefault="00F657B9" w:rsidP="00F657B9">
      <w:r>
        <w:rPr>
          <w:rFonts w:ascii="Times New Roman" w:eastAsia="Times New Roman" w:hAnsi="Times New Roman" w:cs="Times New Roman"/>
          <w:sz w:val="24"/>
          <w:szCs w:val="24"/>
        </w:rPr>
        <w:t>Ide o legislatívno-technickú zmenu, zmenu odseku, ktorá nebola upravená v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 w:rsidR="00F657B9" w:rsidRDefault="00F657B9" w:rsidP="00F657B9">
      <w:pPr>
        <w:jc w:val="both"/>
      </w:pPr>
      <w:r>
        <w:rPr>
          <w:rFonts w:ascii="Times New Roman" w:eastAsia="Times New Roman" w:hAnsi="Times New Roman" w:cs="Times New Roman"/>
          <w:b/>
          <w:sz w:val="24"/>
          <w:szCs w:val="24"/>
        </w:rPr>
        <w:t>K bodu 8</w:t>
      </w:r>
    </w:p>
    <w:p w:rsidR="00F657B9" w:rsidRDefault="00F657B9" w:rsidP="00F657B9">
      <w:pPr>
        <w:jc w:val="both"/>
      </w:pPr>
      <w:r>
        <w:rPr>
          <w:rFonts w:ascii="Times New Roman" w:eastAsia="Times New Roman" w:hAnsi="Times New Roman" w:cs="Times New Roman"/>
          <w:sz w:val="24"/>
          <w:szCs w:val="24"/>
        </w:rPr>
        <w:t>Z dôvodu zavedenia hodnotenia splnenia kritérií pre udelenie odchylných hodnôt z emisných limitov najlepších dostupných techník bolo potrebné presne určiť kompetenciu ministerstva životného prostredia. V tomto prípade sa hodnotenie vykonáva priamo na ministerstve a preto bolo potrebné určiť ministerstvo ako dotknutý orgán pre integrované povoľovanie a to za účelom určenia splnenia podmienok pre udelenie odchylných hodnôt z emisných limitov podľa § 22 ods. 6.</w:t>
      </w:r>
    </w:p>
    <w:p w:rsidR="00F657B9" w:rsidRDefault="00F657B9" w:rsidP="00F657B9"/>
    <w:p w:rsidR="00F657B9" w:rsidRDefault="00F657B9" w:rsidP="00F657B9">
      <w:pPr>
        <w:jc w:val="both"/>
      </w:pPr>
      <w:r>
        <w:rPr>
          <w:rFonts w:ascii="Times New Roman" w:eastAsia="Times New Roman" w:hAnsi="Times New Roman" w:cs="Times New Roman"/>
          <w:b/>
          <w:sz w:val="24"/>
          <w:szCs w:val="24"/>
        </w:rPr>
        <w:t>K bodu 9</w:t>
      </w:r>
    </w:p>
    <w:p w:rsidR="00F657B9" w:rsidRDefault="00F657B9" w:rsidP="00F657B9">
      <w:r>
        <w:rPr>
          <w:rFonts w:ascii="Times New Roman" w:eastAsia="Times New Roman" w:hAnsi="Times New Roman" w:cs="Times New Roman"/>
          <w:sz w:val="24"/>
          <w:szCs w:val="24"/>
        </w:rPr>
        <w:t>Ide o legislatívno-technickú zmenu, zmena odseku, ktorá nebola upravená pri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Pr>
        <w:jc w:val="both"/>
      </w:pPr>
    </w:p>
    <w:p w:rsidR="00F657B9" w:rsidRDefault="00F657B9" w:rsidP="00F657B9">
      <w:pPr>
        <w:jc w:val="both"/>
      </w:pPr>
      <w:r>
        <w:rPr>
          <w:rFonts w:ascii="Times New Roman" w:eastAsia="Times New Roman" w:hAnsi="Times New Roman" w:cs="Times New Roman"/>
          <w:b/>
          <w:sz w:val="24"/>
          <w:szCs w:val="24"/>
        </w:rPr>
        <w:t>K bodu 10</w:t>
      </w:r>
    </w:p>
    <w:p w:rsidR="00F657B9" w:rsidRDefault="00F657B9" w:rsidP="00F657B9">
      <w:r>
        <w:rPr>
          <w:rFonts w:ascii="Times New Roman" w:eastAsia="Times New Roman" w:hAnsi="Times New Roman" w:cs="Times New Roman"/>
          <w:sz w:val="24"/>
          <w:szCs w:val="24"/>
        </w:rPr>
        <w:t>Ide o legislatívno-technickú zmenu, zmenu odsekov, ktorá nebola upravená v predchádzajúcej novele zákona o integrovanej prevencii a kontrole znečisťovania</w:t>
      </w:r>
      <w:r>
        <w:rPr>
          <w:rFonts w:ascii="Times New Roman" w:eastAsia="Times New Roman" w:hAnsi="Times New Roman" w:cs="Times New Roman"/>
          <w:b/>
          <w:sz w:val="24"/>
          <w:szCs w:val="24"/>
        </w:rPr>
        <w:t>.</w:t>
      </w:r>
    </w:p>
    <w:p w:rsidR="00F657B9" w:rsidRDefault="00F657B9" w:rsidP="00F657B9"/>
    <w:p w:rsidR="00F657B9" w:rsidRDefault="00F657B9" w:rsidP="00F657B9">
      <w:r>
        <w:rPr>
          <w:rFonts w:ascii="Times New Roman" w:eastAsia="Times New Roman" w:hAnsi="Times New Roman" w:cs="Times New Roman"/>
          <w:b/>
          <w:sz w:val="24"/>
          <w:szCs w:val="24"/>
        </w:rPr>
        <w:t xml:space="preserve">K bodu 11 </w:t>
      </w:r>
    </w:p>
    <w:p w:rsidR="00F657B9" w:rsidRDefault="00F657B9" w:rsidP="00F657B9">
      <w:pPr>
        <w:jc w:val="both"/>
      </w:pPr>
      <w:r>
        <w:rPr>
          <w:rFonts w:ascii="Times New Roman" w:eastAsia="Times New Roman" w:hAnsi="Times New Roman" w:cs="Times New Roman"/>
          <w:sz w:val="24"/>
          <w:szCs w:val="24"/>
        </w:rPr>
        <w:t xml:space="preserve">V odstavci 4 §11 na žiadosť prevádzkovateľov bol doplnený presný termín do kedy má inšpekcia overiť úplnosť podanej žiadosti. Prevádzkovatelia uvádzali, že v niektorých prípadoch sa tento termín predĺžil na podstatne dlhšiu dobu. Samozrejme určenie konečného termínu nevylučuje možnosť overiť úplnosť žiadosti v skoršom termíne. </w:t>
      </w:r>
    </w:p>
    <w:p w:rsidR="00F657B9" w:rsidRDefault="00F657B9" w:rsidP="00F657B9">
      <w:pPr>
        <w:jc w:val="both"/>
      </w:pPr>
      <w:r>
        <w:rPr>
          <w:rFonts w:ascii="Times New Roman" w:eastAsia="Times New Roman" w:hAnsi="Times New Roman" w:cs="Times New Roman"/>
          <w:sz w:val="24"/>
          <w:szCs w:val="24"/>
        </w:rPr>
        <w:t xml:space="preserve">V §11 odstavec 5 sa presunulo znenie z pôvodného § 6 ods. 2 . Jeho úprava vedie k vhodnejšej formulácii tak, aby bola zabezpečená kontinuita povoľovacieho procesu a prerušenie konania </w:t>
      </w:r>
      <w:bookmarkStart w:id="0" w:name="_GoBack"/>
      <w:bookmarkEnd w:id="0"/>
      <w:r>
        <w:rPr>
          <w:rFonts w:ascii="Times New Roman" w:eastAsia="Times New Roman" w:hAnsi="Times New Roman" w:cs="Times New Roman"/>
          <w:sz w:val="24"/>
          <w:szCs w:val="24"/>
        </w:rPr>
        <w:t>bolo efektívne.</w:t>
      </w:r>
    </w:p>
    <w:p w:rsidR="00F657B9" w:rsidRDefault="00F657B9" w:rsidP="00F657B9">
      <w:pPr>
        <w:jc w:val="both"/>
      </w:pPr>
    </w:p>
    <w:p w:rsidR="00F657B9" w:rsidRDefault="00F657B9" w:rsidP="00F657B9">
      <w:pPr>
        <w:jc w:val="both"/>
      </w:pPr>
      <w:r>
        <w:rPr>
          <w:rFonts w:ascii="Times New Roman" w:eastAsia="Times New Roman" w:hAnsi="Times New Roman" w:cs="Times New Roman"/>
          <w:b/>
          <w:sz w:val="24"/>
          <w:szCs w:val="24"/>
        </w:rPr>
        <w:t>K bodu 12</w:t>
      </w:r>
    </w:p>
    <w:p w:rsidR="00F657B9" w:rsidRDefault="00F657B9" w:rsidP="00F657B9">
      <w:pPr>
        <w:jc w:val="both"/>
      </w:pPr>
      <w:r>
        <w:rPr>
          <w:rFonts w:ascii="Times New Roman" w:eastAsia="Times New Roman" w:hAnsi="Times New Roman" w:cs="Times New Roman"/>
          <w:sz w:val="24"/>
          <w:szCs w:val="24"/>
        </w:rPr>
        <w:t xml:space="preserve">V praxi sa preukázalo, že aj ak prevádzkovateľ, ktorému končila platnosť povolenia, alebo niektorého rozhodnutia požiadal o zmenu integrovaného povolenia a tým malo dôjsť k aktualizácii povolenia. Aktualizácia povolenia sa neuskutočnila vždy v lehote do skončenia platnosti aktuálne vydaného povolenia. Prevádzkovateľ musel prerušiť činnosť, alebo v prípade ak to z technologického a prevádzkového hľadiska nebolo možné, pokračoval v činnosti za </w:t>
      </w:r>
      <w:r>
        <w:rPr>
          <w:rFonts w:ascii="Times New Roman" w:eastAsia="Times New Roman" w:hAnsi="Times New Roman" w:cs="Times New Roman"/>
          <w:sz w:val="24"/>
          <w:szCs w:val="24"/>
        </w:rPr>
        <w:lastRenderedPageBreak/>
        <w:t>podmienok uvedených v predchádzajúcom povolení, ktorému skončila platnosť a následne dostal pokutu od inšpekcie. Po dohode s povoľujúcim orgánom ako aj s prevádzkovateľmi bol navrhnutý v § 11 odsek 8, ktorý zabezpečí prevádzkovateľovi, ak požiada o aktualizáciu povolenia cez zmenu integrovaného povolenia v lehote 5 mesiacov pred skončením jeho platnosti, aby v prípade ak v uvedenej lehote nedošlo k vydaniu nového rozhodnutia o zmene povolenia, mohol prevádzkovateľ prevádzkovať prevádzku za podmienok, ktoré boli uvedené v predchádzajúcom povolení, ktorému vypršala platnosť. Ods. 8 a 9 sa premenujú na ods. 9 a 10.</w:t>
      </w:r>
    </w:p>
    <w:p w:rsidR="00F657B9" w:rsidRDefault="00F657B9" w:rsidP="00F657B9"/>
    <w:p w:rsidR="00F657B9" w:rsidRDefault="00F657B9" w:rsidP="00F657B9">
      <w:pPr>
        <w:jc w:val="both"/>
      </w:pPr>
      <w:r>
        <w:rPr>
          <w:rFonts w:ascii="Times New Roman" w:eastAsia="Times New Roman" w:hAnsi="Times New Roman" w:cs="Times New Roman"/>
          <w:b/>
          <w:sz w:val="24"/>
          <w:szCs w:val="24"/>
        </w:rPr>
        <w:t>K bodu 13</w:t>
      </w:r>
    </w:p>
    <w:p w:rsidR="00F657B9" w:rsidRDefault="00F657B9" w:rsidP="00F657B9">
      <w:pPr>
        <w:jc w:val="both"/>
      </w:pPr>
      <w:r>
        <w:rPr>
          <w:rFonts w:ascii="Times New Roman" w:eastAsia="Times New Roman" w:hAnsi="Times New Roman" w:cs="Times New Roman"/>
          <w:sz w:val="24"/>
          <w:szCs w:val="24"/>
        </w:rPr>
        <w:t>Ide o legislatívno-technickú zmenu, zmenu odseku, ktorá nebola upravená v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Pr>
        <w:jc w:val="both"/>
      </w:pPr>
    </w:p>
    <w:p w:rsidR="00F657B9" w:rsidRDefault="00F657B9" w:rsidP="00F657B9">
      <w:pPr>
        <w:jc w:val="both"/>
        <w:rPr>
          <w:color w:val="FF0000"/>
        </w:rPr>
      </w:pPr>
      <w:r>
        <w:rPr>
          <w:rFonts w:ascii="Times New Roman" w:eastAsia="Times New Roman" w:hAnsi="Times New Roman" w:cs="Times New Roman"/>
          <w:b/>
          <w:sz w:val="24"/>
          <w:szCs w:val="24"/>
        </w:rPr>
        <w:t>K bod</w:t>
      </w:r>
      <w:r w:rsidRPr="00F657B9">
        <w:rPr>
          <w:rFonts w:ascii="Times New Roman" w:eastAsia="Times New Roman" w:hAnsi="Times New Roman" w:cs="Times New Roman"/>
          <w:b/>
          <w:color w:val="auto"/>
          <w:sz w:val="24"/>
          <w:szCs w:val="24"/>
        </w:rPr>
        <w:t>u</w:t>
      </w:r>
      <w:r>
        <w:rPr>
          <w:rFonts w:ascii="Times New Roman" w:eastAsia="Times New Roman" w:hAnsi="Times New Roman" w:cs="Times New Roman"/>
          <w:b/>
          <w:sz w:val="24"/>
          <w:szCs w:val="24"/>
        </w:rPr>
        <w:t xml:space="preserve"> 14</w:t>
      </w:r>
    </w:p>
    <w:p w:rsidR="00F657B9" w:rsidRDefault="00F657B9" w:rsidP="00F657B9">
      <w:pPr>
        <w:jc w:val="both"/>
      </w:pPr>
      <w:r>
        <w:rPr>
          <w:rFonts w:ascii="Times New Roman" w:eastAsia="Times New Roman" w:hAnsi="Times New Roman" w:cs="Times New Roman"/>
          <w:sz w:val="24"/>
          <w:szCs w:val="24"/>
        </w:rPr>
        <w:t>Ide o legislatívno-</w:t>
      </w:r>
      <w:r w:rsidRPr="00F657B9">
        <w:rPr>
          <w:rFonts w:ascii="Times New Roman" w:eastAsia="Times New Roman" w:hAnsi="Times New Roman" w:cs="Times New Roman"/>
          <w:color w:val="auto"/>
          <w:sz w:val="24"/>
          <w:szCs w:val="24"/>
        </w:rPr>
        <w:t xml:space="preserve">technické zmeny, ktoré neboli upravené </w:t>
      </w:r>
      <w:r>
        <w:rPr>
          <w:rFonts w:ascii="Times New Roman" w:eastAsia="Times New Roman" w:hAnsi="Times New Roman" w:cs="Times New Roman"/>
          <w:sz w:val="24"/>
          <w:szCs w:val="24"/>
        </w:rPr>
        <w:t>v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Pr>
        <w:jc w:val="both"/>
      </w:pPr>
    </w:p>
    <w:p w:rsidR="00F657B9" w:rsidRDefault="00F657B9" w:rsidP="00F657B9">
      <w:pPr>
        <w:jc w:val="both"/>
      </w:pPr>
      <w:r>
        <w:rPr>
          <w:rFonts w:ascii="Times New Roman" w:eastAsia="Times New Roman" w:hAnsi="Times New Roman" w:cs="Times New Roman"/>
          <w:b/>
          <w:sz w:val="24"/>
          <w:szCs w:val="24"/>
        </w:rPr>
        <w:t>K bodu 15</w:t>
      </w:r>
    </w:p>
    <w:p w:rsidR="00F657B9" w:rsidRPr="00F657B9" w:rsidRDefault="00F657B9" w:rsidP="00F657B9">
      <w:pPr>
        <w:jc w:val="both"/>
        <w:rPr>
          <w:color w:val="auto"/>
        </w:rPr>
      </w:pPr>
      <w:r w:rsidRPr="00F657B9">
        <w:rPr>
          <w:rFonts w:ascii="Times New Roman" w:eastAsia="Times New Roman" w:hAnsi="Times New Roman" w:cs="Times New Roman"/>
          <w:color w:val="auto"/>
          <w:sz w:val="24"/>
          <w:szCs w:val="24"/>
        </w:rPr>
        <w:t>V § 15 navrhovaná úprava rešpektuje požiadavky, ktoré vyplynuli z aplikačnej praxe, aby sa zabezpečilo ústne pojednávan</w:t>
      </w:r>
      <w:r w:rsidR="00FC407A">
        <w:rPr>
          <w:rFonts w:ascii="Times New Roman" w:eastAsia="Times New Roman" w:hAnsi="Times New Roman" w:cs="Times New Roman"/>
          <w:color w:val="auto"/>
          <w:sz w:val="24"/>
          <w:szCs w:val="24"/>
        </w:rPr>
        <w:t>ie aj vo vymenovaných prípadoch</w:t>
      </w:r>
      <w:r w:rsidRPr="00F657B9">
        <w:rPr>
          <w:rFonts w:ascii="Times New Roman" w:eastAsia="Times New Roman" w:hAnsi="Times New Roman" w:cs="Times New Roman"/>
          <w:color w:val="auto"/>
          <w:sz w:val="24"/>
          <w:szCs w:val="24"/>
        </w:rPr>
        <w:t xml:space="preserve">. </w:t>
      </w:r>
    </w:p>
    <w:p w:rsidR="00F657B9" w:rsidRDefault="00F657B9" w:rsidP="00F657B9">
      <w:pPr>
        <w:jc w:val="both"/>
      </w:pPr>
    </w:p>
    <w:p w:rsidR="00F657B9" w:rsidRDefault="00F657B9" w:rsidP="00F657B9">
      <w:pPr>
        <w:jc w:val="both"/>
        <w:rPr>
          <w:color w:val="FF0000"/>
        </w:rPr>
      </w:pPr>
      <w:r>
        <w:rPr>
          <w:rFonts w:ascii="Times New Roman" w:eastAsia="Times New Roman" w:hAnsi="Times New Roman" w:cs="Times New Roman"/>
          <w:b/>
          <w:sz w:val="24"/>
          <w:szCs w:val="24"/>
        </w:rPr>
        <w:t>K bod</w:t>
      </w:r>
      <w:r>
        <w:rPr>
          <w:rFonts w:ascii="Times New Roman" w:eastAsia="Times New Roman" w:hAnsi="Times New Roman" w:cs="Times New Roman"/>
          <w:b/>
          <w:color w:val="auto"/>
          <w:sz w:val="24"/>
          <w:szCs w:val="24"/>
        </w:rPr>
        <w:t>u</w:t>
      </w:r>
      <w:r>
        <w:rPr>
          <w:rFonts w:ascii="Times New Roman" w:eastAsia="Times New Roman" w:hAnsi="Times New Roman" w:cs="Times New Roman"/>
          <w:b/>
          <w:sz w:val="24"/>
          <w:szCs w:val="24"/>
        </w:rPr>
        <w:t xml:space="preserve"> 16</w:t>
      </w:r>
    </w:p>
    <w:p w:rsidR="00F657B9" w:rsidRDefault="00F657B9" w:rsidP="00F657B9">
      <w:pPr>
        <w:jc w:val="both"/>
      </w:pPr>
      <w:r>
        <w:rPr>
          <w:rFonts w:ascii="Times New Roman" w:eastAsia="Times New Roman" w:hAnsi="Times New Roman" w:cs="Times New Roman"/>
          <w:sz w:val="24"/>
          <w:szCs w:val="24"/>
        </w:rPr>
        <w:t>Ide o legislatívno-</w:t>
      </w:r>
      <w:r w:rsidRPr="00F657B9">
        <w:rPr>
          <w:rFonts w:ascii="Times New Roman" w:eastAsia="Times New Roman" w:hAnsi="Times New Roman" w:cs="Times New Roman"/>
          <w:color w:val="auto"/>
          <w:sz w:val="24"/>
          <w:szCs w:val="24"/>
        </w:rPr>
        <w:t xml:space="preserve">technické zmeny, ktoré neboli upravené </w:t>
      </w:r>
      <w:r>
        <w:rPr>
          <w:rFonts w:ascii="Times New Roman" w:eastAsia="Times New Roman" w:hAnsi="Times New Roman" w:cs="Times New Roman"/>
          <w:sz w:val="24"/>
          <w:szCs w:val="24"/>
        </w:rPr>
        <w:t>v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Pr>
        <w:jc w:val="both"/>
      </w:pPr>
    </w:p>
    <w:p w:rsidR="00F657B9" w:rsidRDefault="00F657B9" w:rsidP="00F657B9">
      <w:pPr>
        <w:jc w:val="both"/>
        <w:rPr>
          <w:color w:val="FF0000"/>
        </w:rPr>
      </w:pPr>
      <w:r>
        <w:rPr>
          <w:rFonts w:ascii="Times New Roman" w:eastAsia="Times New Roman" w:hAnsi="Times New Roman" w:cs="Times New Roman"/>
          <w:b/>
          <w:sz w:val="24"/>
          <w:szCs w:val="24"/>
        </w:rPr>
        <w:t>K bod</w:t>
      </w:r>
      <w:r w:rsidR="00D759C0">
        <w:rPr>
          <w:rFonts w:ascii="Times New Roman" w:eastAsia="Times New Roman" w:hAnsi="Times New Roman" w:cs="Times New Roman"/>
          <w:b/>
          <w:color w:val="auto"/>
          <w:sz w:val="24"/>
          <w:szCs w:val="24"/>
        </w:rPr>
        <w:t>u</w:t>
      </w:r>
      <w:r>
        <w:rPr>
          <w:rFonts w:ascii="Times New Roman" w:eastAsia="Times New Roman" w:hAnsi="Times New Roman" w:cs="Times New Roman"/>
          <w:b/>
          <w:sz w:val="24"/>
          <w:szCs w:val="24"/>
        </w:rPr>
        <w:t xml:space="preserve"> 1</w:t>
      </w:r>
      <w:r w:rsidR="00D759C0">
        <w:rPr>
          <w:rFonts w:ascii="Times New Roman" w:eastAsia="Times New Roman" w:hAnsi="Times New Roman" w:cs="Times New Roman"/>
          <w:b/>
          <w:sz w:val="24"/>
          <w:szCs w:val="24"/>
        </w:rPr>
        <w:t>7</w:t>
      </w:r>
    </w:p>
    <w:p w:rsidR="00F657B9" w:rsidRPr="00D759C0" w:rsidRDefault="00F657B9" w:rsidP="00F657B9">
      <w:pPr>
        <w:jc w:val="both"/>
      </w:pPr>
      <w:r>
        <w:rPr>
          <w:rFonts w:ascii="Times New Roman" w:eastAsia="Times New Roman" w:hAnsi="Times New Roman" w:cs="Times New Roman"/>
          <w:sz w:val="24"/>
          <w:szCs w:val="24"/>
        </w:rPr>
        <w:t>Ide o legislatívno-</w:t>
      </w:r>
      <w:r w:rsidRPr="00D759C0">
        <w:rPr>
          <w:rFonts w:ascii="Times New Roman" w:eastAsia="Times New Roman" w:hAnsi="Times New Roman" w:cs="Times New Roman"/>
          <w:color w:val="auto"/>
          <w:sz w:val="24"/>
          <w:szCs w:val="24"/>
        </w:rPr>
        <w:t>technické zmeny</w:t>
      </w:r>
      <w:r w:rsidR="00D759C0" w:rsidRPr="00D759C0">
        <w:rPr>
          <w:rFonts w:ascii="Times New Roman" w:eastAsia="Times New Roman" w:hAnsi="Times New Roman" w:cs="Times New Roman"/>
          <w:color w:val="auto"/>
          <w:sz w:val="24"/>
          <w:szCs w:val="24"/>
        </w:rPr>
        <w:t>,</w:t>
      </w:r>
      <w:r w:rsidRPr="00D759C0">
        <w:rPr>
          <w:rFonts w:ascii="Times New Roman" w:eastAsia="Times New Roman" w:hAnsi="Times New Roman" w:cs="Times New Roman"/>
          <w:color w:val="auto"/>
          <w:sz w:val="24"/>
          <w:szCs w:val="24"/>
        </w:rPr>
        <w:t xml:space="preserve"> ktoré neboli upravené </w:t>
      </w:r>
      <w:r>
        <w:rPr>
          <w:rFonts w:ascii="Times New Roman" w:eastAsia="Times New Roman" w:hAnsi="Times New Roman" w:cs="Times New Roman"/>
          <w:sz w:val="24"/>
          <w:szCs w:val="24"/>
        </w:rPr>
        <w:t>v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18</w:t>
      </w:r>
    </w:p>
    <w:p w:rsidR="00F657B9" w:rsidRDefault="00F657B9" w:rsidP="00F657B9">
      <w:pPr>
        <w:jc w:val="both"/>
      </w:pPr>
      <w:r>
        <w:rPr>
          <w:rFonts w:ascii="Times New Roman" w:eastAsia="Times New Roman" w:hAnsi="Times New Roman" w:cs="Times New Roman"/>
          <w:sz w:val="24"/>
          <w:szCs w:val="24"/>
        </w:rPr>
        <w:t xml:space="preserve">Konanie podľa § 16 sa precizuje na základe aplikačnej praxe.  </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19</w:t>
      </w:r>
    </w:p>
    <w:p w:rsidR="00F657B9" w:rsidRDefault="00D759C0" w:rsidP="00F657B9">
      <w:pPr>
        <w:jc w:val="both"/>
      </w:pPr>
      <w:r>
        <w:rPr>
          <w:rFonts w:ascii="Times New Roman" w:eastAsia="Times New Roman" w:hAnsi="Times New Roman" w:cs="Times New Roman"/>
          <w:sz w:val="24"/>
          <w:szCs w:val="24"/>
        </w:rPr>
        <w:t>L</w:t>
      </w:r>
      <w:r w:rsidR="00F657B9">
        <w:rPr>
          <w:rFonts w:ascii="Times New Roman" w:eastAsia="Times New Roman" w:hAnsi="Times New Roman" w:cs="Times New Roman"/>
          <w:sz w:val="24"/>
          <w:szCs w:val="24"/>
        </w:rPr>
        <w:t xml:space="preserve">egislatívnou úpravou </w:t>
      </w:r>
      <w:r>
        <w:rPr>
          <w:rFonts w:ascii="Times New Roman" w:eastAsia="Times New Roman" w:hAnsi="Times New Roman" w:cs="Times New Roman"/>
          <w:sz w:val="24"/>
          <w:szCs w:val="24"/>
        </w:rPr>
        <w:t xml:space="preserve">sa </w:t>
      </w:r>
      <w:r w:rsidR="00F657B9">
        <w:rPr>
          <w:rFonts w:ascii="Times New Roman" w:eastAsia="Times New Roman" w:hAnsi="Times New Roman" w:cs="Times New Roman"/>
          <w:sz w:val="24"/>
          <w:szCs w:val="24"/>
        </w:rPr>
        <w:t>dopĺňa nový pojem stavebník, ktorý má rovnaké postavenie účastník</w:t>
      </w:r>
      <w:r>
        <w:rPr>
          <w:rFonts w:ascii="Times New Roman" w:eastAsia="Times New Roman" w:hAnsi="Times New Roman" w:cs="Times New Roman"/>
          <w:sz w:val="24"/>
          <w:szCs w:val="24"/>
        </w:rPr>
        <w:t>a</w:t>
      </w:r>
      <w:r w:rsidR="00F657B9">
        <w:rPr>
          <w:rFonts w:ascii="Times New Roman" w:eastAsia="Times New Roman" w:hAnsi="Times New Roman" w:cs="Times New Roman"/>
          <w:sz w:val="24"/>
          <w:szCs w:val="24"/>
        </w:rPr>
        <w:t xml:space="preserve"> konania ako prevádzkovateľ v prípade stavebného povoľovania, ak je stavebník subjektom odlišným od prevádzkovateľa. Preto je v takomto prípade potrebné v povolení uviesť samostatné podmienky pre prevádzkovateľa a samostatne pre stavebníka.</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20</w:t>
      </w:r>
    </w:p>
    <w:p w:rsidR="00F657B9" w:rsidRDefault="00F657B9" w:rsidP="00F657B9">
      <w:pPr>
        <w:jc w:val="both"/>
      </w:pPr>
      <w:r>
        <w:rPr>
          <w:rFonts w:ascii="Times New Roman" w:eastAsia="Times New Roman" w:hAnsi="Times New Roman" w:cs="Times New Roman"/>
          <w:sz w:val="24"/>
          <w:szCs w:val="24"/>
        </w:rPr>
        <w:t xml:space="preserve">Uvedené ustanovenie v § 21 ods. 2 vyplýva zo zákona č. 569/2007 Z. z. o geologických prácach (ďalej „geologický zákon). </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21</w:t>
      </w:r>
    </w:p>
    <w:p w:rsidR="00F657B9" w:rsidRDefault="00F657B9" w:rsidP="00F657B9">
      <w:r>
        <w:rPr>
          <w:rFonts w:ascii="Times New Roman" w:eastAsia="Times New Roman" w:hAnsi="Times New Roman" w:cs="Times New Roman"/>
          <w:sz w:val="24"/>
          <w:szCs w:val="24"/>
        </w:rPr>
        <w:t>Ide o formálnu zmenu, zmenu čísla, ktorá nebola upravená pri predchádzajúcej novele zákona o integrovanej prevencii a kontrole znečisťovania</w:t>
      </w:r>
      <w:r>
        <w:rPr>
          <w:rFonts w:ascii="Times New Roman" w:eastAsia="Times New Roman" w:hAnsi="Times New Roman" w:cs="Times New Roman"/>
          <w:b/>
          <w:sz w:val="24"/>
          <w:szCs w:val="24"/>
        </w:rPr>
        <w:t xml:space="preserve">. </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22</w:t>
      </w:r>
    </w:p>
    <w:p w:rsidR="00F657B9" w:rsidRDefault="00F657B9" w:rsidP="00F657B9">
      <w:pPr>
        <w:jc w:val="both"/>
      </w:pPr>
      <w:r>
        <w:rPr>
          <w:rFonts w:ascii="Times New Roman" w:eastAsia="Times New Roman" w:hAnsi="Times New Roman" w:cs="Times New Roman"/>
          <w:sz w:val="24"/>
          <w:szCs w:val="24"/>
        </w:rPr>
        <w:t>V prípade, ak inšpekcia vydala opatrenia na nápravu pre prevádzkovateľa, súčasné znenie zákona o integrovanej prevencii a kontrole znečisťovania nedávalo prevádzkovateľovi za povinnosť uvedené opatrenia plniť. Preto na podnet inšpekcie a po konzultácii s prevádzkovateľmi bola doplnená táto povinnosť do § 26 ods. 1.</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23</w:t>
      </w:r>
    </w:p>
    <w:p w:rsidR="00F657B9" w:rsidRDefault="00F657B9" w:rsidP="00F657B9">
      <w:pPr>
        <w:jc w:val="both"/>
      </w:pPr>
      <w:bookmarkStart w:id="1" w:name="_mqxrtgk09219"/>
      <w:bookmarkEnd w:id="1"/>
      <w:r>
        <w:rPr>
          <w:rFonts w:ascii="Times New Roman" w:eastAsia="Times New Roman" w:hAnsi="Times New Roman" w:cs="Times New Roman"/>
          <w:sz w:val="24"/>
          <w:szCs w:val="24"/>
        </w:rPr>
        <w:t>V §</w:t>
      </w:r>
      <w:r w:rsidR="00D759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 sa dopĺňa odsek 9, kde sa definuje nová povinnosť prevádzkovateľa, ktorý má vydané povolenie na prevádzkovanie skládky odpadov. Ak má takýto prevádzkovateľ vydané rozhodnutie  na uzatvorenie skládky alebo jej časti alebo rozhodnutie na vykonanie rekultivácie skládky, definuje sa povinnosť prevádzkovateľa dodržať stanovenú lehotu na uzatvorenie skládky alebo jej rekultiváciu, pričom sa zároveň zamedzuje možnosť predĺženia rozhodnutím stanovenej lehoty. Jednoznačným záujmom zabezpečenia dobrého stavu životného prostredia je totiž požiadavka na včasné uzatvorenie a rekultiváciu skládok, pričom v záujme zabezpečenia priaznivého stavu životného prostredia nie je umožňovať predlžovanie lehoty, ktorá bola raz jednoznačne stanovená rozhodnutím na uzatvorenie a rekultiváciu skládok. Predlžovanie stavu, kedy sú skládky neuzatvorené a nerekultivované nie je v záujme zabezpečenia priaznivého stavu životného prostredia na Slovensku. Týmto sa napomôže vymožiteľnosti vykonania vydaného rozhodnutia, nakoľko na toto ustanovenie nadväzuje bod 31 ktorý určuje vysokú pokutu v prípade nedodržania uvedenej povinnosti prevádzkovateľom.</w:t>
      </w:r>
    </w:p>
    <w:p w:rsidR="00F657B9" w:rsidRDefault="00F657B9" w:rsidP="00F657B9">
      <w:pPr>
        <w:jc w:val="both"/>
        <w:rPr>
          <w:rFonts w:ascii="Times New Roman" w:eastAsia="Times New Roman" w:hAnsi="Times New Roman" w:cs="Times New Roman"/>
          <w:sz w:val="24"/>
          <w:szCs w:val="24"/>
        </w:rPr>
      </w:pPr>
      <w:bookmarkStart w:id="2" w:name="_gjdgxs"/>
      <w:bookmarkEnd w:id="2"/>
      <w:r>
        <w:rPr>
          <w:rFonts w:ascii="Times New Roman" w:eastAsia="Times New Roman" w:hAnsi="Times New Roman" w:cs="Times New Roman"/>
          <w:sz w:val="24"/>
          <w:szCs w:val="24"/>
        </w:rPr>
        <w:t xml:space="preserve">V odseku 10 sa následne stanovuje povinnosť pre prevádzkovateľa po uzatvorení skládky a jej rekultivácii, požiadať špeciálny stavebný úrad – Slovenskú inšpekciu životného prostredia o kolaudáciu stavby. Zavedenie uvedenej povinnosti je nevyhnutné pre zabezpečenie definitívneho uzatvorenia alebo rekultivácie skládky. Ide totiž o stavby, kde je kolaudácia nevyhnutná, avšak z praxe nie je vždy zrejmé, že o kolaudáciu takejto stavby prejaví prevádzkovateľ skládky vždy záujem.  </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24</w:t>
      </w:r>
    </w:p>
    <w:p w:rsidR="00F657B9" w:rsidRDefault="00F657B9" w:rsidP="00F657B9">
      <w:pPr>
        <w:jc w:val="both"/>
      </w:pPr>
      <w:r>
        <w:rPr>
          <w:rFonts w:ascii="Times New Roman" w:eastAsia="Times New Roman" w:hAnsi="Times New Roman" w:cs="Times New Roman"/>
          <w:sz w:val="24"/>
          <w:szCs w:val="24"/>
        </w:rPr>
        <w:t xml:space="preserve">V § 29 sa jedná o zrušenie povolenia a presne definuje podmienky resp. dôvody na zrušenie povolenia. V aplikačnej praxi sa ukázalo, že toto znenie zákona o integrovanej prevencii a kontrole znečisťovania v uvedených dôvodoch neumožňuje konanie o zrušení povolenia zastaviť, nakoľko zákon o integrovanej prevencii a kontrole znečisťovania jednoznačne ustanovuje, že inšpekcia v týchto prípadoch povolenie zruší. Na základe praktických skúseností povoľujúceho orgánu, sa preukázalo, že v niektorých prípadoch pokiaľ prevádzkovateľ preukáže, že odpadol dôvod zrušenia prevádzky, je potrebné konanie zastaviť. V súčasnosti táto možnosť neexistuje. Preto dochádza k úprave znenia zákona o integrovanej prevencii a kontrole znečisťovania tak, aby bolo daná táto možnosť povoľujúcemu orgánu. </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25</w:t>
      </w:r>
    </w:p>
    <w:p w:rsidR="00F657B9" w:rsidRDefault="00F657B9" w:rsidP="00F657B9">
      <w:pPr>
        <w:jc w:val="both"/>
      </w:pPr>
      <w:r>
        <w:rPr>
          <w:rFonts w:ascii="Times New Roman" w:eastAsia="Times New Roman" w:hAnsi="Times New Roman" w:cs="Times New Roman"/>
          <w:sz w:val="24"/>
          <w:szCs w:val="24"/>
        </w:rPr>
        <w:t xml:space="preserve">Z dôvodu hodnotenia kritérií pre udelenie odchylných hodnôt z emisných limitov najlepších dostupných techník bolo potrebné presne určiť kompetenciu ministerstva životného prostredia. V tomto prípade sa hodnotenie vykonáva priamo na ministerstve a preto bolo potrebné určiť </w:t>
      </w:r>
      <w:r>
        <w:rPr>
          <w:rFonts w:ascii="Times New Roman" w:eastAsia="Times New Roman" w:hAnsi="Times New Roman" w:cs="Times New Roman"/>
          <w:sz w:val="24"/>
          <w:szCs w:val="24"/>
        </w:rPr>
        <w:lastRenderedPageBreak/>
        <w:t>ministerstvo ako dotknutý orgán pre integrované povoľovanie a to za účelom určenia splnenia podmienok pre udelenie odchylných hodnôt z emisných limitov podľa § 22 ods. 6.</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26</w:t>
      </w:r>
    </w:p>
    <w:p w:rsidR="00F657B9" w:rsidRDefault="00F657B9" w:rsidP="00F657B9">
      <w:pPr>
        <w:jc w:val="both"/>
      </w:pPr>
      <w:r>
        <w:rPr>
          <w:rFonts w:ascii="Times New Roman" w:eastAsia="Times New Roman" w:hAnsi="Times New Roman" w:cs="Times New Roman"/>
          <w:sz w:val="24"/>
          <w:szCs w:val="24"/>
        </w:rPr>
        <w:t xml:space="preserve">Kontrolný orgán preukázal, že pri vykonávaní kontrol podľa zákona o integrovanej prevencii a kontrole znečisťovania má v niektorých prípadoch problém reálne kontrolu vykonať, nakoľko podľa súčasne znejúceho tohto zákona, ak prevádzkovateľ neposkytol inšpekcii sprievod vykonávaný povereným pracovníkom, inšpekcia nemohla zrealizovať kontrolu. Z toho dôvodu po dohode aj s prevádzkovateľmi bolo uvedené písmeno upravené tak, aby sa splnila podmienka vykonania kontroly v zmysle zákona o integrovanej prevencii a kontrole znečisťovania. </w:t>
      </w:r>
    </w:p>
    <w:p w:rsidR="00F657B9" w:rsidRDefault="00F657B9" w:rsidP="00F657B9">
      <w:pPr>
        <w:jc w:val="both"/>
      </w:pPr>
    </w:p>
    <w:p w:rsidR="00F657B9" w:rsidRDefault="00D759C0" w:rsidP="00F657B9">
      <w:pPr>
        <w:jc w:val="both"/>
      </w:pPr>
      <w:r>
        <w:rPr>
          <w:rFonts w:ascii="Times New Roman" w:eastAsia="Times New Roman" w:hAnsi="Times New Roman" w:cs="Times New Roman"/>
          <w:b/>
          <w:sz w:val="24"/>
          <w:szCs w:val="24"/>
        </w:rPr>
        <w:t>K bodu 27</w:t>
      </w:r>
    </w:p>
    <w:p w:rsidR="00F657B9" w:rsidRDefault="00F657B9" w:rsidP="00F657B9">
      <w:pPr>
        <w:spacing w:line="288" w:lineRule="auto"/>
        <w:jc w:val="both"/>
      </w:pPr>
      <w:r>
        <w:rPr>
          <w:rFonts w:ascii="Times New Roman" w:eastAsia="Times New Roman" w:hAnsi="Times New Roman" w:cs="Times New Roman"/>
          <w:sz w:val="24"/>
          <w:szCs w:val="24"/>
        </w:rPr>
        <w:t>V § 37 odseku 1 sa dopĺňajú nové písmená n) a o), ktoré vyplynuli z uloženia nových povinností pre prevádzkovateľa v § 26 ods. 9 a 10.</w:t>
      </w:r>
    </w:p>
    <w:p w:rsidR="00F657B9" w:rsidRDefault="00F657B9" w:rsidP="00F657B9">
      <w:pPr>
        <w:spacing w:line="288" w:lineRule="auto"/>
        <w:ind w:left="700"/>
        <w:jc w:val="both"/>
      </w:pPr>
    </w:p>
    <w:p w:rsidR="00F657B9" w:rsidRDefault="00D759C0" w:rsidP="00F657B9">
      <w:pPr>
        <w:jc w:val="both"/>
      </w:pPr>
      <w:r>
        <w:rPr>
          <w:rFonts w:ascii="Times New Roman" w:eastAsia="Times New Roman" w:hAnsi="Times New Roman" w:cs="Times New Roman"/>
          <w:b/>
          <w:sz w:val="24"/>
          <w:szCs w:val="24"/>
        </w:rPr>
        <w:t>K bodu 28</w:t>
      </w:r>
    </w:p>
    <w:p w:rsidR="00F657B9" w:rsidRPr="00550A7C" w:rsidRDefault="00F657B9" w:rsidP="00550A7C">
      <w:pPr>
        <w:spacing w:after="160" w:line="309"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základe aplikačnej praxe vyplynula potreba začlenenia aj ďalších povinností do správnych deliktov tak, aby boli pokryté všetky oblasti a to najmä s ohľadom na dopad na životné prostredie a ľudské zdravie. </w:t>
      </w:r>
    </w:p>
    <w:p w:rsidR="00F657B9" w:rsidRDefault="00550A7C" w:rsidP="00F657B9">
      <w:pPr>
        <w:jc w:val="both"/>
      </w:pPr>
      <w:r>
        <w:rPr>
          <w:rFonts w:ascii="Times New Roman" w:eastAsia="Times New Roman" w:hAnsi="Times New Roman" w:cs="Times New Roman"/>
          <w:b/>
          <w:sz w:val="24"/>
          <w:szCs w:val="24"/>
        </w:rPr>
        <w:t>K bodu 29</w:t>
      </w:r>
    </w:p>
    <w:p w:rsidR="00F657B9" w:rsidRDefault="00F657B9" w:rsidP="00F657B9">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formálnu úpravu, ktorá vyplynula jednak z vloženia nových písmen do § 37 ods. 1 a taktiež z následného </w:t>
      </w:r>
      <w:proofErr w:type="spellStart"/>
      <w:r>
        <w:rPr>
          <w:rFonts w:ascii="Times New Roman" w:eastAsia="Times New Roman" w:hAnsi="Times New Roman" w:cs="Times New Roman"/>
          <w:sz w:val="24"/>
          <w:szCs w:val="24"/>
        </w:rPr>
        <w:t>preoznačenia</w:t>
      </w:r>
      <w:proofErr w:type="spellEnd"/>
      <w:r>
        <w:rPr>
          <w:rFonts w:ascii="Times New Roman" w:eastAsia="Times New Roman" w:hAnsi="Times New Roman" w:cs="Times New Roman"/>
          <w:sz w:val="24"/>
          <w:szCs w:val="24"/>
        </w:rPr>
        <w:t xml:space="preserve"> pôvodných písmen .</w:t>
      </w:r>
    </w:p>
    <w:p w:rsidR="00F657B9" w:rsidRDefault="00F657B9" w:rsidP="00F657B9">
      <w:pPr>
        <w:spacing w:line="288" w:lineRule="auto"/>
        <w:jc w:val="both"/>
      </w:pPr>
    </w:p>
    <w:p w:rsidR="00F657B9" w:rsidRDefault="00550A7C" w:rsidP="00F657B9">
      <w:pPr>
        <w:jc w:val="both"/>
      </w:pPr>
      <w:r>
        <w:rPr>
          <w:rFonts w:ascii="Times New Roman" w:eastAsia="Times New Roman" w:hAnsi="Times New Roman" w:cs="Times New Roman"/>
          <w:b/>
          <w:sz w:val="24"/>
          <w:szCs w:val="24"/>
        </w:rPr>
        <w:t>K bodu 30</w:t>
      </w:r>
    </w:p>
    <w:p w:rsidR="00F657B9" w:rsidRDefault="00F657B9" w:rsidP="00F657B9">
      <w:pPr>
        <w:jc w:val="both"/>
      </w:pPr>
      <w:r>
        <w:rPr>
          <w:rFonts w:ascii="Times New Roman" w:eastAsia="Times New Roman" w:hAnsi="Times New Roman" w:cs="Times New Roman"/>
          <w:sz w:val="24"/>
          <w:szCs w:val="24"/>
        </w:rPr>
        <w:t>V § 37 sa vkladá nový odsek, ktorým sa dopĺňa možnosť uloženia najvyššej sankcie pre prípad nedodržania podmienok povolenia v prípade uzatvorenia skládky alebo jej časti alebo realizácie rekultivácie skládky v lehote určenej v povolení, pričom uvedené znenie zakazuje možnosť predĺženia lehoty uzatvorenia skládky, jej časti alebo realizácie rekultivácie. Rovnakú pokutu bude možné uložiť, ak prevádzkovateľ nepožiada o kolaudáciu zrekultivovanej alebo uzatvorenej skládky v lehote do troch mesiacov od uplynutia lehoty stanovenej v rozhodnutí o uzatvorení alebo rekultivácii skládky. Uvedená zmena vyplynula z aplikačnej praxe. Pokuta je st</w:t>
      </w:r>
      <w:r w:rsidR="00550A7C">
        <w:rPr>
          <w:rFonts w:ascii="Times New Roman" w:eastAsia="Times New Roman" w:hAnsi="Times New Roman" w:cs="Times New Roman"/>
          <w:sz w:val="24"/>
          <w:szCs w:val="24"/>
        </w:rPr>
        <w:t>anovená v rozpätí od 330 tisíc eur do  1 milióna e</w:t>
      </w:r>
      <w:r>
        <w:rPr>
          <w:rFonts w:ascii="Times New Roman" w:eastAsia="Times New Roman" w:hAnsi="Times New Roman" w:cs="Times New Roman"/>
          <w:sz w:val="24"/>
          <w:szCs w:val="24"/>
        </w:rPr>
        <w:t>ur.</w:t>
      </w:r>
    </w:p>
    <w:p w:rsidR="00F657B9" w:rsidRDefault="00F657B9" w:rsidP="00F657B9">
      <w:pPr>
        <w:spacing w:line="288" w:lineRule="auto"/>
        <w:ind w:left="500"/>
        <w:jc w:val="both"/>
      </w:pPr>
    </w:p>
    <w:p w:rsidR="00F657B9" w:rsidRDefault="00F657B9" w:rsidP="00F657B9">
      <w:pPr>
        <w:spacing w:line="288" w:lineRule="auto"/>
        <w:ind w:left="-6"/>
        <w:jc w:val="both"/>
      </w:pPr>
      <w:r>
        <w:rPr>
          <w:rFonts w:ascii="Times New Roman" w:eastAsia="Times New Roman" w:hAnsi="Times New Roman" w:cs="Times New Roman"/>
          <w:sz w:val="24"/>
          <w:szCs w:val="24"/>
        </w:rPr>
        <w:t>Doterajšie odseky 4 až 8 sa označujú ako odseky 5 až 9.</w:t>
      </w:r>
    </w:p>
    <w:p w:rsidR="00F657B9" w:rsidRDefault="00F657B9" w:rsidP="00F657B9">
      <w:pPr>
        <w:spacing w:line="288" w:lineRule="auto"/>
        <w:ind w:left="280"/>
        <w:jc w:val="both"/>
      </w:pPr>
    </w:p>
    <w:p w:rsidR="00F657B9" w:rsidRDefault="00550A7C" w:rsidP="00F657B9">
      <w:pPr>
        <w:jc w:val="both"/>
      </w:pPr>
      <w:r>
        <w:rPr>
          <w:rFonts w:ascii="Times New Roman" w:eastAsia="Times New Roman" w:hAnsi="Times New Roman" w:cs="Times New Roman"/>
          <w:b/>
          <w:sz w:val="24"/>
          <w:szCs w:val="24"/>
        </w:rPr>
        <w:t>K bodu 31</w:t>
      </w:r>
    </w:p>
    <w:p w:rsidR="00F657B9" w:rsidRDefault="00F657B9" w:rsidP="00F657B9">
      <w:pPr>
        <w:jc w:val="both"/>
      </w:pPr>
      <w:r>
        <w:rPr>
          <w:rFonts w:ascii="Times New Roman" w:eastAsia="Times New Roman" w:hAnsi="Times New Roman" w:cs="Times New Roman"/>
          <w:sz w:val="24"/>
          <w:szCs w:val="24"/>
        </w:rPr>
        <w:t>V § 39 sa doplnilo vylúčenie §</w:t>
      </w:r>
      <w:r w:rsidR="00550A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 ods. 9 zo správneho poriadku.</w:t>
      </w:r>
    </w:p>
    <w:p w:rsidR="00F657B9" w:rsidRDefault="00F657B9" w:rsidP="00F657B9">
      <w:pPr>
        <w:jc w:val="both"/>
      </w:pPr>
    </w:p>
    <w:p w:rsidR="00F657B9" w:rsidRDefault="00550A7C" w:rsidP="00F657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32</w:t>
      </w:r>
    </w:p>
    <w:p w:rsidR="00F657B9" w:rsidRDefault="00F657B9" w:rsidP="00F657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Vkladá sa nový paragraf s určením prechodných ustanovení, ktorými sa stanovujú podmienky resp. časová príslušnosť konania k zneniu zákona.</w:t>
      </w:r>
    </w:p>
    <w:p w:rsidR="00F657B9" w:rsidRDefault="00F657B9" w:rsidP="00F657B9">
      <w:pPr>
        <w:jc w:val="both"/>
        <w:rPr>
          <w:rFonts w:ascii="Times New Roman" w:eastAsia="Times New Roman" w:hAnsi="Times New Roman" w:cs="Times New Roman"/>
          <w:b/>
          <w:sz w:val="24"/>
          <w:szCs w:val="24"/>
        </w:rPr>
      </w:pPr>
    </w:p>
    <w:p w:rsidR="00F657B9" w:rsidRDefault="00550A7C" w:rsidP="00F657B9">
      <w:pPr>
        <w:jc w:val="both"/>
      </w:pPr>
      <w:r>
        <w:rPr>
          <w:rFonts w:ascii="Times New Roman" w:eastAsia="Times New Roman" w:hAnsi="Times New Roman" w:cs="Times New Roman"/>
          <w:b/>
          <w:sz w:val="24"/>
          <w:szCs w:val="24"/>
        </w:rPr>
        <w:lastRenderedPageBreak/>
        <w:t>K bodu 33</w:t>
      </w:r>
    </w:p>
    <w:p w:rsidR="00F657B9" w:rsidRDefault="00F657B9" w:rsidP="00F657B9">
      <w:pPr>
        <w:jc w:val="both"/>
      </w:pPr>
      <w:r>
        <w:rPr>
          <w:rFonts w:ascii="Times New Roman" w:eastAsia="Times New Roman" w:hAnsi="Times New Roman" w:cs="Times New Roman"/>
          <w:sz w:val="24"/>
          <w:szCs w:val="24"/>
        </w:rPr>
        <w:t xml:space="preserve">Na základe novelizácie príslušných právnych predpisov bolo potrebné upraviť presné znenie zákonov v odkazoch pod čiarou. </w:t>
      </w:r>
    </w:p>
    <w:p w:rsidR="00F657B9" w:rsidRDefault="00F657B9" w:rsidP="00F657B9">
      <w:pPr>
        <w:jc w:val="both"/>
      </w:pPr>
    </w:p>
    <w:p w:rsidR="00F657B9" w:rsidRDefault="00550A7C" w:rsidP="00F657B9">
      <w:pPr>
        <w:jc w:val="both"/>
      </w:pPr>
      <w:r>
        <w:rPr>
          <w:rFonts w:ascii="Times New Roman" w:eastAsia="Times New Roman" w:hAnsi="Times New Roman" w:cs="Times New Roman"/>
          <w:b/>
          <w:sz w:val="24"/>
          <w:szCs w:val="24"/>
        </w:rPr>
        <w:t>K bodu 34</w:t>
      </w:r>
    </w:p>
    <w:p w:rsidR="00F657B9" w:rsidRDefault="00F657B9" w:rsidP="00F657B9">
      <w:pPr>
        <w:jc w:val="both"/>
      </w:pPr>
      <w:r>
        <w:rPr>
          <w:rFonts w:ascii="Times New Roman" w:eastAsia="Times New Roman" w:hAnsi="Times New Roman" w:cs="Times New Roman"/>
          <w:sz w:val="24"/>
          <w:szCs w:val="24"/>
        </w:rPr>
        <w:t>Na základe novelizačného bodu 2 je nevyhnutné doplnenie znenia definície činnosti podliehajúcej integrovanému povoľovaniu v bode 6.9 Prílohy 1.</w:t>
      </w:r>
    </w:p>
    <w:p w:rsidR="00F657B9" w:rsidRDefault="00F657B9" w:rsidP="00F657B9">
      <w:pPr>
        <w:jc w:val="both"/>
      </w:pPr>
    </w:p>
    <w:p w:rsidR="00F657B9" w:rsidRDefault="00F657B9" w:rsidP="00F657B9">
      <w:pPr>
        <w:jc w:val="both"/>
      </w:pPr>
    </w:p>
    <w:p w:rsidR="00F657B9" w:rsidRPr="00550A7C" w:rsidRDefault="00550A7C" w:rsidP="00F657B9">
      <w:pPr>
        <w:jc w:val="both"/>
        <w:rPr>
          <w:color w:val="auto"/>
        </w:rPr>
      </w:pPr>
      <w:r>
        <w:rPr>
          <w:rFonts w:ascii="Times New Roman" w:eastAsia="Times New Roman" w:hAnsi="Times New Roman" w:cs="Times New Roman"/>
          <w:b/>
          <w:sz w:val="24"/>
          <w:szCs w:val="24"/>
        </w:rPr>
        <w:t>Čl.</w:t>
      </w:r>
      <w:r w:rsidR="00F657B9">
        <w:rPr>
          <w:rFonts w:ascii="Times New Roman" w:eastAsia="Times New Roman" w:hAnsi="Times New Roman" w:cs="Times New Roman"/>
          <w:b/>
          <w:sz w:val="24"/>
          <w:szCs w:val="24"/>
        </w:rPr>
        <w:t xml:space="preserve"> </w:t>
      </w:r>
      <w:r w:rsidR="00F657B9" w:rsidRPr="00550A7C">
        <w:rPr>
          <w:rFonts w:ascii="Times New Roman" w:eastAsia="Times New Roman" w:hAnsi="Times New Roman" w:cs="Times New Roman"/>
          <w:b/>
          <w:color w:val="auto"/>
          <w:sz w:val="24"/>
          <w:szCs w:val="24"/>
        </w:rPr>
        <w:t>II</w:t>
      </w:r>
    </w:p>
    <w:p w:rsidR="00F657B9" w:rsidRDefault="00F657B9" w:rsidP="00F657B9">
      <w:pPr>
        <w:jc w:val="both"/>
      </w:pPr>
      <w:r>
        <w:rPr>
          <w:rFonts w:ascii="Times New Roman" w:eastAsia="Times New Roman" w:hAnsi="Times New Roman" w:cs="Times New Roman"/>
          <w:sz w:val="24"/>
          <w:szCs w:val="24"/>
        </w:rPr>
        <w:t>Účinnosť zákona sa navrhuje s prihliadnutím na dĺžku legislatívneho procesu.</w:t>
      </w:r>
    </w:p>
    <w:p w:rsidR="00F657B9" w:rsidRDefault="00F657B9" w:rsidP="00F657B9">
      <w:pPr>
        <w:jc w:val="both"/>
      </w:pPr>
    </w:p>
    <w:p w:rsidR="00F657B9" w:rsidRDefault="00F657B9" w:rsidP="00F657B9">
      <w:pPr>
        <w:jc w:val="both"/>
      </w:pPr>
    </w:p>
    <w:p w:rsidR="0097292A" w:rsidRDefault="0097292A"/>
    <w:sectPr w:rsidR="00972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B9"/>
    <w:rsid w:val="00000E6D"/>
    <w:rsid w:val="00550A7C"/>
    <w:rsid w:val="0097292A"/>
    <w:rsid w:val="00CE6586"/>
    <w:rsid w:val="00D46F27"/>
    <w:rsid w:val="00D759C0"/>
    <w:rsid w:val="00F657B9"/>
    <w:rsid w:val="00FC40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C3227-EAE1-493E-8195-2AB9C0E1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57B9"/>
    <w:pPr>
      <w:spacing w:after="0" w:line="276" w:lineRule="auto"/>
    </w:pPr>
    <w:rPr>
      <w:rFonts w:ascii="Arial" w:eastAsia="Arial" w:hAnsi="Arial" w:cs="Arial"/>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00E6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0E6D"/>
    <w:rPr>
      <w:rFonts w:ascii="Segoe UI" w:eastAsia="Arial"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2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1905</Words>
  <Characters>10859</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Široký Vladimír</dc:creator>
  <cp:keywords/>
  <dc:description/>
  <cp:lastModifiedBy>Široký Vladimír</cp:lastModifiedBy>
  <cp:revision>9</cp:revision>
  <cp:lastPrinted>2017-02-22T12:04:00Z</cp:lastPrinted>
  <dcterms:created xsi:type="dcterms:W3CDTF">2017-02-10T11:04:00Z</dcterms:created>
  <dcterms:modified xsi:type="dcterms:W3CDTF">2017-02-22T12:05:00Z</dcterms:modified>
</cp:coreProperties>
</file>