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00" w:rsidRDefault="00E12C00" w:rsidP="00E12C00">
      <w:pPr>
        <w:pStyle w:val="Normlnywebov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DOLOŽKA ZLUČITEĽNOSTI</w:t>
      </w:r>
    </w:p>
    <w:p w:rsidR="00E12C00" w:rsidRDefault="00E12C00" w:rsidP="00E12C00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právneho predpisu</w:t>
      </w:r>
      <w:r>
        <w:t xml:space="preserve"> </w:t>
      </w:r>
      <w:r>
        <w:rPr>
          <w:b/>
          <w:bCs/>
        </w:rPr>
        <w:t>s právom Európskej únie</w:t>
      </w:r>
    </w:p>
    <w:p w:rsidR="00E12C00" w:rsidRDefault="00E12C00" w:rsidP="00E12C00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E12C00" w:rsidRDefault="00E12C00" w:rsidP="00E12C00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E12C00" w:rsidRDefault="00E12C00" w:rsidP="00E12C00">
      <w:pPr>
        <w:pStyle w:val="Normlnywebov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E12C00" w:rsidRDefault="00E12C00" w:rsidP="00E12C00">
      <w:pPr>
        <w:pStyle w:val="Normlnywebov"/>
        <w:spacing w:before="0" w:beforeAutospacing="0" w:after="0" w:afterAutospacing="0"/>
        <w:ind w:left="357" w:hanging="357"/>
        <w:jc w:val="both"/>
      </w:pPr>
      <w:r>
        <w:rPr>
          <w:rFonts w:ascii="ms sans serif" w:hAnsi="ms sans serif"/>
          <w:b/>
          <w:bCs/>
        </w:rPr>
        <w:t>1.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 xml:space="preserve">Predkladateľ právneho predpisu: </w:t>
      </w:r>
      <w:r w:rsidRPr="00E12C00">
        <w:rPr>
          <w:bCs/>
        </w:rPr>
        <w:t>Úrad vlády</w:t>
      </w:r>
      <w:r>
        <w:t xml:space="preserve"> Slovenskej republiky</w:t>
      </w:r>
    </w:p>
    <w:p w:rsidR="00E12C00" w:rsidRDefault="00E12C00" w:rsidP="00E12C00">
      <w:pPr>
        <w:pStyle w:val="Normlnywebov"/>
        <w:spacing w:before="0" w:beforeAutospacing="0" w:after="0" w:afterAutospacing="0"/>
        <w:ind w:left="360"/>
        <w:jc w:val="both"/>
      </w:pPr>
      <w:r>
        <w:rPr>
          <w:b/>
          <w:bCs/>
        </w:rPr>
        <w:t> </w:t>
      </w:r>
    </w:p>
    <w:p w:rsidR="00E12C00" w:rsidRDefault="00E12C00" w:rsidP="00E12C00">
      <w:pPr>
        <w:pStyle w:val="Normlnywebov"/>
        <w:spacing w:before="0" w:beforeAutospacing="0" w:after="0" w:afterAutospacing="0"/>
        <w:ind w:left="357" w:hanging="357"/>
        <w:jc w:val="both"/>
      </w:pPr>
      <w:r>
        <w:rPr>
          <w:rFonts w:ascii="ms sans serif" w:hAnsi="ms sans serif"/>
          <w:b/>
          <w:bCs/>
        </w:rPr>
        <w:t>2.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>Názov návrhu právneho predpisu:</w:t>
      </w:r>
      <w:r>
        <w:t xml:space="preserve"> Nariadenie vlády Slovenskej republiky, ktorým sa ustanovujú odbory štátnej služby</w:t>
      </w:r>
    </w:p>
    <w:p w:rsidR="00E12C00" w:rsidRDefault="00E12C00" w:rsidP="00E12C00">
      <w:pPr>
        <w:pStyle w:val="Normlnywebov"/>
        <w:spacing w:before="0" w:beforeAutospacing="0" w:after="0" w:afterAutospacing="0"/>
        <w:jc w:val="both"/>
      </w:pPr>
      <w:r>
        <w:t> </w:t>
      </w:r>
    </w:p>
    <w:p w:rsidR="00E12C00" w:rsidRDefault="00E12C00" w:rsidP="00E12C00">
      <w:pPr>
        <w:pStyle w:val="Normlnywebov"/>
        <w:spacing w:before="0" w:beforeAutospacing="0" w:after="0" w:afterAutospacing="0"/>
        <w:ind w:left="357" w:hanging="357"/>
        <w:jc w:val="both"/>
      </w:pPr>
      <w:r>
        <w:rPr>
          <w:rFonts w:ascii="ms sans serif" w:hAnsi="ms sans serif"/>
          <w:b/>
          <w:bCs/>
        </w:rPr>
        <w:t>3.</w:t>
      </w:r>
      <w:r>
        <w:rPr>
          <w:sz w:val="14"/>
          <w:szCs w:val="14"/>
        </w:rPr>
        <w:t xml:space="preserve">     </w:t>
      </w:r>
      <w:r>
        <w:rPr>
          <w:b/>
          <w:bCs/>
        </w:rPr>
        <w:t>Problematika návrhu právneho predpisu:</w:t>
      </w:r>
    </w:p>
    <w:p w:rsidR="00E12C00" w:rsidRDefault="00E12C00" w:rsidP="00E12C00">
      <w:pPr>
        <w:pStyle w:val="Normlnywebov"/>
        <w:spacing w:before="0" w:beforeAutospacing="0" w:after="0" w:afterAutospacing="0"/>
        <w:ind w:left="714" w:hanging="357"/>
        <w:jc w:val="both"/>
      </w:pPr>
    </w:p>
    <w:p w:rsidR="00E12C00" w:rsidRDefault="00E12C00" w:rsidP="00E12C00">
      <w:pPr>
        <w:pStyle w:val="Normlnywebov"/>
        <w:spacing w:before="0" w:beforeAutospacing="0" w:after="0" w:afterAutospacing="0"/>
        <w:ind w:left="714" w:hanging="357"/>
        <w:jc w:val="both"/>
      </w:pPr>
      <w:r>
        <w:t>a)</w:t>
      </w:r>
      <w:r>
        <w:rPr>
          <w:sz w:val="14"/>
          <w:szCs w:val="14"/>
        </w:rPr>
        <w:t xml:space="preserve">      </w:t>
      </w:r>
      <w:r>
        <w:t>nie je upravená v práve Európskej únie</w:t>
      </w:r>
    </w:p>
    <w:p w:rsidR="00E12C00" w:rsidRDefault="00E12C00" w:rsidP="00E12C00">
      <w:pPr>
        <w:pStyle w:val="Normlnywebov"/>
        <w:spacing w:before="0" w:beforeAutospacing="0" w:after="0" w:afterAutospacing="0"/>
        <w:ind w:left="714" w:hanging="357"/>
        <w:jc w:val="both"/>
      </w:pPr>
    </w:p>
    <w:p w:rsidR="00E12C00" w:rsidRDefault="00E12C00" w:rsidP="00E12C00">
      <w:pPr>
        <w:pStyle w:val="Normlnywebov"/>
        <w:spacing w:before="0" w:beforeAutospacing="0" w:after="0" w:afterAutospacing="0"/>
        <w:ind w:left="714" w:hanging="357"/>
        <w:jc w:val="both"/>
      </w:pPr>
      <w:r>
        <w:t>b)</w:t>
      </w:r>
      <w:r>
        <w:rPr>
          <w:sz w:val="14"/>
          <w:szCs w:val="14"/>
        </w:rPr>
        <w:t xml:space="preserve">     </w:t>
      </w:r>
      <w:r>
        <w:t>nie je obsiahnutá v judikatúre Súdneho dvora Európskej únie</w:t>
      </w:r>
    </w:p>
    <w:p w:rsidR="00E12C00" w:rsidRDefault="00E12C00" w:rsidP="00E12C00">
      <w:pPr>
        <w:pStyle w:val="Normlnywebov"/>
        <w:spacing w:before="0" w:beforeAutospacing="0" w:after="0" w:afterAutospacing="0"/>
        <w:ind w:left="709"/>
        <w:jc w:val="both"/>
      </w:pPr>
      <w:r>
        <w:t>  </w:t>
      </w:r>
    </w:p>
    <w:p w:rsidR="00E12C00" w:rsidRDefault="00E12C00" w:rsidP="00E12C00">
      <w:pPr>
        <w:pStyle w:val="Normlnywebov"/>
        <w:spacing w:before="0" w:beforeAutospacing="0" w:after="0" w:afterAutospacing="0"/>
        <w:jc w:val="both"/>
      </w:pPr>
    </w:p>
    <w:p w:rsidR="00E12C00" w:rsidRPr="00E12C00" w:rsidRDefault="00E12C00" w:rsidP="00E12C00">
      <w:pPr>
        <w:pStyle w:val="Normlnywebov"/>
        <w:spacing w:before="0" w:beforeAutospacing="0" w:after="0" w:afterAutospacing="0"/>
        <w:ind w:firstLine="360"/>
        <w:jc w:val="both"/>
      </w:pPr>
      <w:r w:rsidRPr="00E12C00">
        <w:rPr>
          <w:bCs/>
        </w:rPr>
        <w:t>Vzhľadom na vnútroštátny charakter navrhovaného právneho predpisu je bezpredmetné vyjadrovať sa k bodom 4, 5 a 6 doložky zlučiteľnosti.</w:t>
      </w:r>
    </w:p>
    <w:p w:rsidR="00E12C00" w:rsidRDefault="00E12C00" w:rsidP="00E12C00">
      <w:pPr>
        <w:pStyle w:val="Normlnywebov"/>
        <w:spacing w:before="0" w:beforeAutospacing="0" w:after="0" w:afterAutospacing="0"/>
        <w:jc w:val="both"/>
      </w:pPr>
      <w:r>
        <w:t> </w:t>
      </w:r>
    </w:p>
    <w:p w:rsidR="00E12C00" w:rsidRDefault="00E12C00" w:rsidP="00E12C00">
      <w:pPr>
        <w:pStyle w:val="Normlnywebov"/>
        <w:spacing w:before="0" w:beforeAutospacing="0" w:after="0" w:afterAutospacing="0"/>
        <w:jc w:val="both"/>
      </w:pPr>
      <w:r>
        <w:t> </w:t>
      </w:r>
    </w:p>
    <w:p w:rsidR="00E12C00" w:rsidRDefault="00E12C00" w:rsidP="00E12C00">
      <w:pPr>
        <w:pStyle w:val="Normlnywebov"/>
        <w:spacing w:before="0" w:beforeAutospacing="0" w:after="0" w:afterAutospacing="0"/>
        <w:ind w:left="360"/>
        <w:jc w:val="both"/>
      </w:pPr>
      <w:r>
        <w:t> </w:t>
      </w:r>
    </w:p>
    <w:p w:rsidR="002D4A2F" w:rsidRDefault="002D4A2F"/>
    <w:sectPr w:rsidR="002D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00"/>
    <w:rsid w:val="002D4A2F"/>
    <w:rsid w:val="003A4FEA"/>
    <w:rsid w:val="006C1128"/>
    <w:rsid w:val="00E1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633C5-0C0A-4B98-9A23-CB32D894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1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Szalayová Dana</cp:lastModifiedBy>
  <cp:revision>2</cp:revision>
  <dcterms:created xsi:type="dcterms:W3CDTF">2017-03-13T08:57:00Z</dcterms:created>
  <dcterms:modified xsi:type="dcterms:W3CDTF">2017-03-13T08:57:00Z</dcterms:modified>
</cp:coreProperties>
</file>