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9B06F4" w:rsidRDefault="009B06F4" w:rsidP="00003A62">
      <w:pPr>
        <w:pStyle w:val="Normlnywebov"/>
        <w:ind w:firstLine="720"/>
        <w:jc w:val="both"/>
        <w:divId w:val="1674993410"/>
      </w:pPr>
      <w:r>
        <w:t>Verejnosť bola o príprave návrhu zákona, ktorým sa dopĺňa zákon č. 461/2003 Z. z. o sociálnom poistení v znení neskorších predpisov informovaná prostredníctvom predbežnej informácie zverejnenej na  portáli, ktorý je súčasťou informačného systému verejnej správy Slov-Lex, ktorého správcom a prevádzkovateľom je Ministerstvo spravodlivosti Slovenskej republiky.</w:t>
      </w:r>
    </w:p>
    <w:p w:rsidR="009B06F4" w:rsidRDefault="009B06F4" w:rsidP="00003A62">
      <w:pPr>
        <w:pStyle w:val="Normlnywebov"/>
        <w:ind w:firstLine="720"/>
        <w:jc w:val="both"/>
        <w:divId w:val="1674993410"/>
      </w:pPr>
      <w:r>
        <w:t>K predbežnej informácií o návrhu zákona, ktorým sa dopĺňa zákon č. 461/2003 Z. z. o sociálnom poistení v znení neskorších predpisov sa vyjadrila Národná rada občanov so zdravotným postihnutím v Slovenskej republike, ktorá navrhla:       </w:t>
      </w:r>
    </w:p>
    <w:p w:rsidR="009B06F4" w:rsidRDefault="009B06F4" w:rsidP="00003A62">
      <w:pPr>
        <w:pStyle w:val="Normlnywebov"/>
        <w:ind w:firstLine="720"/>
        <w:jc w:val="both"/>
        <w:divId w:val="1674993410"/>
      </w:pPr>
      <w:r>
        <w:t>1. Navrhujeme, aby sa pripravovaná úprava týkajúca sa starodôchodcov s nadpriemernými príjmami do roku 2004, ktoré sa im nezohľadnili pri výpočte sumy starobného dôchodku, vzťahovala i na poberateľov invalidného dôchodku, ktorí sú v rovnakej situácii – pri výpočte sumy invalidného dôchodku podľa zákona č. 100/1988 Zb. o sociálnom zabezpečení sa im priemerný príjem presahujúci sumu 2 500 Sk redukoval, resp. priemerný príjem presahujúci sumu 10 000 Sk sa nezapočítaval vôbec.</w:t>
      </w:r>
    </w:p>
    <w:p w:rsidR="009B06F4" w:rsidRDefault="009B06F4" w:rsidP="00003A62">
      <w:pPr>
        <w:pStyle w:val="Normlnywebov"/>
        <w:ind w:firstLine="720"/>
        <w:jc w:val="both"/>
        <w:divId w:val="1674993410"/>
      </w:pPr>
      <w:r>
        <w:t>2. Predmet návrhu zákona navrhujeme doplniť o riešenie situácie poberateľov veľmi nízkych invalidných dôchodkov, ktorí sa stali invalidnými pred dovŕšením veku, v ktorom sa končí povinná školská dochádzka, nemohli byť preto zamestnaní vôbec alebo po dobu potrebnú pre nárok na invalidný dôchodok a dosiahli vek 18 rokov – tzv. invalidi z mladosti (§ 33 ods. 2 zákona č. 100/1988 Zb. o sociálnom zabezpečení, resp. § 32 ods. 2 zákona č. 121/1975 zb. o sociálnom zabezpečení). Suma týchto dôchodkov, priznávaných najmä v období do konca roku 1994 je veľmi nízka - na základe prieskumu u ich poberateľov sa v súčasnosti pohybuje v rozmedzí od 260 do 290 eur. Pre porovnanie, výška takýchto dôchodkov priznaných v roku 2016 je cca 325 eur. Ich poberatelia vnímajú vysoké rozdiely v sumách tohto invalidného dôchodku, kde z dôvodu zmien v pravidlách stanovenia ich sumy od roku 1990 (a výraznejšie od roku 1995) záležalo najmä na tom, v ktorom roku bol tento invalidný dôchodok priznaný, ako nerovnaké zaobchádzanie. Mnohí invalidi z mladosti, napriek tomu, že ide väčšinou o ľudí v produktívnom veku, sú hendikepovaní hlavne z toho dôvodu, že sa nemôžu zamestnať na voľnom trhu práce, takže nemajú možnosť si privyrobiť a zlepšiť si tak svoju životnú úroveň vlastným pričinením. Ich rodičia, ak ešte žijú, im nemôžu finančne vypomôcť, nakoľko sú spravidla tiež poberateľmi nízkych starobných dôchodkov, keďže mnohí z nich nemohli pracovať, pretože sa starali o svojich príbuzných s ťažkým zdravotným postihnutím. A niektoré skupiny zdravotne postihnutých, z dôvodu svojho zdravotného postihnutia, si len obtiažne nachádzajú zamestnanie napriek tomu, že o zamestnanie záujem majú.</w:t>
      </w:r>
    </w:p>
    <w:p w:rsidR="009B06F4" w:rsidRDefault="009B06F4" w:rsidP="00003A62">
      <w:pPr>
        <w:pStyle w:val="Normlnywebov"/>
        <w:ind w:firstLine="720"/>
        <w:jc w:val="both"/>
        <w:divId w:val="1674993410"/>
      </w:pPr>
      <w:r>
        <w:t xml:space="preserve">Účelom navrhovanej právnej úpravy tak, ako to vyplýva aj z dôvodovej správy, je v súlade s Programovým vyhlásením vlády Slovenskej republiky, </w:t>
      </w:r>
      <w:r w:rsidR="00D1637E">
        <w:t>u</w:t>
      </w:r>
      <w:r>
        <w:t xml:space="preserve">stanoviť podmienky na </w:t>
      </w:r>
      <w:r>
        <w:lastRenderedPageBreak/>
        <w:t xml:space="preserve">prepočet alebo zvýšenie starobných dôchodkov, </w:t>
      </w:r>
      <w:r w:rsidR="002E26AE">
        <w:t>ktorých suma bola určená</w:t>
      </w:r>
      <w:r w:rsidR="00A43219">
        <w:t xml:space="preserve"> </w:t>
      </w:r>
      <w:r>
        <w:t>podľa predpisov účinných pred 1.</w:t>
      </w:r>
      <w:r w:rsidR="006132B3">
        <w:t> </w:t>
      </w:r>
      <w:r>
        <w:t>januárom 2004. Uvedeným spôsobom sa plánuje dosiahnuť, aby suma týchto dôchodkov bola približne rovnaká ako ich suma vypočítaná podľa predpisov účinných</w:t>
      </w:r>
      <w:r w:rsidR="00003A62">
        <w:t xml:space="preserve">              </w:t>
      </w:r>
      <w:r>
        <w:t xml:space="preserve"> od</w:t>
      </w:r>
      <w:r w:rsidR="00003A62">
        <w:t xml:space="preserve"> </w:t>
      </w:r>
      <w:bookmarkStart w:id="0" w:name="_GoBack"/>
      <w:bookmarkEnd w:id="0"/>
      <w:r>
        <w:t>1. januára 2004, čím sa do značnej miery odstránia diferencie v ich sumách, ktoré sú zapríčinené len odlišnou právnou úpravou výpočtu starobného dôchodku od uvedeného dňa.</w:t>
      </w:r>
    </w:p>
    <w:p w:rsidR="0058797A" w:rsidRDefault="0058797A" w:rsidP="00003A62">
      <w:pPr>
        <w:widowControl/>
        <w:ind w:firstLine="720"/>
        <w:jc w:val="both"/>
      </w:pPr>
      <w:r>
        <w:t>Návrh prepočítať invalidné dôchodky rovnako ako starobné dôchodky považujeme za nadbytočný, pretože cieľ prepočítať invalidné „starodôchodky“ podľa zák</w:t>
      </w:r>
      <w:r w:rsidR="004C4397">
        <w:t xml:space="preserve">ona o sociálnom poistení bol u </w:t>
      </w:r>
      <w:r>
        <w:t>značného počtu poberateľov invalidného dôchodku už naplnený, resp. už za exist</w:t>
      </w:r>
      <w:r w:rsidR="004C4397">
        <w:t xml:space="preserve">ujúcej právnej úpravy môže byť </w:t>
      </w:r>
      <w:r>
        <w:t>naplnený.</w:t>
      </w:r>
    </w:p>
    <w:p w:rsidR="0058797A" w:rsidRDefault="0058797A" w:rsidP="0058797A">
      <w:pPr>
        <w:widowControl/>
        <w:jc w:val="both"/>
      </w:pPr>
    </w:p>
    <w:p w:rsidR="0058797A" w:rsidRDefault="0058797A" w:rsidP="00003A62">
      <w:pPr>
        <w:widowControl/>
        <w:ind w:firstLine="720"/>
        <w:jc w:val="both"/>
      </w:pPr>
      <w:r>
        <w:t>Podľa § 263a zákona o sociálnom poistení sa nárok na invalidný dôchodok priznaný podľa predpisov účinných do 31. decembra 2003 (zákon o sociálnom zabezpečení) posudzuje vždy podľa zákona o sociálnom zabezpečení a aj podľa zákona účinného od 1. januára 2004 (zákon o sociálnom poistení</w:t>
      </w:r>
      <w:r w:rsidR="00D71AA3">
        <w:t>),</w:t>
      </w:r>
      <w:r>
        <w:t xml:space="preserve"> a to na základe plánovanej kontrolnej prehliadky (KLP), teda z podnetu Sociálnej poisťovne. Poistenec, ktorý nemal určenú KLP ani sám doposiaľ nepožiadal o zvýšenie invalidného dôchodku má možnosť požiadať o prehodnotenie nároku na invalidný dôchodok podľa § 263a zákona o sociálnom poistení.</w:t>
      </w:r>
    </w:p>
    <w:p w:rsidR="0058797A" w:rsidRDefault="0058797A" w:rsidP="004C4397">
      <w:pPr>
        <w:widowControl/>
        <w:jc w:val="both"/>
      </w:pPr>
    </w:p>
    <w:p w:rsidR="004D7A15" w:rsidRPr="004C4397" w:rsidRDefault="0058797A" w:rsidP="00003A62">
      <w:pPr>
        <w:widowControl/>
        <w:ind w:firstLine="720"/>
        <w:jc w:val="both"/>
      </w:pPr>
      <w:r>
        <w:t>Ďalšie n</w:t>
      </w:r>
      <w:r w:rsidR="009B06F4">
        <w:t>ávrhy Národnej rady občanov so zdravotným postihnutím v Slovenskej republike využije predkladateľ  v nasledujúcom období ako námety pri ďalších úvahách na zmeny dôchodkového systému Slovenskej republiky.</w:t>
      </w:r>
    </w:p>
    <w:sectPr w:rsidR="004D7A15" w:rsidRPr="004C439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B9A" w:rsidRDefault="00955B9A" w:rsidP="000F6E2D">
      <w:r>
        <w:separator/>
      </w:r>
    </w:p>
  </w:endnote>
  <w:endnote w:type="continuationSeparator" w:id="0">
    <w:p w:rsidR="00955B9A" w:rsidRDefault="00955B9A" w:rsidP="000F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03435"/>
      <w:docPartObj>
        <w:docPartGallery w:val="Page Numbers (Bottom of Page)"/>
        <w:docPartUnique/>
      </w:docPartObj>
    </w:sdtPr>
    <w:sdtEndPr/>
    <w:sdtContent>
      <w:p w:rsidR="000F6E2D" w:rsidRDefault="000F6E2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A62">
          <w:rPr>
            <w:noProof/>
          </w:rPr>
          <w:t>2</w:t>
        </w:r>
        <w:r>
          <w:fldChar w:fldCharType="end"/>
        </w:r>
      </w:p>
    </w:sdtContent>
  </w:sdt>
  <w:p w:rsidR="000F6E2D" w:rsidRDefault="000F6E2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B9A" w:rsidRDefault="00955B9A" w:rsidP="000F6E2D">
      <w:r>
        <w:separator/>
      </w:r>
    </w:p>
  </w:footnote>
  <w:footnote w:type="continuationSeparator" w:id="0">
    <w:p w:rsidR="00955B9A" w:rsidRDefault="00955B9A" w:rsidP="000F6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4D"/>
    <w:rsid w:val="00003A62"/>
    <w:rsid w:val="000E4F08"/>
    <w:rsid w:val="000F6E2D"/>
    <w:rsid w:val="00181754"/>
    <w:rsid w:val="00212F9A"/>
    <w:rsid w:val="002E26AE"/>
    <w:rsid w:val="003F7950"/>
    <w:rsid w:val="0049695E"/>
    <w:rsid w:val="004A1531"/>
    <w:rsid w:val="004C4397"/>
    <w:rsid w:val="004D7A15"/>
    <w:rsid w:val="0058797A"/>
    <w:rsid w:val="006132B3"/>
    <w:rsid w:val="006C5DD0"/>
    <w:rsid w:val="00716D4D"/>
    <w:rsid w:val="007457AB"/>
    <w:rsid w:val="007D62CB"/>
    <w:rsid w:val="00856250"/>
    <w:rsid w:val="00955B9A"/>
    <w:rsid w:val="00974AE7"/>
    <w:rsid w:val="009B06F4"/>
    <w:rsid w:val="009C3290"/>
    <w:rsid w:val="00A43219"/>
    <w:rsid w:val="00AA762C"/>
    <w:rsid w:val="00AC5107"/>
    <w:rsid w:val="00BF1C25"/>
    <w:rsid w:val="00C15152"/>
    <w:rsid w:val="00C9479C"/>
    <w:rsid w:val="00CD4237"/>
    <w:rsid w:val="00D1637E"/>
    <w:rsid w:val="00D71AA3"/>
    <w:rsid w:val="00D82E9C"/>
    <w:rsid w:val="00D8599B"/>
    <w:rsid w:val="00E266D6"/>
    <w:rsid w:val="00E55392"/>
    <w:rsid w:val="00ED21F7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9B06F4"/>
    <w:pPr>
      <w:widowControl/>
      <w:adjustRightInd/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unhideWhenUsed/>
    <w:rsid w:val="000F6E2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F6E2D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F6E2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6E2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9B06F4"/>
    <w:pPr>
      <w:widowControl/>
      <w:adjustRightInd/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unhideWhenUsed/>
    <w:rsid w:val="000F6E2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F6E2D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F6E2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6E2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17.2.2017 10:54:46"/>
    <f:field ref="objchangedby" par="" text="Administrator, System"/>
    <f:field ref="objmodifiedat" par="" text="17.2.2017 10:54:48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Cebulakova Monika</cp:lastModifiedBy>
  <cp:revision>3</cp:revision>
  <dcterms:created xsi:type="dcterms:W3CDTF">2017-03-29T10:37:00Z</dcterms:created>
  <dcterms:modified xsi:type="dcterms:W3CDTF">2017-03-29T11:02:00Z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Právo sociálneho zabezpečenia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Vladimír Hornáček</vt:lpwstr>
  </property>
  <property fmtid="{D5CDD505-2E9C-101B-9397-08002B2CF9AE}" pid="9" name="FSC#SKEDITIONSLOVLEX@103.510:zodppredkladatel">
    <vt:lpwstr>Ján Richter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ktorým sa dopĺňa zákon č. 461/2003 Z. z. o sociálnom poistení v znení neskorších predpisov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práce, sociálnych vecí a rodiny Slovenskej republiky</vt:lpwstr>
  </property>
  <property fmtid="{D5CDD505-2E9C-101B-9397-08002B2CF9AE}" pid="14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Plán legislatívnych úloh vlády Slovenskej republiky na rok 2017_x000d_
</vt:lpwstr>
  </property>
  <property fmtid="{D5CDD505-2E9C-101B-9397-08002B2CF9AE}" pid="17" name="FSC#SKEDITIONSLOVLEX@103.510:plnynazovpredpis">
    <vt:lpwstr> Zákon, ktorým sa dopĺňa zákon č. 461/2003 Z. z. o sociálnom poistení v znení neskorších predpisov</vt:lpwstr>
  </property>
  <property fmtid="{D5CDD505-2E9C-101B-9397-08002B2CF9AE}" pid="18" name="FSC#SKEDITIONSLOVLEX@103.510:rezortcislopredpis">
    <vt:lpwstr>9501/2017-M_OPVA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LP/2017/104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je upravená v práve Európskej únie</vt:lpwstr>
  </property>
  <property fmtid="{D5CDD505-2E9C-101B-9397-08002B2CF9AE}" pid="37" name="FSC#SKEDITIONSLOVLEX@103.510:AttrStrListDocPropPrimarnePravoEU">
    <vt:lpwstr>Problematika návrhu zákona je upravená v primárnom práve Európskej únie, a to v čl. 151 a 153 Zmluvy o fungovaní Európskej únie (Ú. v. EÚ C 83, 30. 3. 2010).</vt:lpwstr>
  </property>
  <property fmtid="{D5CDD505-2E9C-101B-9397-08002B2CF9AE}" pid="38" name="FSC#SKEDITIONSLOVLEX@103.510:AttrStrListDocPropSekundarneLegPravoPO">
    <vt:lpwstr>nie je upravená</vt:lpwstr>
  </property>
  <property fmtid="{D5CDD505-2E9C-101B-9397-08002B2CF9AE}" pid="39" name="FSC#SKEDITIONSLOVLEX@103.510:AttrStrListDocPropSekundarneNelegPravoPO">
    <vt:lpwstr>nie je upravená</vt:lpwstr>
  </property>
  <property fmtid="{D5CDD505-2E9C-101B-9397-08002B2CF9AE}" pid="40" name="FSC#SKEDITIONSLOVLEX@103.510:AttrStrListDocPropSekundarneLegPravoDO">
    <vt:lpwstr>nie je upravená</vt:lpwstr>
  </property>
  <property fmtid="{D5CDD505-2E9C-101B-9397-08002B2CF9AE}" pid="41" name="FSC#SKEDITIONSLOVLEX@103.510:AttrStrListDocPropProblematikaPPb">
    <vt:lpwstr>nie je obsiahnutá v judikatúre Súdneho dvora Európskej únie</vt:lpwstr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>bezpredmetné</vt:lpwstr>
  </property>
  <property fmtid="{D5CDD505-2E9C-101B-9397-08002B2CF9AE}" pid="44" name="FSC#SKEDITIONSLOVLEX@103.510:AttrStrListDocPropLehotaNaPredlozenie">
    <vt:lpwstr>bezpredmetné</vt:lpwstr>
  </property>
  <property fmtid="{D5CDD505-2E9C-101B-9397-08002B2CF9AE}" pid="45" name="FSC#SKEDITIONSLOVLEX@103.510:AttrStrListDocPropInfoZaciatokKonania">
    <vt:lpwstr>bezpredmetné</vt:lpwstr>
  </property>
  <property fmtid="{D5CDD505-2E9C-101B-9397-08002B2CF9AE}" pid="46" name="FSC#SKEDITIONSLOVLEX@103.510:AttrStrListDocPropInfoUzPreberanePP">
    <vt:lpwstr>bezpredmetné</vt:lpwstr>
  </property>
  <property fmtid="{D5CDD505-2E9C-101B-9397-08002B2CF9AE}" pid="47" name="FSC#SKEDITIONSLOVLEX@103.510:AttrStrListDocPropStupenZlucitelnostiPP">
    <vt:lpwstr>úplný</vt:lpwstr>
  </property>
  <property fmtid="{D5CDD505-2E9C-101B-9397-08002B2CF9AE}" pid="48" name="FSC#SKEDITIONSLOVLEX@103.510:AttrStrListDocPropGestorSpolupRezorty">
    <vt:lpwstr>Ministerstvo práce, sociálnych vecí a rodiny Slovenskej republiky</vt:lpwstr>
  </property>
  <property fmtid="{D5CDD505-2E9C-101B-9397-08002B2CF9AE}" pid="49" name="FSC#SKEDITIONSLOVLEX@103.510:AttrDateDocPropZaciatokPKK">
    <vt:lpwstr>29. 1. 2017</vt:lpwstr>
  </property>
  <property fmtid="{D5CDD505-2E9C-101B-9397-08002B2CF9AE}" pid="50" name="FSC#SKEDITIONSLOVLEX@103.510:AttrDateDocPropUkonceniePKK">
    <vt:lpwstr>11. 2. 2017</vt:lpwstr>
  </property>
  <property fmtid="{D5CDD505-2E9C-101B-9397-08002B2CF9AE}" pid="51" name="FSC#SKEDITIONSLOVLEX@103.510:AttrStrDocPropVplyvRozpocetVS">
    <vt:lpwstr>Negatívne</vt:lpwstr>
  </property>
  <property fmtid="{D5CDD505-2E9C-101B-9397-08002B2CF9AE}" pid="52" name="FSC#SKEDITIONSLOVLEX@103.510:AttrStrDocPropVplyvPodnikatelskeProstr">
    <vt:lpwstr>Žiadne</vt:lpwstr>
  </property>
  <property fmtid="{D5CDD505-2E9C-101B-9397-08002B2CF9AE}" pid="53" name="FSC#SKEDITIONSLOVLEX@103.510:AttrStrDocPropVplyvSocialny">
    <vt:lpwstr>Pozitívne</vt:lpwstr>
  </property>
  <property fmtid="{D5CDD505-2E9C-101B-9397-08002B2CF9AE}" pid="54" name="FSC#SKEDITIONSLOVLEX@103.510:AttrStrDocPropVplyvNaZivotProstr">
    <vt:lpwstr>Žiadne</vt:lpwstr>
  </property>
  <property fmtid="{D5CDD505-2E9C-101B-9397-08002B2CF9AE}" pid="55" name="FSC#SKEDITIONSLOVLEX@103.510:AttrStrDocPropVplyvNaInformatizaciu">
    <vt:lpwstr>Žiadne</vt:lpwstr>
  </property>
  <property fmtid="{D5CDD505-2E9C-101B-9397-08002B2CF9AE}" pid="56" name="FSC#SKEDITIONSLOVLEX@103.510:AttrStrListDocPropPoznamkaVplyv">
    <vt:lpwstr>Vplyvy na rozpočet verejnej správy – celkový vplyv na rozpočet verejnej správy bude negatívny z dôvodu, že sa očakávajú vyššie výdavky na  dotknuté starobné dôchodky priznané podľa zákona č. 100/1988 Zb. o sociálnom zabezpečení v znení neskorších predpiso</vt:lpwstr>
  </property>
  <property fmtid="{D5CDD505-2E9C-101B-9397-08002B2CF9AE}" pid="57" name="FSC#SKEDITIONSLOVLEX@103.510:AttrStrListDocPropAltRiesenia">
    <vt:lpwstr>Pri zachovaní súčasne účinného právneho stavu by sa  suma starobného dôchodku vyplácala v nezmenenej výške.  Predmetom návrhu zákona je stanovenie podmienok nového výpočtu sumy starobného dôchodku, ktorá bola určená podľa predpisov účinných pred 1. január</vt:lpwstr>
  </property>
  <property fmtid="{D5CDD505-2E9C-101B-9397-08002B2CF9AE}" pid="58" name="FSC#SKEDITIONSLOVLEX@103.510:AttrStrListDocPropStanoviskoGest">
    <vt:lpwstr>Stála pracovná komisia na posudzovanie vybraných vplyvov vyjadrila nesúhlasné stanovisko s materiálom predloženým na predbežné pripomienkové konanie s odporúčaním na jeho dopracovanie na základe pripomienky uvedenej nižšie.Pripomienka Komisie pre posudzov</vt:lpwstr>
  </property>
  <property fmtid="{D5CDD505-2E9C-101B-9397-08002B2CF9AE}" pid="59" name="FSC#SKEDITIONSLOVLEX@103.510:AttrStrListDocPropTextKomunike">
    <vt:lpwstr>Vláda Slovenskej republiky na svojom rokovaní dňa ....................... prerokovala a schválila návrh zákona, ktorým sa dopĺňa zákon č. 461/2003 Z. z. o sociálnom poistení v znení neskorších predpisov.</vt:lpwstr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_x000d_
minister práce, sociálnych vecí a rodiny </vt:lpwstr>
  </property>
  <property fmtid="{D5CDD505-2E9C-101B-9397-08002B2CF9AE}" pid="128" name="FSC#SKEDITIONSLOVLEX@103.510:AttrStrListDocPropUznesenieNaVedomie">
    <vt:lpwstr>predseda Národnej rady SR</vt:lpwstr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minister práce, sociálnych vecí a rodiny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Ján Richter_x000d_
minister práce, sociálnych vecí a rodiny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 style="text-align: justify;"&gt;Ministerstvo práce, sociálnych vecí a rodiny Slovenskej republiky predkladá návrh zákona, ktorým sa dopĺňa zákon č. 461/2003 Z. z. o sociálnom poistení v znení neskorších predpisov (ďalej len ,,zákon o sociálnom poistení“) </vt:lpwstr>
  </property>
  <property fmtid="{D5CDD505-2E9C-101B-9397-08002B2CF9AE}" pid="135" name="FSC#COOSYSTEM@1.1:Container">
    <vt:lpwstr>COO.2145.1000.3.1839319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 style="text-align: justify;"&gt;Verejnosť bola o príprave návrhu zákona, ktorým sa dopĺňa zákon č. 461/2003 Z. z. o&amp;nbsp;sociálnom poistení v znení neskorších predpisov informovaná prostredníctvom predbežnej informácie zverejnenej na &amp;nbsp;portáli, ktorý 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ministrovi práce, sociálnych vecí a rodiny Slovenskej republiky</vt:lpwstr>
  </property>
  <property fmtid="{D5CDD505-2E9C-101B-9397-08002B2CF9AE}" pid="148" name="FSC#SKEDITIONSLOVLEX@103.510:funkciaZodpPredDativ">
    <vt:lpwstr>ministra práce, sociálnych vecí a rodiny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2017</vt:lpwstr>
  </property>
</Properties>
</file>