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4DAC8" w14:textId="77777777" w:rsidR="0024416E" w:rsidRPr="00A26D06" w:rsidRDefault="0024416E" w:rsidP="0024416E">
      <w:pPr>
        <w:keepNext/>
        <w:keepLines/>
        <w:spacing w:before="480" w:line="276" w:lineRule="auto"/>
        <w:outlineLvl w:val="0"/>
        <w:rPr>
          <w:b/>
          <w:bCs/>
          <w:sz w:val="28"/>
          <w:szCs w:val="28"/>
          <w:lang w:eastAsia="en-US"/>
        </w:rPr>
      </w:pPr>
      <w:bookmarkStart w:id="0" w:name="_Toc475385081"/>
      <w:r w:rsidRPr="00A26D06">
        <w:rPr>
          <w:b/>
          <w:bCs/>
          <w:sz w:val="28"/>
          <w:szCs w:val="28"/>
          <w:lang w:eastAsia="en-US"/>
        </w:rPr>
        <w:t xml:space="preserve">Príloha č. 4: </w:t>
      </w:r>
      <w:r w:rsidRPr="00A26D06">
        <w:rPr>
          <w:rFonts w:ascii="Cambria" w:hAnsi="Cambria"/>
          <w:b/>
          <w:bCs/>
          <w:sz w:val="28"/>
          <w:szCs w:val="28"/>
          <w:lang w:eastAsia="en-US"/>
        </w:rPr>
        <w:t>Ročná správa o pokroku pri dosahovaní národných cieľov energetickej efektívnosti za rok 2016</w:t>
      </w:r>
      <w:bookmarkEnd w:id="0"/>
    </w:p>
    <w:p w14:paraId="0F09CDCD" w14:textId="77777777" w:rsidR="0024416E" w:rsidRPr="00A26D06" w:rsidRDefault="0024416E" w:rsidP="0024416E">
      <w:pPr>
        <w:keepNext/>
        <w:keepLines/>
        <w:spacing w:before="480" w:line="276" w:lineRule="auto"/>
        <w:outlineLvl w:val="0"/>
        <w:rPr>
          <w:rFonts w:ascii="Cambria" w:hAnsi="Cambria"/>
          <w:b/>
          <w:bCs/>
          <w:sz w:val="28"/>
          <w:szCs w:val="28"/>
          <w:lang w:eastAsia="en-US"/>
        </w:rPr>
      </w:pPr>
      <w:bookmarkStart w:id="1" w:name="_Toc475385082"/>
      <w:r w:rsidRPr="00A26D06">
        <w:rPr>
          <w:rFonts w:ascii="Cambria" w:hAnsi="Cambria"/>
          <w:b/>
          <w:bCs/>
          <w:sz w:val="28"/>
          <w:szCs w:val="28"/>
          <w:lang w:eastAsia="en-US"/>
        </w:rPr>
        <w:t>1. Základné štatistické údaje k energetickej efektívnosti</w:t>
      </w:r>
      <w:bookmarkEnd w:id="1"/>
      <w:r w:rsidRPr="00A26D06">
        <w:rPr>
          <w:rFonts w:ascii="Cambria" w:hAnsi="Cambria"/>
          <w:b/>
          <w:bCs/>
          <w:sz w:val="28"/>
          <w:szCs w:val="28"/>
          <w:lang w:eastAsia="en-US"/>
        </w:rPr>
        <w:t xml:space="preserve">  </w:t>
      </w:r>
    </w:p>
    <w:p w14:paraId="0628EC38" w14:textId="77777777" w:rsidR="0024416E" w:rsidRPr="00A459B8" w:rsidRDefault="0024416E" w:rsidP="0024416E">
      <w:pPr>
        <w:spacing w:after="200" w:line="276" w:lineRule="auto"/>
        <w:rPr>
          <w:rFonts w:eastAsia="Calibri"/>
          <w:sz w:val="24"/>
          <w:szCs w:val="24"/>
          <w:lang w:eastAsia="en-US"/>
        </w:rPr>
      </w:pPr>
      <w:r w:rsidRPr="00A459B8">
        <w:rPr>
          <w:rFonts w:eastAsia="Calibri"/>
          <w:sz w:val="24"/>
          <w:szCs w:val="24"/>
          <w:lang w:eastAsia="en-US"/>
        </w:rPr>
        <w:t>Tabuľka č. 1: Základné údaje k energetickej efektívnosti za roky 2014 a 2015</w:t>
      </w:r>
    </w:p>
    <w:tbl>
      <w:tblPr>
        <w:tblW w:w="9062" w:type="dxa"/>
        <w:tblCellMar>
          <w:left w:w="70" w:type="dxa"/>
          <w:right w:w="70" w:type="dxa"/>
        </w:tblCellMar>
        <w:tblLook w:val="04A0" w:firstRow="1" w:lastRow="0" w:firstColumn="1" w:lastColumn="0" w:noHBand="0" w:noVBand="1"/>
      </w:tblPr>
      <w:tblGrid>
        <w:gridCol w:w="4581"/>
        <w:gridCol w:w="1197"/>
        <w:gridCol w:w="1113"/>
        <w:gridCol w:w="1197"/>
        <w:gridCol w:w="974"/>
      </w:tblGrid>
      <w:tr w:rsidR="0024416E" w:rsidRPr="00A459B8" w14:paraId="7EAC589D" w14:textId="77777777" w:rsidTr="00A26D06">
        <w:trPr>
          <w:trHeight w:val="300"/>
        </w:trPr>
        <w:tc>
          <w:tcPr>
            <w:tcW w:w="4581" w:type="dxa"/>
            <w:vMerge w:val="restart"/>
            <w:tcBorders>
              <w:top w:val="single" w:sz="4" w:space="0" w:color="auto"/>
              <w:left w:val="single" w:sz="4" w:space="0" w:color="auto"/>
              <w:right w:val="nil"/>
            </w:tcBorders>
            <w:shd w:val="clear" w:color="auto" w:fill="BFBFBF"/>
            <w:noWrap/>
            <w:vAlign w:val="bottom"/>
            <w:hideMark/>
          </w:tcPr>
          <w:p w14:paraId="6AFAE367" w14:textId="77777777" w:rsidR="0024416E" w:rsidRPr="00A459B8" w:rsidRDefault="0024416E" w:rsidP="00A26D06">
            <w:pPr>
              <w:jc w:val="center"/>
              <w:rPr>
                <w:sz w:val="24"/>
                <w:szCs w:val="24"/>
              </w:rPr>
            </w:pPr>
            <w:r w:rsidRPr="00A459B8">
              <w:rPr>
                <w:b/>
                <w:bCs/>
                <w:color w:val="000000"/>
                <w:sz w:val="18"/>
                <w:szCs w:val="18"/>
              </w:rPr>
              <w:t>Ukazovateľ</w:t>
            </w:r>
          </w:p>
        </w:tc>
        <w:tc>
          <w:tcPr>
            <w:tcW w:w="2310" w:type="dxa"/>
            <w:gridSpan w:val="2"/>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F2D610" w14:textId="77777777" w:rsidR="0024416E" w:rsidRPr="00A459B8" w:rsidRDefault="0024416E" w:rsidP="00A26D06">
            <w:pPr>
              <w:jc w:val="center"/>
              <w:rPr>
                <w:b/>
                <w:color w:val="000000"/>
                <w:sz w:val="22"/>
                <w:szCs w:val="22"/>
              </w:rPr>
            </w:pPr>
            <w:r w:rsidRPr="00A459B8">
              <w:rPr>
                <w:b/>
                <w:color w:val="000000"/>
                <w:sz w:val="22"/>
                <w:szCs w:val="22"/>
              </w:rPr>
              <w:t>Eurostat</w:t>
            </w:r>
          </w:p>
        </w:tc>
        <w:tc>
          <w:tcPr>
            <w:tcW w:w="2171" w:type="dxa"/>
            <w:gridSpan w:val="2"/>
            <w:tcBorders>
              <w:top w:val="single" w:sz="4" w:space="0" w:color="auto"/>
              <w:left w:val="nil"/>
              <w:bottom w:val="single" w:sz="4" w:space="0" w:color="auto"/>
              <w:right w:val="single" w:sz="4" w:space="0" w:color="auto"/>
            </w:tcBorders>
            <w:shd w:val="clear" w:color="auto" w:fill="BFBFBF"/>
            <w:noWrap/>
            <w:vAlign w:val="bottom"/>
            <w:hideMark/>
          </w:tcPr>
          <w:p w14:paraId="400AF02A" w14:textId="77777777" w:rsidR="0024416E" w:rsidRPr="00A459B8" w:rsidRDefault="0024416E" w:rsidP="00A26D06">
            <w:pPr>
              <w:jc w:val="center"/>
              <w:rPr>
                <w:b/>
                <w:color w:val="000000"/>
                <w:sz w:val="22"/>
                <w:szCs w:val="22"/>
              </w:rPr>
            </w:pPr>
            <w:r w:rsidRPr="00A459B8">
              <w:rPr>
                <w:b/>
                <w:color w:val="000000"/>
                <w:sz w:val="22"/>
                <w:szCs w:val="22"/>
              </w:rPr>
              <w:t>ŠÚSR</w:t>
            </w:r>
          </w:p>
        </w:tc>
      </w:tr>
      <w:tr w:rsidR="0024416E" w:rsidRPr="00A459B8" w14:paraId="5138C651" w14:textId="77777777" w:rsidTr="00A26D06">
        <w:trPr>
          <w:trHeight w:val="300"/>
        </w:trPr>
        <w:tc>
          <w:tcPr>
            <w:tcW w:w="4581" w:type="dxa"/>
            <w:vMerge/>
            <w:tcBorders>
              <w:left w:val="single" w:sz="4" w:space="0" w:color="auto"/>
              <w:bottom w:val="single" w:sz="4" w:space="0" w:color="auto"/>
              <w:right w:val="single" w:sz="4" w:space="0" w:color="auto"/>
            </w:tcBorders>
            <w:shd w:val="clear" w:color="000000" w:fill="BFBFBF"/>
            <w:noWrap/>
            <w:vAlign w:val="center"/>
            <w:hideMark/>
          </w:tcPr>
          <w:p w14:paraId="34D08BAD" w14:textId="77777777" w:rsidR="0024416E" w:rsidRPr="00A459B8" w:rsidRDefault="0024416E" w:rsidP="00A26D06">
            <w:pPr>
              <w:rPr>
                <w:b/>
                <w:bCs/>
                <w:color w:val="000000"/>
                <w:sz w:val="18"/>
                <w:szCs w:val="18"/>
              </w:rPr>
            </w:pPr>
          </w:p>
        </w:tc>
        <w:tc>
          <w:tcPr>
            <w:tcW w:w="1197" w:type="dxa"/>
            <w:tcBorders>
              <w:top w:val="single" w:sz="4" w:space="0" w:color="auto"/>
              <w:left w:val="nil"/>
              <w:bottom w:val="single" w:sz="4" w:space="0" w:color="auto"/>
              <w:right w:val="single" w:sz="4" w:space="0" w:color="auto"/>
            </w:tcBorders>
            <w:shd w:val="clear" w:color="000000" w:fill="BFBFBF"/>
            <w:vAlign w:val="center"/>
            <w:hideMark/>
          </w:tcPr>
          <w:p w14:paraId="3F8B4370" w14:textId="77777777" w:rsidR="0024416E" w:rsidRPr="00A459B8" w:rsidRDefault="0024416E" w:rsidP="00A26D06">
            <w:pPr>
              <w:jc w:val="right"/>
              <w:rPr>
                <w:b/>
                <w:bCs/>
                <w:color w:val="000000"/>
                <w:sz w:val="18"/>
                <w:szCs w:val="18"/>
              </w:rPr>
            </w:pPr>
            <w:r w:rsidRPr="00A459B8">
              <w:rPr>
                <w:b/>
                <w:bCs/>
                <w:color w:val="000000"/>
                <w:sz w:val="18"/>
                <w:szCs w:val="18"/>
              </w:rPr>
              <w:t>2014</w:t>
            </w:r>
          </w:p>
        </w:tc>
        <w:tc>
          <w:tcPr>
            <w:tcW w:w="1113" w:type="dxa"/>
            <w:tcBorders>
              <w:top w:val="single" w:sz="4" w:space="0" w:color="auto"/>
              <w:left w:val="nil"/>
              <w:bottom w:val="single" w:sz="4" w:space="0" w:color="auto"/>
              <w:right w:val="single" w:sz="4" w:space="0" w:color="auto"/>
            </w:tcBorders>
            <w:shd w:val="clear" w:color="000000" w:fill="BFBFBF"/>
            <w:vAlign w:val="center"/>
            <w:hideMark/>
          </w:tcPr>
          <w:p w14:paraId="5CA7067D" w14:textId="77777777" w:rsidR="0024416E" w:rsidRPr="00A459B8" w:rsidRDefault="0024416E" w:rsidP="00A26D06">
            <w:pPr>
              <w:jc w:val="right"/>
              <w:rPr>
                <w:b/>
                <w:bCs/>
                <w:color w:val="000000"/>
                <w:sz w:val="18"/>
                <w:szCs w:val="18"/>
              </w:rPr>
            </w:pPr>
            <w:r w:rsidRPr="00A459B8">
              <w:rPr>
                <w:b/>
                <w:bCs/>
                <w:color w:val="000000"/>
                <w:sz w:val="18"/>
                <w:szCs w:val="18"/>
              </w:rPr>
              <w:t>2015</w:t>
            </w:r>
            <w:r>
              <w:rPr>
                <w:b/>
                <w:bCs/>
                <w:color w:val="000000"/>
                <w:sz w:val="18"/>
                <w:szCs w:val="18"/>
              </w:rPr>
              <w:t>****</w:t>
            </w:r>
          </w:p>
        </w:tc>
        <w:tc>
          <w:tcPr>
            <w:tcW w:w="1197" w:type="dxa"/>
            <w:tcBorders>
              <w:top w:val="single" w:sz="4" w:space="0" w:color="auto"/>
              <w:left w:val="nil"/>
              <w:bottom w:val="single" w:sz="4" w:space="0" w:color="auto"/>
              <w:right w:val="single" w:sz="4" w:space="0" w:color="auto"/>
            </w:tcBorders>
            <w:shd w:val="clear" w:color="000000" w:fill="BFBFBF"/>
            <w:vAlign w:val="center"/>
            <w:hideMark/>
          </w:tcPr>
          <w:p w14:paraId="0EB0CB58" w14:textId="77777777" w:rsidR="0024416E" w:rsidRPr="00A459B8" w:rsidRDefault="0024416E" w:rsidP="00A26D06">
            <w:pPr>
              <w:jc w:val="right"/>
              <w:rPr>
                <w:b/>
                <w:bCs/>
                <w:color w:val="000000"/>
                <w:sz w:val="18"/>
                <w:szCs w:val="18"/>
              </w:rPr>
            </w:pPr>
            <w:r w:rsidRPr="00A459B8">
              <w:rPr>
                <w:b/>
                <w:bCs/>
                <w:color w:val="000000"/>
                <w:sz w:val="18"/>
                <w:szCs w:val="18"/>
              </w:rPr>
              <w:t>2014</w:t>
            </w:r>
          </w:p>
        </w:tc>
        <w:tc>
          <w:tcPr>
            <w:tcW w:w="974" w:type="dxa"/>
            <w:tcBorders>
              <w:top w:val="single" w:sz="4" w:space="0" w:color="auto"/>
              <w:left w:val="nil"/>
              <w:bottom w:val="single" w:sz="4" w:space="0" w:color="auto"/>
              <w:right w:val="single" w:sz="4" w:space="0" w:color="auto"/>
            </w:tcBorders>
            <w:shd w:val="clear" w:color="000000" w:fill="BFBFBF"/>
            <w:vAlign w:val="center"/>
            <w:hideMark/>
          </w:tcPr>
          <w:p w14:paraId="2F75B1F5" w14:textId="77777777" w:rsidR="0024416E" w:rsidRPr="00A459B8" w:rsidRDefault="0024416E" w:rsidP="00A26D06">
            <w:pPr>
              <w:jc w:val="right"/>
              <w:rPr>
                <w:b/>
                <w:bCs/>
                <w:color w:val="000000"/>
                <w:sz w:val="18"/>
                <w:szCs w:val="18"/>
              </w:rPr>
            </w:pPr>
            <w:r w:rsidRPr="00A459B8">
              <w:rPr>
                <w:b/>
                <w:bCs/>
                <w:color w:val="000000"/>
                <w:sz w:val="18"/>
                <w:szCs w:val="18"/>
              </w:rPr>
              <w:t>2015</w:t>
            </w:r>
          </w:p>
        </w:tc>
      </w:tr>
      <w:tr w:rsidR="0024416E" w:rsidRPr="00A459B8" w14:paraId="386481D7"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0A1CE1C1" w14:textId="77777777" w:rsidR="0024416E" w:rsidRPr="00A459B8" w:rsidRDefault="0024416E" w:rsidP="00A26D06">
            <w:pPr>
              <w:rPr>
                <w:color w:val="000000"/>
                <w:sz w:val="18"/>
                <w:szCs w:val="18"/>
              </w:rPr>
            </w:pPr>
            <w:r w:rsidRPr="00A459B8">
              <w:rPr>
                <w:color w:val="000000"/>
                <w:sz w:val="18"/>
                <w:szCs w:val="18"/>
              </w:rPr>
              <w:t>Primárna energetická spotreba</w:t>
            </w:r>
            <w:r w:rsidRPr="00A459B8">
              <w:rPr>
                <w:color w:val="000000"/>
                <w:sz w:val="18"/>
                <w:szCs w:val="18"/>
                <w:vertAlign w:val="superscript"/>
              </w:rPr>
              <w:t>1)</w:t>
            </w:r>
            <w:r w:rsidRPr="00A459B8">
              <w:rPr>
                <w:color w:val="000000"/>
                <w:sz w:val="18"/>
                <w:szCs w:val="18"/>
              </w:rPr>
              <w:t xml:space="preserve"> (ktoe)</w:t>
            </w:r>
          </w:p>
        </w:tc>
        <w:tc>
          <w:tcPr>
            <w:tcW w:w="1197" w:type="dxa"/>
            <w:tcBorders>
              <w:top w:val="nil"/>
              <w:left w:val="nil"/>
              <w:bottom w:val="single" w:sz="4" w:space="0" w:color="auto"/>
              <w:right w:val="single" w:sz="4" w:space="0" w:color="auto"/>
            </w:tcBorders>
            <w:shd w:val="clear" w:color="auto" w:fill="auto"/>
            <w:noWrap/>
            <w:vAlign w:val="center"/>
          </w:tcPr>
          <w:p w14:paraId="110D51CD" w14:textId="77777777" w:rsidR="0024416E" w:rsidRPr="00A459B8" w:rsidRDefault="0024416E" w:rsidP="00A26D06">
            <w:pPr>
              <w:jc w:val="right"/>
              <w:rPr>
                <w:color w:val="000000"/>
                <w:sz w:val="18"/>
                <w:szCs w:val="18"/>
              </w:rPr>
            </w:pPr>
            <w:r w:rsidRPr="00A459B8">
              <w:rPr>
                <w:color w:val="000000"/>
                <w:sz w:val="18"/>
                <w:szCs w:val="18"/>
              </w:rPr>
              <w:t>15 252</w:t>
            </w:r>
          </w:p>
        </w:tc>
        <w:tc>
          <w:tcPr>
            <w:tcW w:w="1113" w:type="dxa"/>
            <w:tcBorders>
              <w:top w:val="nil"/>
              <w:left w:val="nil"/>
              <w:bottom w:val="single" w:sz="4" w:space="0" w:color="auto"/>
              <w:right w:val="single" w:sz="4" w:space="0" w:color="auto"/>
            </w:tcBorders>
            <w:shd w:val="clear" w:color="auto" w:fill="auto"/>
            <w:noWrap/>
            <w:vAlign w:val="center"/>
          </w:tcPr>
          <w:p w14:paraId="4707F126" w14:textId="77777777" w:rsidR="0024416E" w:rsidRPr="00A459B8" w:rsidRDefault="0024416E" w:rsidP="00A26D06">
            <w:pPr>
              <w:jc w:val="right"/>
              <w:rPr>
                <w:color w:val="000000"/>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16BB2A2E" w14:textId="77777777" w:rsidR="0024416E" w:rsidRPr="00A459B8" w:rsidRDefault="0024416E" w:rsidP="00A26D06">
            <w:pPr>
              <w:jc w:val="right"/>
              <w:rPr>
                <w:color w:val="000000"/>
                <w:sz w:val="18"/>
                <w:szCs w:val="18"/>
              </w:rPr>
            </w:pPr>
            <w:r w:rsidRPr="00A459B8">
              <w:rPr>
                <w:color w:val="000000"/>
                <w:sz w:val="18"/>
                <w:szCs w:val="18"/>
              </w:rPr>
              <w:t>14 975</w:t>
            </w:r>
          </w:p>
        </w:tc>
        <w:tc>
          <w:tcPr>
            <w:tcW w:w="974" w:type="dxa"/>
            <w:tcBorders>
              <w:top w:val="nil"/>
              <w:left w:val="nil"/>
              <w:bottom w:val="single" w:sz="4" w:space="0" w:color="auto"/>
              <w:right w:val="single" w:sz="4" w:space="0" w:color="auto"/>
            </w:tcBorders>
            <w:shd w:val="clear" w:color="auto" w:fill="auto"/>
            <w:noWrap/>
            <w:vAlign w:val="center"/>
          </w:tcPr>
          <w:p w14:paraId="254DE55A" w14:textId="77777777" w:rsidR="0024416E" w:rsidRPr="00A459B8" w:rsidRDefault="0024416E" w:rsidP="00A26D06">
            <w:pPr>
              <w:jc w:val="right"/>
              <w:rPr>
                <w:color w:val="000000"/>
                <w:sz w:val="18"/>
                <w:szCs w:val="18"/>
              </w:rPr>
            </w:pPr>
            <w:r w:rsidRPr="00A459B8">
              <w:rPr>
                <w:color w:val="000000"/>
                <w:sz w:val="18"/>
                <w:szCs w:val="18"/>
              </w:rPr>
              <w:t>15 276</w:t>
            </w:r>
          </w:p>
        </w:tc>
      </w:tr>
      <w:tr w:rsidR="0024416E" w:rsidRPr="00A459B8" w14:paraId="26388552"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02D5EE46" w14:textId="77777777" w:rsidR="0024416E" w:rsidRPr="00A459B8" w:rsidRDefault="0024416E" w:rsidP="00A26D06">
            <w:pPr>
              <w:rPr>
                <w:color w:val="000000"/>
                <w:sz w:val="18"/>
                <w:szCs w:val="18"/>
              </w:rPr>
            </w:pPr>
            <w:r w:rsidRPr="00A459B8">
              <w:rPr>
                <w:color w:val="000000"/>
                <w:sz w:val="18"/>
                <w:szCs w:val="18"/>
              </w:rPr>
              <w:t>Konečná energetická spotreba (ktoe)</w:t>
            </w:r>
          </w:p>
        </w:tc>
        <w:tc>
          <w:tcPr>
            <w:tcW w:w="1197" w:type="dxa"/>
            <w:tcBorders>
              <w:top w:val="nil"/>
              <w:left w:val="nil"/>
              <w:bottom w:val="single" w:sz="4" w:space="0" w:color="auto"/>
              <w:right w:val="single" w:sz="4" w:space="0" w:color="auto"/>
            </w:tcBorders>
            <w:shd w:val="clear" w:color="auto" w:fill="auto"/>
            <w:noWrap/>
            <w:vAlign w:val="center"/>
          </w:tcPr>
          <w:p w14:paraId="6422ACBF" w14:textId="77777777" w:rsidR="0024416E" w:rsidRPr="00A459B8" w:rsidRDefault="0024416E" w:rsidP="00A26D06">
            <w:pPr>
              <w:jc w:val="right"/>
              <w:rPr>
                <w:color w:val="000000"/>
                <w:sz w:val="18"/>
                <w:szCs w:val="18"/>
              </w:rPr>
            </w:pPr>
            <w:r w:rsidRPr="00A459B8">
              <w:rPr>
                <w:color w:val="000000"/>
                <w:sz w:val="18"/>
                <w:szCs w:val="18"/>
              </w:rPr>
              <w:t>10 057</w:t>
            </w:r>
          </w:p>
        </w:tc>
        <w:tc>
          <w:tcPr>
            <w:tcW w:w="1113" w:type="dxa"/>
            <w:tcBorders>
              <w:top w:val="nil"/>
              <w:left w:val="nil"/>
              <w:bottom w:val="single" w:sz="4" w:space="0" w:color="auto"/>
              <w:right w:val="single" w:sz="4" w:space="0" w:color="auto"/>
            </w:tcBorders>
            <w:shd w:val="clear" w:color="auto" w:fill="auto"/>
            <w:noWrap/>
            <w:vAlign w:val="center"/>
          </w:tcPr>
          <w:p w14:paraId="214A19DF" w14:textId="77777777" w:rsidR="0024416E" w:rsidRPr="00A459B8" w:rsidRDefault="0024416E" w:rsidP="00A26D06">
            <w:pPr>
              <w:jc w:val="right"/>
              <w:rPr>
                <w:color w:val="000000"/>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32CF3B82" w14:textId="77777777" w:rsidR="0024416E" w:rsidRPr="00A459B8" w:rsidRDefault="0024416E" w:rsidP="00A26D06">
            <w:pPr>
              <w:jc w:val="right"/>
              <w:rPr>
                <w:color w:val="000000"/>
                <w:sz w:val="18"/>
                <w:szCs w:val="18"/>
              </w:rPr>
            </w:pPr>
            <w:r w:rsidRPr="00A459B8">
              <w:rPr>
                <w:color w:val="000000"/>
                <w:sz w:val="18"/>
                <w:szCs w:val="18"/>
              </w:rPr>
              <w:t>8 711</w:t>
            </w:r>
          </w:p>
        </w:tc>
        <w:tc>
          <w:tcPr>
            <w:tcW w:w="974" w:type="dxa"/>
            <w:tcBorders>
              <w:top w:val="nil"/>
              <w:left w:val="nil"/>
              <w:bottom w:val="single" w:sz="4" w:space="0" w:color="auto"/>
              <w:right w:val="single" w:sz="4" w:space="0" w:color="auto"/>
            </w:tcBorders>
            <w:shd w:val="clear" w:color="auto" w:fill="auto"/>
            <w:noWrap/>
            <w:vAlign w:val="center"/>
          </w:tcPr>
          <w:p w14:paraId="532AA63E" w14:textId="77777777" w:rsidR="0024416E" w:rsidRPr="00A459B8" w:rsidRDefault="0024416E" w:rsidP="00A26D06">
            <w:pPr>
              <w:jc w:val="right"/>
              <w:rPr>
                <w:color w:val="000000"/>
                <w:sz w:val="18"/>
                <w:szCs w:val="18"/>
              </w:rPr>
            </w:pPr>
            <w:r w:rsidRPr="00A459B8">
              <w:rPr>
                <w:color w:val="000000"/>
                <w:sz w:val="18"/>
                <w:szCs w:val="18"/>
              </w:rPr>
              <w:t>9 146</w:t>
            </w:r>
          </w:p>
        </w:tc>
      </w:tr>
      <w:tr w:rsidR="0024416E" w:rsidRPr="00A459B8" w14:paraId="6E14AA67"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615F6ABC" w14:textId="77777777" w:rsidR="0024416E" w:rsidRPr="00A459B8" w:rsidRDefault="0024416E" w:rsidP="00A26D06">
            <w:pPr>
              <w:rPr>
                <w:color w:val="000000"/>
                <w:sz w:val="18"/>
                <w:szCs w:val="18"/>
              </w:rPr>
            </w:pPr>
            <w:r w:rsidRPr="00A459B8">
              <w:rPr>
                <w:color w:val="000000"/>
                <w:sz w:val="18"/>
                <w:szCs w:val="18"/>
              </w:rPr>
              <w:t>Konečná energetická spotreba – priemysel (ktoe)</w:t>
            </w:r>
          </w:p>
        </w:tc>
        <w:tc>
          <w:tcPr>
            <w:tcW w:w="1197" w:type="dxa"/>
            <w:tcBorders>
              <w:top w:val="nil"/>
              <w:left w:val="nil"/>
              <w:bottom w:val="single" w:sz="4" w:space="0" w:color="auto"/>
              <w:right w:val="single" w:sz="4" w:space="0" w:color="auto"/>
            </w:tcBorders>
            <w:shd w:val="clear" w:color="auto" w:fill="auto"/>
            <w:noWrap/>
            <w:vAlign w:val="center"/>
          </w:tcPr>
          <w:p w14:paraId="248EA73C" w14:textId="77777777" w:rsidR="0024416E" w:rsidRPr="00A459B8" w:rsidRDefault="0024416E" w:rsidP="00A26D06">
            <w:pPr>
              <w:jc w:val="right"/>
              <w:rPr>
                <w:color w:val="000000"/>
                <w:sz w:val="18"/>
                <w:szCs w:val="18"/>
              </w:rPr>
            </w:pPr>
            <w:r w:rsidRPr="00A459B8">
              <w:rPr>
                <w:color w:val="000000"/>
                <w:sz w:val="18"/>
                <w:szCs w:val="18"/>
              </w:rPr>
              <w:t>4 449</w:t>
            </w:r>
          </w:p>
        </w:tc>
        <w:tc>
          <w:tcPr>
            <w:tcW w:w="1113" w:type="dxa"/>
            <w:tcBorders>
              <w:top w:val="nil"/>
              <w:left w:val="nil"/>
              <w:bottom w:val="single" w:sz="4" w:space="0" w:color="auto"/>
              <w:right w:val="single" w:sz="4" w:space="0" w:color="auto"/>
            </w:tcBorders>
            <w:shd w:val="clear" w:color="auto" w:fill="auto"/>
            <w:noWrap/>
            <w:vAlign w:val="center"/>
          </w:tcPr>
          <w:p w14:paraId="0FB262B8" w14:textId="77777777" w:rsidR="0024416E" w:rsidRPr="00A459B8" w:rsidRDefault="0024416E" w:rsidP="00A26D06">
            <w:pPr>
              <w:jc w:val="right"/>
              <w:rPr>
                <w:color w:val="000000"/>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4981EFFB" w14:textId="77777777" w:rsidR="0024416E" w:rsidRPr="00A459B8" w:rsidRDefault="0024416E" w:rsidP="00A26D06">
            <w:pPr>
              <w:jc w:val="right"/>
              <w:rPr>
                <w:color w:val="000000"/>
                <w:sz w:val="18"/>
                <w:szCs w:val="18"/>
              </w:rPr>
            </w:pPr>
            <w:r w:rsidRPr="00A459B8">
              <w:rPr>
                <w:color w:val="000000"/>
                <w:sz w:val="18"/>
                <w:szCs w:val="18"/>
              </w:rPr>
              <w:t>3 220</w:t>
            </w:r>
          </w:p>
        </w:tc>
        <w:tc>
          <w:tcPr>
            <w:tcW w:w="974" w:type="dxa"/>
            <w:tcBorders>
              <w:top w:val="nil"/>
              <w:left w:val="nil"/>
              <w:bottom w:val="single" w:sz="4" w:space="0" w:color="auto"/>
              <w:right w:val="single" w:sz="4" w:space="0" w:color="auto"/>
            </w:tcBorders>
            <w:shd w:val="clear" w:color="auto" w:fill="auto"/>
            <w:noWrap/>
            <w:vAlign w:val="center"/>
          </w:tcPr>
          <w:p w14:paraId="18E0406F" w14:textId="77777777" w:rsidR="0024416E" w:rsidRPr="00A459B8" w:rsidRDefault="0024416E" w:rsidP="00A26D06">
            <w:pPr>
              <w:jc w:val="right"/>
              <w:rPr>
                <w:color w:val="000000"/>
                <w:sz w:val="18"/>
                <w:szCs w:val="18"/>
              </w:rPr>
            </w:pPr>
            <w:r w:rsidRPr="00A459B8">
              <w:rPr>
                <w:color w:val="000000"/>
                <w:sz w:val="18"/>
                <w:szCs w:val="18"/>
              </w:rPr>
              <w:t>3 315</w:t>
            </w:r>
          </w:p>
        </w:tc>
      </w:tr>
      <w:tr w:rsidR="0024416E" w:rsidRPr="00A459B8" w14:paraId="12F87B1D"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29DA2795" w14:textId="77777777" w:rsidR="0024416E" w:rsidRPr="00A459B8" w:rsidRDefault="0024416E" w:rsidP="00A26D06">
            <w:pPr>
              <w:rPr>
                <w:color w:val="000000"/>
                <w:sz w:val="18"/>
                <w:szCs w:val="18"/>
              </w:rPr>
            </w:pPr>
            <w:r w:rsidRPr="00A459B8">
              <w:rPr>
                <w:color w:val="000000"/>
                <w:sz w:val="18"/>
                <w:szCs w:val="18"/>
              </w:rPr>
              <w:t xml:space="preserve">Konečná energetická spotreba – doprava (ktoe) </w:t>
            </w:r>
          </w:p>
        </w:tc>
        <w:tc>
          <w:tcPr>
            <w:tcW w:w="1197" w:type="dxa"/>
            <w:tcBorders>
              <w:top w:val="nil"/>
              <w:left w:val="nil"/>
              <w:bottom w:val="single" w:sz="4" w:space="0" w:color="auto"/>
              <w:right w:val="single" w:sz="4" w:space="0" w:color="auto"/>
            </w:tcBorders>
            <w:shd w:val="clear" w:color="auto" w:fill="auto"/>
            <w:noWrap/>
            <w:vAlign w:val="center"/>
          </w:tcPr>
          <w:p w14:paraId="312D43D7" w14:textId="77777777" w:rsidR="0024416E" w:rsidRPr="00A459B8" w:rsidRDefault="0024416E" w:rsidP="00A26D06">
            <w:pPr>
              <w:jc w:val="right"/>
              <w:rPr>
                <w:color w:val="000000"/>
                <w:sz w:val="18"/>
                <w:szCs w:val="18"/>
              </w:rPr>
            </w:pPr>
            <w:r w:rsidRPr="00A459B8">
              <w:rPr>
                <w:color w:val="000000"/>
                <w:sz w:val="18"/>
                <w:szCs w:val="18"/>
              </w:rPr>
              <w:t>2 212*</w:t>
            </w:r>
          </w:p>
        </w:tc>
        <w:tc>
          <w:tcPr>
            <w:tcW w:w="1113" w:type="dxa"/>
            <w:tcBorders>
              <w:top w:val="nil"/>
              <w:left w:val="nil"/>
              <w:bottom w:val="single" w:sz="4" w:space="0" w:color="auto"/>
              <w:right w:val="single" w:sz="4" w:space="0" w:color="auto"/>
            </w:tcBorders>
            <w:shd w:val="clear" w:color="auto" w:fill="auto"/>
            <w:noWrap/>
            <w:vAlign w:val="center"/>
          </w:tcPr>
          <w:p w14:paraId="3090583D" w14:textId="77777777" w:rsidR="0024416E" w:rsidRPr="00A459B8" w:rsidRDefault="0024416E" w:rsidP="00A26D06">
            <w:pPr>
              <w:jc w:val="right"/>
              <w:rPr>
                <w:color w:val="000000"/>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2C95DA6D" w14:textId="77777777" w:rsidR="0024416E" w:rsidRPr="00A459B8" w:rsidRDefault="0024416E" w:rsidP="00A26D06">
            <w:pPr>
              <w:jc w:val="right"/>
              <w:rPr>
                <w:color w:val="000000"/>
                <w:sz w:val="18"/>
                <w:szCs w:val="18"/>
              </w:rPr>
            </w:pPr>
            <w:r w:rsidRPr="00A459B8">
              <w:rPr>
                <w:color w:val="000000"/>
                <w:sz w:val="18"/>
                <w:szCs w:val="18"/>
              </w:rPr>
              <w:t>2 168</w:t>
            </w:r>
          </w:p>
        </w:tc>
        <w:tc>
          <w:tcPr>
            <w:tcW w:w="974" w:type="dxa"/>
            <w:tcBorders>
              <w:top w:val="nil"/>
              <w:left w:val="nil"/>
              <w:bottom w:val="single" w:sz="4" w:space="0" w:color="auto"/>
              <w:right w:val="single" w:sz="4" w:space="0" w:color="auto"/>
            </w:tcBorders>
            <w:shd w:val="clear" w:color="auto" w:fill="auto"/>
            <w:noWrap/>
            <w:vAlign w:val="center"/>
          </w:tcPr>
          <w:p w14:paraId="0BE95F44" w14:textId="77777777" w:rsidR="0024416E" w:rsidRPr="00A459B8" w:rsidRDefault="0024416E" w:rsidP="00A26D06">
            <w:pPr>
              <w:jc w:val="right"/>
              <w:rPr>
                <w:color w:val="000000"/>
                <w:sz w:val="18"/>
                <w:szCs w:val="18"/>
              </w:rPr>
            </w:pPr>
            <w:r w:rsidRPr="00A459B8">
              <w:rPr>
                <w:color w:val="000000"/>
                <w:sz w:val="18"/>
                <w:szCs w:val="18"/>
              </w:rPr>
              <w:t>2 169</w:t>
            </w:r>
          </w:p>
        </w:tc>
      </w:tr>
      <w:tr w:rsidR="0024416E" w:rsidRPr="00A459B8" w14:paraId="006024D4"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6197BEFB" w14:textId="77777777" w:rsidR="0024416E" w:rsidRPr="00A459B8" w:rsidRDefault="0024416E" w:rsidP="00A26D06">
            <w:pPr>
              <w:rPr>
                <w:color w:val="000000"/>
                <w:sz w:val="18"/>
                <w:szCs w:val="18"/>
              </w:rPr>
            </w:pPr>
            <w:r w:rsidRPr="00A459B8">
              <w:rPr>
                <w:color w:val="000000"/>
                <w:sz w:val="18"/>
                <w:szCs w:val="18"/>
              </w:rPr>
              <w:t xml:space="preserve">Konečná energetická spotreba – domácnosti (ktoe) </w:t>
            </w:r>
          </w:p>
        </w:tc>
        <w:tc>
          <w:tcPr>
            <w:tcW w:w="1197" w:type="dxa"/>
            <w:tcBorders>
              <w:top w:val="nil"/>
              <w:left w:val="nil"/>
              <w:bottom w:val="single" w:sz="4" w:space="0" w:color="auto"/>
              <w:right w:val="single" w:sz="4" w:space="0" w:color="auto"/>
            </w:tcBorders>
            <w:shd w:val="clear" w:color="auto" w:fill="auto"/>
            <w:noWrap/>
            <w:vAlign w:val="center"/>
          </w:tcPr>
          <w:p w14:paraId="15868CE9" w14:textId="77777777" w:rsidR="0024416E" w:rsidRPr="00A459B8" w:rsidRDefault="0024416E" w:rsidP="00A26D06">
            <w:pPr>
              <w:jc w:val="right"/>
              <w:rPr>
                <w:color w:val="000000"/>
                <w:sz w:val="18"/>
                <w:szCs w:val="18"/>
              </w:rPr>
            </w:pPr>
            <w:r w:rsidRPr="00A459B8">
              <w:rPr>
                <w:color w:val="000000"/>
                <w:sz w:val="18"/>
                <w:szCs w:val="18"/>
              </w:rPr>
              <w:t>1 952</w:t>
            </w:r>
          </w:p>
        </w:tc>
        <w:tc>
          <w:tcPr>
            <w:tcW w:w="1113" w:type="dxa"/>
            <w:tcBorders>
              <w:top w:val="nil"/>
              <w:left w:val="nil"/>
              <w:bottom w:val="single" w:sz="4" w:space="0" w:color="auto"/>
              <w:right w:val="single" w:sz="4" w:space="0" w:color="auto"/>
            </w:tcBorders>
            <w:shd w:val="clear" w:color="auto" w:fill="auto"/>
            <w:noWrap/>
            <w:vAlign w:val="center"/>
          </w:tcPr>
          <w:p w14:paraId="65D8856F" w14:textId="77777777" w:rsidR="0024416E" w:rsidRPr="00A459B8" w:rsidRDefault="0024416E" w:rsidP="00A26D06">
            <w:pPr>
              <w:jc w:val="right"/>
              <w:rPr>
                <w:color w:val="000000"/>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3E83D568" w14:textId="77777777" w:rsidR="0024416E" w:rsidRPr="00A459B8" w:rsidRDefault="0024416E" w:rsidP="00A26D06">
            <w:pPr>
              <w:jc w:val="right"/>
              <w:rPr>
                <w:color w:val="000000"/>
                <w:sz w:val="18"/>
                <w:szCs w:val="18"/>
              </w:rPr>
            </w:pPr>
            <w:r w:rsidRPr="00A459B8">
              <w:rPr>
                <w:color w:val="000000"/>
                <w:sz w:val="18"/>
                <w:szCs w:val="18"/>
              </w:rPr>
              <w:t>1 952</w:t>
            </w:r>
          </w:p>
        </w:tc>
        <w:tc>
          <w:tcPr>
            <w:tcW w:w="974" w:type="dxa"/>
            <w:tcBorders>
              <w:top w:val="nil"/>
              <w:left w:val="nil"/>
              <w:bottom w:val="single" w:sz="4" w:space="0" w:color="auto"/>
              <w:right w:val="single" w:sz="4" w:space="0" w:color="auto"/>
            </w:tcBorders>
            <w:shd w:val="clear" w:color="auto" w:fill="auto"/>
            <w:noWrap/>
            <w:vAlign w:val="center"/>
          </w:tcPr>
          <w:p w14:paraId="629EC7B4" w14:textId="77777777" w:rsidR="0024416E" w:rsidRPr="00A459B8" w:rsidRDefault="0024416E" w:rsidP="00A26D06">
            <w:pPr>
              <w:jc w:val="right"/>
              <w:rPr>
                <w:color w:val="000000"/>
                <w:sz w:val="18"/>
                <w:szCs w:val="18"/>
              </w:rPr>
            </w:pPr>
            <w:r w:rsidRPr="00A459B8">
              <w:rPr>
                <w:color w:val="000000"/>
                <w:sz w:val="18"/>
                <w:szCs w:val="18"/>
              </w:rPr>
              <w:t>1 988</w:t>
            </w:r>
          </w:p>
        </w:tc>
      </w:tr>
      <w:tr w:rsidR="0024416E" w:rsidRPr="00A459B8" w14:paraId="0F46FAF1"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037183BB" w14:textId="77777777" w:rsidR="0024416E" w:rsidRPr="00A459B8" w:rsidRDefault="0024416E" w:rsidP="00A26D06">
            <w:pPr>
              <w:rPr>
                <w:color w:val="000000"/>
                <w:sz w:val="18"/>
                <w:szCs w:val="18"/>
              </w:rPr>
            </w:pPr>
            <w:r w:rsidRPr="00A459B8">
              <w:rPr>
                <w:color w:val="000000"/>
                <w:sz w:val="18"/>
                <w:szCs w:val="18"/>
              </w:rPr>
              <w:t>Konečná energetická spotreba –</w:t>
            </w:r>
            <w:r w:rsidR="008978D6">
              <w:rPr>
                <w:color w:val="000000"/>
                <w:sz w:val="18"/>
                <w:szCs w:val="18"/>
              </w:rPr>
              <w:t xml:space="preserve"> o</w:t>
            </w:r>
            <w:bookmarkStart w:id="2" w:name="_GoBack"/>
            <w:bookmarkEnd w:id="2"/>
            <w:r w:rsidR="008978D6">
              <w:rPr>
                <w:color w:val="000000"/>
                <w:sz w:val="18"/>
                <w:szCs w:val="18"/>
              </w:rPr>
              <w:t>bchod a</w:t>
            </w:r>
            <w:r w:rsidRPr="00A459B8">
              <w:rPr>
                <w:color w:val="000000"/>
                <w:sz w:val="18"/>
                <w:szCs w:val="18"/>
              </w:rPr>
              <w:t xml:space="preserve"> služby (ktoe)</w:t>
            </w:r>
          </w:p>
        </w:tc>
        <w:tc>
          <w:tcPr>
            <w:tcW w:w="1197" w:type="dxa"/>
            <w:tcBorders>
              <w:top w:val="nil"/>
              <w:left w:val="nil"/>
              <w:bottom w:val="single" w:sz="4" w:space="0" w:color="auto"/>
              <w:right w:val="single" w:sz="4" w:space="0" w:color="auto"/>
            </w:tcBorders>
            <w:shd w:val="clear" w:color="auto" w:fill="auto"/>
            <w:noWrap/>
            <w:vAlign w:val="center"/>
          </w:tcPr>
          <w:p w14:paraId="34D73E94" w14:textId="77777777" w:rsidR="0024416E" w:rsidRPr="00A459B8" w:rsidRDefault="0024416E" w:rsidP="00A26D06">
            <w:pPr>
              <w:jc w:val="right"/>
              <w:rPr>
                <w:color w:val="000000"/>
                <w:sz w:val="18"/>
                <w:szCs w:val="18"/>
              </w:rPr>
            </w:pPr>
            <w:r w:rsidRPr="00A459B8">
              <w:rPr>
                <w:color w:val="000000"/>
                <w:sz w:val="18"/>
                <w:szCs w:val="18"/>
              </w:rPr>
              <w:t>1 308</w:t>
            </w:r>
          </w:p>
        </w:tc>
        <w:tc>
          <w:tcPr>
            <w:tcW w:w="1113" w:type="dxa"/>
            <w:tcBorders>
              <w:top w:val="nil"/>
              <w:left w:val="nil"/>
              <w:bottom w:val="single" w:sz="4" w:space="0" w:color="auto"/>
              <w:right w:val="single" w:sz="4" w:space="0" w:color="auto"/>
            </w:tcBorders>
            <w:shd w:val="clear" w:color="auto" w:fill="auto"/>
            <w:noWrap/>
            <w:vAlign w:val="center"/>
          </w:tcPr>
          <w:p w14:paraId="40888AF8" w14:textId="77777777" w:rsidR="0024416E" w:rsidRPr="00A459B8" w:rsidRDefault="0024416E" w:rsidP="00A26D06">
            <w:pPr>
              <w:jc w:val="right"/>
              <w:rPr>
                <w:color w:val="000000"/>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51481F87" w14:textId="77777777" w:rsidR="0024416E" w:rsidRPr="00A459B8" w:rsidRDefault="0024416E" w:rsidP="00A26D06">
            <w:pPr>
              <w:jc w:val="right"/>
              <w:rPr>
                <w:color w:val="000000"/>
                <w:sz w:val="18"/>
                <w:szCs w:val="18"/>
              </w:rPr>
            </w:pPr>
            <w:r w:rsidRPr="00A459B8">
              <w:rPr>
                <w:color w:val="000000"/>
                <w:sz w:val="18"/>
                <w:szCs w:val="18"/>
              </w:rPr>
              <w:t>1 233</w:t>
            </w:r>
          </w:p>
        </w:tc>
        <w:tc>
          <w:tcPr>
            <w:tcW w:w="974" w:type="dxa"/>
            <w:tcBorders>
              <w:top w:val="nil"/>
              <w:left w:val="nil"/>
              <w:bottom w:val="single" w:sz="4" w:space="0" w:color="auto"/>
              <w:right w:val="single" w:sz="4" w:space="0" w:color="auto"/>
            </w:tcBorders>
            <w:shd w:val="clear" w:color="auto" w:fill="auto"/>
            <w:noWrap/>
            <w:vAlign w:val="center"/>
          </w:tcPr>
          <w:p w14:paraId="56EE4E84" w14:textId="77777777" w:rsidR="0024416E" w:rsidRPr="00A459B8" w:rsidRDefault="0024416E" w:rsidP="00A26D06">
            <w:pPr>
              <w:jc w:val="right"/>
              <w:rPr>
                <w:color w:val="000000"/>
                <w:sz w:val="18"/>
                <w:szCs w:val="18"/>
              </w:rPr>
            </w:pPr>
            <w:r w:rsidRPr="00A459B8">
              <w:rPr>
                <w:color w:val="000000"/>
                <w:sz w:val="18"/>
                <w:szCs w:val="18"/>
              </w:rPr>
              <w:t>1 523</w:t>
            </w:r>
          </w:p>
        </w:tc>
      </w:tr>
      <w:tr w:rsidR="0024416E" w:rsidRPr="00A459B8" w14:paraId="04F4B190"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3115B2FD" w14:textId="77777777" w:rsidR="0024416E" w:rsidRPr="00A459B8" w:rsidRDefault="0024416E" w:rsidP="00A26D06">
            <w:pPr>
              <w:rPr>
                <w:color w:val="000000"/>
                <w:sz w:val="18"/>
                <w:szCs w:val="18"/>
              </w:rPr>
            </w:pPr>
            <w:r w:rsidRPr="00A459B8">
              <w:rPr>
                <w:color w:val="000000"/>
                <w:sz w:val="18"/>
                <w:szCs w:val="18"/>
              </w:rPr>
              <w:t>Konečná energetická spotreba – pôdohospodárstvo (ktoe)</w:t>
            </w:r>
          </w:p>
        </w:tc>
        <w:tc>
          <w:tcPr>
            <w:tcW w:w="1197" w:type="dxa"/>
            <w:tcBorders>
              <w:top w:val="nil"/>
              <w:left w:val="nil"/>
              <w:bottom w:val="single" w:sz="4" w:space="0" w:color="auto"/>
              <w:right w:val="single" w:sz="4" w:space="0" w:color="auto"/>
            </w:tcBorders>
            <w:shd w:val="clear" w:color="auto" w:fill="auto"/>
            <w:noWrap/>
            <w:vAlign w:val="center"/>
          </w:tcPr>
          <w:p w14:paraId="288059AC" w14:textId="77777777" w:rsidR="0024416E" w:rsidRPr="00A459B8" w:rsidRDefault="0024416E" w:rsidP="00A26D06">
            <w:pPr>
              <w:jc w:val="right"/>
              <w:rPr>
                <w:color w:val="000000"/>
                <w:sz w:val="18"/>
                <w:szCs w:val="18"/>
              </w:rPr>
            </w:pPr>
            <w:r w:rsidRPr="00A459B8">
              <w:rPr>
                <w:color w:val="000000"/>
                <w:sz w:val="18"/>
                <w:szCs w:val="18"/>
              </w:rPr>
              <w:t>137</w:t>
            </w:r>
          </w:p>
        </w:tc>
        <w:tc>
          <w:tcPr>
            <w:tcW w:w="1113" w:type="dxa"/>
            <w:tcBorders>
              <w:top w:val="nil"/>
              <w:left w:val="nil"/>
              <w:bottom w:val="single" w:sz="4" w:space="0" w:color="auto"/>
              <w:right w:val="single" w:sz="4" w:space="0" w:color="auto"/>
            </w:tcBorders>
            <w:shd w:val="clear" w:color="auto" w:fill="auto"/>
            <w:noWrap/>
            <w:vAlign w:val="center"/>
          </w:tcPr>
          <w:p w14:paraId="5EFCD314" w14:textId="77777777" w:rsidR="0024416E" w:rsidRPr="00A459B8" w:rsidRDefault="0024416E" w:rsidP="00A26D06">
            <w:pPr>
              <w:jc w:val="right"/>
              <w:rPr>
                <w:color w:val="000000"/>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243A9DEE" w14:textId="77777777" w:rsidR="0024416E" w:rsidRPr="00A459B8" w:rsidRDefault="0024416E" w:rsidP="00A26D06">
            <w:pPr>
              <w:jc w:val="right"/>
              <w:rPr>
                <w:color w:val="000000"/>
                <w:sz w:val="18"/>
                <w:szCs w:val="18"/>
              </w:rPr>
            </w:pPr>
            <w:r w:rsidRPr="00A459B8">
              <w:rPr>
                <w:color w:val="000000"/>
                <w:sz w:val="18"/>
                <w:szCs w:val="18"/>
              </w:rPr>
              <w:t>137</w:t>
            </w:r>
          </w:p>
        </w:tc>
        <w:tc>
          <w:tcPr>
            <w:tcW w:w="974" w:type="dxa"/>
            <w:tcBorders>
              <w:top w:val="nil"/>
              <w:left w:val="nil"/>
              <w:bottom w:val="single" w:sz="4" w:space="0" w:color="auto"/>
              <w:right w:val="single" w:sz="4" w:space="0" w:color="auto"/>
            </w:tcBorders>
            <w:shd w:val="clear" w:color="auto" w:fill="auto"/>
            <w:noWrap/>
            <w:vAlign w:val="center"/>
          </w:tcPr>
          <w:p w14:paraId="77C96A01" w14:textId="77777777" w:rsidR="0024416E" w:rsidRPr="00A459B8" w:rsidRDefault="0024416E" w:rsidP="00A26D06">
            <w:pPr>
              <w:jc w:val="right"/>
              <w:rPr>
                <w:color w:val="000000"/>
                <w:sz w:val="18"/>
                <w:szCs w:val="18"/>
              </w:rPr>
            </w:pPr>
            <w:r w:rsidRPr="00A459B8">
              <w:rPr>
                <w:color w:val="000000"/>
                <w:sz w:val="18"/>
                <w:szCs w:val="18"/>
              </w:rPr>
              <w:t>150</w:t>
            </w:r>
          </w:p>
        </w:tc>
      </w:tr>
      <w:tr w:rsidR="0024416E" w:rsidRPr="00A459B8" w14:paraId="72A78180"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tcPr>
          <w:p w14:paraId="6DF48F60" w14:textId="77777777" w:rsidR="0024416E" w:rsidRPr="00A459B8" w:rsidRDefault="0024416E" w:rsidP="00A26D06">
            <w:pPr>
              <w:rPr>
                <w:color w:val="000000"/>
                <w:sz w:val="18"/>
                <w:szCs w:val="18"/>
              </w:rPr>
            </w:pPr>
            <w:r w:rsidRPr="00A459B8">
              <w:rPr>
                <w:color w:val="000000"/>
                <w:sz w:val="18"/>
                <w:szCs w:val="18"/>
              </w:rPr>
              <w:t>Hrubá pridaná hodnota – priemysel (NACE Rev.2 B-F) - mil. E</w:t>
            </w:r>
            <w:r>
              <w:rPr>
                <w:color w:val="000000"/>
                <w:sz w:val="18"/>
                <w:szCs w:val="18"/>
              </w:rPr>
              <w:t>ur</w:t>
            </w:r>
            <w:r w:rsidRPr="00A459B8">
              <w:rPr>
                <w:color w:val="000000"/>
                <w:sz w:val="18"/>
                <w:szCs w:val="18"/>
              </w:rPr>
              <w:t xml:space="preserve"> v stálych cenách</w:t>
            </w:r>
            <w:r w:rsidRPr="00A459B8">
              <w:rPr>
                <w:color w:val="000000"/>
                <w:sz w:val="18"/>
                <w:szCs w:val="18"/>
                <w:vertAlign w:val="superscript"/>
              </w:rPr>
              <w:t>2)</w:t>
            </w:r>
          </w:p>
        </w:tc>
        <w:tc>
          <w:tcPr>
            <w:tcW w:w="1197" w:type="dxa"/>
            <w:tcBorders>
              <w:top w:val="nil"/>
              <w:left w:val="nil"/>
              <w:bottom w:val="single" w:sz="4" w:space="0" w:color="auto"/>
              <w:right w:val="single" w:sz="4" w:space="0" w:color="auto"/>
            </w:tcBorders>
            <w:shd w:val="clear" w:color="auto" w:fill="auto"/>
            <w:noWrap/>
            <w:vAlign w:val="bottom"/>
          </w:tcPr>
          <w:p w14:paraId="5A2D4405" w14:textId="77777777" w:rsidR="0024416E" w:rsidRPr="008A49E9" w:rsidRDefault="0024416E" w:rsidP="00A26D06">
            <w:pPr>
              <w:jc w:val="right"/>
              <w:rPr>
                <w:color w:val="000000"/>
                <w:sz w:val="18"/>
                <w:szCs w:val="18"/>
              </w:rPr>
            </w:pPr>
            <w:r w:rsidRPr="00A26D06">
              <w:rPr>
                <w:color w:val="000000"/>
                <w:sz w:val="18"/>
                <w:szCs w:val="18"/>
              </w:rPr>
              <w:t>24 277</w:t>
            </w:r>
          </w:p>
        </w:tc>
        <w:tc>
          <w:tcPr>
            <w:tcW w:w="1113" w:type="dxa"/>
            <w:tcBorders>
              <w:top w:val="nil"/>
              <w:left w:val="nil"/>
              <w:bottom w:val="single" w:sz="4" w:space="0" w:color="auto"/>
              <w:right w:val="single" w:sz="4" w:space="0" w:color="auto"/>
            </w:tcBorders>
            <w:shd w:val="clear" w:color="auto" w:fill="auto"/>
            <w:noWrap/>
            <w:vAlign w:val="bottom"/>
          </w:tcPr>
          <w:p w14:paraId="15974E42" w14:textId="77777777" w:rsidR="0024416E" w:rsidRPr="008A49E9" w:rsidRDefault="0024416E" w:rsidP="00A26D06">
            <w:pPr>
              <w:jc w:val="right"/>
              <w:rPr>
                <w:color w:val="000000"/>
                <w:sz w:val="18"/>
                <w:szCs w:val="18"/>
              </w:rPr>
            </w:pPr>
            <w:r w:rsidRPr="00A26D06">
              <w:rPr>
                <w:color w:val="000000"/>
                <w:sz w:val="18"/>
                <w:szCs w:val="18"/>
              </w:rPr>
              <w:t>26 133</w:t>
            </w:r>
          </w:p>
        </w:tc>
        <w:tc>
          <w:tcPr>
            <w:tcW w:w="1197" w:type="dxa"/>
            <w:tcBorders>
              <w:top w:val="nil"/>
              <w:left w:val="nil"/>
              <w:bottom w:val="single" w:sz="4" w:space="0" w:color="auto"/>
              <w:right w:val="single" w:sz="4" w:space="0" w:color="auto"/>
            </w:tcBorders>
            <w:shd w:val="clear" w:color="auto" w:fill="auto"/>
            <w:noWrap/>
            <w:vAlign w:val="bottom"/>
          </w:tcPr>
          <w:p w14:paraId="68A1F6AB" w14:textId="77777777" w:rsidR="0024416E" w:rsidRPr="008A49E9" w:rsidRDefault="0024416E" w:rsidP="00A26D06">
            <w:pPr>
              <w:jc w:val="right"/>
              <w:rPr>
                <w:color w:val="000000"/>
                <w:sz w:val="18"/>
                <w:szCs w:val="18"/>
              </w:rPr>
            </w:pPr>
            <w:r w:rsidRPr="00A26D06">
              <w:rPr>
                <w:color w:val="000000"/>
                <w:sz w:val="18"/>
                <w:szCs w:val="18"/>
              </w:rPr>
              <w:t>24 277</w:t>
            </w:r>
          </w:p>
        </w:tc>
        <w:tc>
          <w:tcPr>
            <w:tcW w:w="974" w:type="dxa"/>
            <w:tcBorders>
              <w:top w:val="nil"/>
              <w:left w:val="nil"/>
              <w:bottom w:val="single" w:sz="4" w:space="0" w:color="auto"/>
              <w:right w:val="single" w:sz="4" w:space="0" w:color="auto"/>
            </w:tcBorders>
            <w:shd w:val="clear" w:color="auto" w:fill="auto"/>
            <w:noWrap/>
            <w:vAlign w:val="bottom"/>
          </w:tcPr>
          <w:p w14:paraId="2880DCE8" w14:textId="77777777" w:rsidR="0024416E" w:rsidRPr="008A49E9" w:rsidRDefault="0024416E" w:rsidP="00A26D06">
            <w:pPr>
              <w:jc w:val="right"/>
              <w:rPr>
                <w:color w:val="000000"/>
                <w:sz w:val="18"/>
                <w:szCs w:val="18"/>
              </w:rPr>
            </w:pPr>
            <w:r w:rsidRPr="00A26D06">
              <w:rPr>
                <w:color w:val="000000"/>
                <w:sz w:val="18"/>
                <w:szCs w:val="18"/>
              </w:rPr>
              <w:t>26 133</w:t>
            </w:r>
          </w:p>
        </w:tc>
      </w:tr>
      <w:tr w:rsidR="0024416E" w:rsidRPr="00A459B8" w14:paraId="30D23AE1"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tcPr>
          <w:p w14:paraId="1F2007CF" w14:textId="77777777" w:rsidR="0024416E" w:rsidRPr="00A459B8" w:rsidRDefault="0024416E" w:rsidP="00A26D06">
            <w:pPr>
              <w:rPr>
                <w:color w:val="000000"/>
                <w:sz w:val="18"/>
                <w:szCs w:val="18"/>
              </w:rPr>
            </w:pPr>
            <w:r w:rsidRPr="00A459B8">
              <w:rPr>
                <w:color w:val="000000"/>
                <w:sz w:val="18"/>
                <w:szCs w:val="18"/>
              </w:rPr>
              <w:t>Hrubá pridaná hodnota – služby (NACE Rev.2 G-U)  - mil. E</w:t>
            </w:r>
            <w:r>
              <w:rPr>
                <w:color w:val="000000"/>
                <w:sz w:val="18"/>
                <w:szCs w:val="18"/>
              </w:rPr>
              <w:t>ur</w:t>
            </w:r>
            <w:r w:rsidR="00690E45">
              <w:rPr>
                <w:color w:val="000000"/>
                <w:sz w:val="18"/>
                <w:szCs w:val="18"/>
              </w:rPr>
              <w:t xml:space="preserve"> </w:t>
            </w:r>
            <w:r w:rsidRPr="00A459B8">
              <w:rPr>
                <w:color w:val="000000"/>
                <w:sz w:val="18"/>
                <w:szCs w:val="18"/>
              </w:rPr>
              <w:t>v stálych cenách</w:t>
            </w:r>
            <w:r w:rsidRPr="00A459B8">
              <w:rPr>
                <w:color w:val="000000"/>
                <w:sz w:val="18"/>
                <w:szCs w:val="18"/>
                <w:vertAlign w:val="superscript"/>
              </w:rPr>
              <w:t>2)</w:t>
            </w:r>
          </w:p>
        </w:tc>
        <w:tc>
          <w:tcPr>
            <w:tcW w:w="1197" w:type="dxa"/>
            <w:tcBorders>
              <w:top w:val="nil"/>
              <w:left w:val="nil"/>
              <w:bottom w:val="single" w:sz="4" w:space="0" w:color="auto"/>
              <w:right w:val="single" w:sz="4" w:space="0" w:color="auto"/>
            </w:tcBorders>
            <w:shd w:val="clear" w:color="auto" w:fill="auto"/>
            <w:noWrap/>
            <w:vAlign w:val="bottom"/>
          </w:tcPr>
          <w:p w14:paraId="2AD850DD" w14:textId="77777777" w:rsidR="0024416E" w:rsidRPr="008A49E9" w:rsidRDefault="0024416E" w:rsidP="00A26D06">
            <w:pPr>
              <w:jc w:val="right"/>
              <w:rPr>
                <w:color w:val="000000"/>
                <w:sz w:val="18"/>
                <w:szCs w:val="18"/>
              </w:rPr>
            </w:pPr>
            <w:r w:rsidRPr="00A26D06">
              <w:rPr>
                <w:color w:val="000000"/>
                <w:sz w:val="18"/>
                <w:szCs w:val="18"/>
              </w:rPr>
              <w:t>39 381</w:t>
            </w:r>
          </w:p>
        </w:tc>
        <w:tc>
          <w:tcPr>
            <w:tcW w:w="1113" w:type="dxa"/>
            <w:tcBorders>
              <w:top w:val="nil"/>
              <w:left w:val="nil"/>
              <w:bottom w:val="single" w:sz="4" w:space="0" w:color="auto"/>
              <w:right w:val="single" w:sz="4" w:space="0" w:color="auto"/>
            </w:tcBorders>
            <w:shd w:val="clear" w:color="auto" w:fill="auto"/>
            <w:noWrap/>
            <w:vAlign w:val="bottom"/>
          </w:tcPr>
          <w:p w14:paraId="47A2FEC2" w14:textId="77777777" w:rsidR="0024416E" w:rsidRPr="008A49E9" w:rsidRDefault="0024416E" w:rsidP="00A26D06">
            <w:pPr>
              <w:jc w:val="right"/>
              <w:rPr>
                <w:color w:val="000000"/>
                <w:sz w:val="18"/>
                <w:szCs w:val="18"/>
              </w:rPr>
            </w:pPr>
            <w:r w:rsidRPr="00A26D06">
              <w:rPr>
                <w:color w:val="000000"/>
                <w:sz w:val="18"/>
                <w:szCs w:val="18"/>
              </w:rPr>
              <w:t>40 317</w:t>
            </w:r>
          </w:p>
        </w:tc>
        <w:tc>
          <w:tcPr>
            <w:tcW w:w="1197" w:type="dxa"/>
            <w:tcBorders>
              <w:top w:val="nil"/>
              <w:left w:val="nil"/>
              <w:bottom w:val="single" w:sz="4" w:space="0" w:color="auto"/>
              <w:right w:val="single" w:sz="4" w:space="0" w:color="auto"/>
            </w:tcBorders>
            <w:shd w:val="clear" w:color="auto" w:fill="auto"/>
            <w:noWrap/>
            <w:vAlign w:val="bottom"/>
          </w:tcPr>
          <w:p w14:paraId="53143576" w14:textId="77777777" w:rsidR="0024416E" w:rsidRPr="008A49E9" w:rsidRDefault="0024416E" w:rsidP="00A26D06">
            <w:pPr>
              <w:jc w:val="right"/>
              <w:rPr>
                <w:color w:val="000000"/>
                <w:sz w:val="18"/>
                <w:szCs w:val="18"/>
              </w:rPr>
            </w:pPr>
            <w:r w:rsidRPr="00A26D06">
              <w:rPr>
                <w:color w:val="000000"/>
                <w:sz w:val="18"/>
                <w:szCs w:val="18"/>
              </w:rPr>
              <w:t>39 381</w:t>
            </w:r>
          </w:p>
        </w:tc>
        <w:tc>
          <w:tcPr>
            <w:tcW w:w="974" w:type="dxa"/>
            <w:tcBorders>
              <w:top w:val="nil"/>
              <w:left w:val="nil"/>
              <w:bottom w:val="single" w:sz="4" w:space="0" w:color="auto"/>
              <w:right w:val="single" w:sz="4" w:space="0" w:color="auto"/>
            </w:tcBorders>
            <w:shd w:val="clear" w:color="auto" w:fill="auto"/>
            <w:noWrap/>
            <w:vAlign w:val="bottom"/>
          </w:tcPr>
          <w:p w14:paraId="4953D9AA" w14:textId="77777777" w:rsidR="0024416E" w:rsidRPr="008A49E9" w:rsidRDefault="0024416E" w:rsidP="00A26D06">
            <w:pPr>
              <w:jc w:val="right"/>
              <w:rPr>
                <w:color w:val="000000"/>
                <w:sz w:val="18"/>
                <w:szCs w:val="18"/>
              </w:rPr>
            </w:pPr>
            <w:r w:rsidRPr="00A26D06">
              <w:rPr>
                <w:color w:val="000000"/>
                <w:sz w:val="18"/>
                <w:szCs w:val="18"/>
              </w:rPr>
              <w:t>40 317</w:t>
            </w:r>
          </w:p>
        </w:tc>
      </w:tr>
      <w:tr w:rsidR="0024416E" w:rsidRPr="00A459B8" w14:paraId="049974E1" w14:textId="77777777" w:rsidTr="00A26D06">
        <w:trPr>
          <w:trHeight w:val="300"/>
        </w:trPr>
        <w:tc>
          <w:tcPr>
            <w:tcW w:w="4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9A7B4" w14:textId="77777777" w:rsidR="0024416E" w:rsidRPr="00A459B8" w:rsidRDefault="0024416E" w:rsidP="00A26D06">
            <w:pPr>
              <w:rPr>
                <w:color w:val="000000"/>
                <w:sz w:val="18"/>
                <w:szCs w:val="18"/>
              </w:rPr>
            </w:pPr>
            <w:r w:rsidRPr="00A459B8">
              <w:rPr>
                <w:color w:val="000000"/>
                <w:sz w:val="18"/>
                <w:szCs w:val="18"/>
              </w:rPr>
              <w:t>Hrubý disponibilný dôchodok (mil. E</w:t>
            </w:r>
            <w:r>
              <w:rPr>
                <w:color w:val="000000"/>
                <w:sz w:val="18"/>
                <w:szCs w:val="18"/>
              </w:rPr>
              <w:t>ur</w:t>
            </w:r>
            <w:r w:rsidRPr="00A459B8">
              <w:rPr>
                <w:color w:val="000000"/>
                <w:sz w:val="18"/>
                <w:szCs w:val="18"/>
              </w:rPr>
              <w:t>)</w:t>
            </w:r>
          </w:p>
        </w:tc>
        <w:tc>
          <w:tcPr>
            <w:tcW w:w="1197" w:type="dxa"/>
            <w:tcBorders>
              <w:top w:val="nil"/>
              <w:left w:val="nil"/>
              <w:bottom w:val="single" w:sz="4" w:space="0" w:color="auto"/>
              <w:right w:val="single" w:sz="4" w:space="0" w:color="auto"/>
            </w:tcBorders>
            <w:shd w:val="clear" w:color="auto" w:fill="auto"/>
            <w:noWrap/>
            <w:vAlign w:val="bottom"/>
          </w:tcPr>
          <w:p w14:paraId="35134F53" w14:textId="77777777" w:rsidR="0024416E" w:rsidRPr="008A49E9" w:rsidRDefault="0024416E" w:rsidP="00A26D06">
            <w:pPr>
              <w:jc w:val="right"/>
              <w:rPr>
                <w:color w:val="000000"/>
                <w:sz w:val="18"/>
                <w:szCs w:val="18"/>
              </w:rPr>
            </w:pPr>
            <w:r w:rsidRPr="00A26D06">
              <w:rPr>
                <w:color w:val="000000"/>
                <w:sz w:val="18"/>
                <w:szCs w:val="18"/>
              </w:rPr>
              <w:t> 45 067</w:t>
            </w:r>
          </w:p>
        </w:tc>
        <w:tc>
          <w:tcPr>
            <w:tcW w:w="1113" w:type="dxa"/>
            <w:tcBorders>
              <w:top w:val="nil"/>
              <w:left w:val="nil"/>
              <w:bottom w:val="single" w:sz="4" w:space="0" w:color="auto"/>
              <w:right w:val="single" w:sz="4" w:space="0" w:color="auto"/>
            </w:tcBorders>
            <w:shd w:val="clear" w:color="auto" w:fill="auto"/>
            <w:vAlign w:val="bottom"/>
          </w:tcPr>
          <w:p w14:paraId="40D70010" w14:textId="77777777" w:rsidR="0024416E" w:rsidRPr="008A49E9" w:rsidRDefault="0024416E" w:rsidP="00A26D06">
            <w:pPr>
              <w:jc w:val="right"/>
              <w:rPr>
                <w:color w:val="000000"/>
                <w:sz w:val="18"/>
                <w:szCs w:val="18"/>
              </w:rPr>
            </w:pPr>
            <w:r w:rsidRPr="00A26D06">
              <w:rPr>
                <w:color w:val="000000"/>
                <w:sz w:val="18"/>
                <w:szCs w:val="18"/>
              </w:rPr>
              <w:t>46 827</w:t>
            </w:r>
          </w:p>
        </w:tc>
        <w:tc>
          <w:tcPr>
            <w:tcW w:w="1197" w:type="dxa"/>
            <w:tcBorders>
              <w:top w:val="nil"/>
              <w:left w:val="nil"/>
              <w:bottom w:val="single" w:sz="4" w:space="0" w:color="auto"/>
              <w:right w:val="single" w:sz="4" w:space="0" w:color="auto"/>
            </w:tcBorders>
            <w:shd w:val="clear" w:color="auto" w:fill="auto"/>
            <w:noWrap/>
            <w:vAlign w:val="bottom"/>
          </w:tcPr>
          <w:p w14:paraId="132A48A5" w14:textId="77777777" w:rsidR="0024416E" w:rsidRPr="008A49E9" w:rsidRDefault="0024416E" w:rsidP="00A26D06">
            <w:pPr>
              <w:jc w:val="right"/>
              <w:rPr>
                <w:color w:val="000000"/>
                <w:sz w:val="18"/>
                <w:szCs w:val="18"/>
              </w:rPr>
            </w:pPr>
            <w:r w:rsidRPr="00A26D06">
              <w:rPr>
                <w:color w:val="000000"/>
                <w:sz w:val="18"/>
                <w:szCs w:val="18"/>
              </w:rPr>
              <w:t> 45 067</w:t>
            </w:r>
          </w:p>
        </w:tc>
        <w:tc>
          <w:tcPr>
            <w:tcW w:w="974" w:type="dxa"/>
            <w:tcBorders>
              <w:top w:val="nil"/>
              <w:left w:val="nil"/>
              <w:bottom w:val="single" w:sz="4" w:space="0" w:color="auto"/>
              <w:right w:val="single" w:sz="4" w:space="0" w:color="auto"/>
            </w:tcBorders>
            <w:shd w:val="clear" w:color="auto" w:fill="auto"/>
            <w:noWrap/>
            <w:vAlign w:val="bottom"/>
          </w:tcPr>
          <w:p w14:paraId="5831ABD2" w14:textId="77777777" w:rsidR="0024416E" w:rsidRPr="008A49E9" w:rsidRDefault="0024416E" w:rsidP="00A26D06">
            <w:pPr>
              <w:jc w:val="right"/>
              <w:rPr>
                <w:color w:val="000000"/>
                <w:sz w:val="18"/>
                <w:szCs w:val="18"/>
              </w:rPr>
            </w:pPr>
            <w:r w:rsidRPr="00A26D06">
              <w:rPr>
                <w:color w:val="000000"/>
                <w:sz w:val="18"/>
                <w:szCs w:val="18"/>
              </w:rPr>
              <w:t>46 827</w:t>
            </w:r>
          </w:p>
        </w:tc>
      </w:tr>
      <w:tr w:rsidR="0024416E" w:rsidRPr="00A459B8" w14:paraId="66EC6C30" w14:textId="77777777" w:rsidTr="00A26D06">
        <w:trPr>
          <w:trHeight w:val="300"/>
        </w:trPr>
        <w:tc>
          <w:tcPr>
            <w:tcW w:w="4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58A32" w14:textId="77777777" w:rsidR="0024416E" w:rsidRPr="00A459B8" w:rsidRDefault="0024416E" w:rsidP="00A26D06">
            <w:pPr>
              <w:rPr>
                <w:color w:val="000000"/>
                <w:sz w:val="18"/>
                <w:szCs w:val="18"/>
              </w:rPr>
            </w:pPr>
            <w:r w:rsidRPr="00A459B8">
              <w:rPr>
                <w:color w:val="000000"/>
                <w:sz w:val="18"/>
                <w:szCs w:val="18"/>
              </w:rPr>
              <w:t>Hrubý domáci produkt (HDP)- v stálych cenách</w:t>
            </w:r>
            <w:r w:rsidRPr="00A459B8" w:rsidDel="00731F9C">
              <w:rPr>
                <w:color w:val="000000"/>
                <w:sz w:val="18"/>
                <w:szCs w:val="18"/>
              </w:rPr>
              <w:t xml:space="preserve"> </w:t>
            </w:r>
            <w:r w:rsidRPr="00A459B8">
              <w:rPr>
                <w:color w:val="000000"/>
                <w:sz w:val="18"/>
                <w:szCs w:val="18"/>
              </w:rPr>
              <w:t>(mil. E</w:t>
            </w:r>
            <w:r>
              <w:rPr>
                <w:color w:val="000000"/>
                <w:sz w:val="18"/>
                <w:szCs w:val="18"/>
              </w:rPr>
              <w:t>ur</w:t>
            </w:r>
            <w:r w:rsidRPr="00A459B8">
              <w:rPr>
                <w:color w:val="000000"/>
                <w:sz w:val="18"/>
                <w:szCs w:val="18"/>
              </w:rPr>
              <w:t>)</w:t>
            </w:r>
            <w:r w:rsidRPr="00A459B8">
              <w:rPr>
                <w:color w:val="000000"/>
                <w:sz w:val="18"/>
                <w:szCs w:val="18"/>
                <w:vertAlign w:val="superscript"/>
              </w:rPr>
              <w:t>2)</w:t>
            </w:r>
          </w:p>
        </w:tc>
        <w:tc>
          <w:tcPr>
            <w:tcW w:w="1197" w:type="dxa"/>
            <w:tcBorders>
              <w:top w:val="nil"/>
              <w:left w:val="nil"/>
              <w:bottom w:val="single" w:sz="4" w:space="0" w:color="auto"/>
              <w:right w:val="single" w:sz="4" w:space="0" w:color="auto"/>
            </w:tcBorders>
            <w:shd w:val="clear" w:color="auto" w:fill="auto"/>
            <w:noWrap/>
            <w:vAlign w:val="bottom"/>
          </w:tcPr>
          <w:p w14:paraId="51336B51" w14:textId="77777777" w:rsidR="0024416E" w:rsidRPr="008A49E9" w:rsidRDefault="0024416E" w:rsidP="00A26D06">
            <w:pPr>
              <w:jc w:val="right"/>
              <w:rPr>
                <w:color w:val="000000"/>
                <w:sz w:val="18"/>
                <w:szCs w:val="18"/>
              </w:rPr>
            </w:pPr>
            <w:r w:rsidRPr="00A26D06">
              <w:rPr>
                <w:color w:val="000000"/>
                <w:sz w:val="18"/>
                <w:szCs w:val="18"/>
              </w:rPr>
              <w:t> 73 530</w:t>
            </w:r>
          </w:p>
        </w:tc>
        <w:tc>
          <w:tcPr>
            <w:tcW w:w="1113" w:type="dxa"/>
            <w:tcBorders>
              <w:top w:val="nil"/>
              <w:left w:val="nil"/>
              <w:bottom w:val="single" w:sz="4" w:space="0" w:color="auto"/>
              <w:right w:val="single" w:sz="4" w:space="0" w:color="auto"/>
            </w:tcBorders>
            <w:shd w:val="clear" w:color="auto" w:fill="auto"/>
            <w:noWrap/>
            <w:vAlign w:val="bottom"/>
          </w:tcPr>
          <w:p w14:paraId="3CA8E362" w14:textId="77777777" w:rsidR="0024416E" w:rsidRPr="008A49E9" w:rsidRDefault="0024416E" w:rsidP="00A26D06">
            <w:pPr>
              <w:jc w:val="right"/>
              <w:rPr>
                <w:color w:val="000000"/>
                <w:sz w:val="18"/>
                <w:szCs w:val="18"/>
              </w:rPr>
            </w:pPr>
            <w:r w:rsidRPr="00A26D06">
              <w:rPr>
                <w:color w:val="000000"/>
                <w:sz w:val="18"/>
                <w:szCs w:val="18"/>
              </w:rPr>
              <w:t>76 347</w:t>
            </w:r>
          </w:p>
        </w:tc>
        <w:tc>
          <w:tcPr>
            <w:tcW w:w="1197" w:type="dxa"/>
            <w:tcBorders>
              <w:top w:val="nil"/>
              <w:left w:val="nil"/>
              <w:bottom w:val="single" w:sz="4" w:space="0" w:color="auto"/>
              <w:right w:val="single" w:sz="4" w:space="0" w:color="auto"/>
            </w:tcBorders>
            <w:shd w:val="clear" w:color="auto" w:fill="auto"/>
            <w:noWrap/>
            <w:vAlign w:val="bottom"/>
          </w:tcPr>
          <w:p w14:paraId="36280217" w14:textId="77777777" w:rsidR="0024416E" w:rsidRPr="008A49E9" w:rsidRDefault="0024416E" w:rsidP="00A26D06">
            <w:pPr>
              <w:jc w:val="right"/>
              <w:rPr>
                <w:color w:val="000000"/>
                <w:sz w:val="18"/>
                <w:szCs w:val="18"/>
              </w:rPr>
            </w:pPr>
            <w:r w:rsidRPr="00A26D06">
              <w:rPr>
                <w:color w:val="000000"/>
                <w:sz w:val="18"/>
                <w:szCs w:val="18"/>
              </w:rPr>
              <w:t> 73 530</w:t>
            </w:r>
          </w:p>
        </w:tc>
        <w:tc>
          <w:tcPr>
            <w:tcW w:w="974" w:type="dxa"/>
            <w:tcBorders>
              <w:top w:val="nil"/>
              <w:left w:val="nil"/>
              <w:bottom w:val="single" w:sz="4" w:space="0" w:color="auto"/>
              <w:right w:val="single" w:sz="4" w:space="0" w:color="auto"/>
            </w:tcBorders>
            <w:shd w:val="clear" w:color="auto" w:fill="auto"/>
            <w:noWrap/>
            <w:vAlign w:val="bottom"/>
          </w:tcPr>
          <w:p w14:paraId="37E4FDE1" w14:textId="77777777" w:rsidR="0024416E" w:rsidRPr="008A49E9" w:rsidRDefault="0024416E" w:rsidP="00A26D06">
            <w:pPr>
              <w:jc w:val="right"/>
              <w:rPr>
                <w:color w:val="000000"/>
                <w:sz w:val="18"/>
                <w:szCs w:val="18"/>
              </w:rPr>
            </w:pPr>
            <w:r w:rsidRPr="00A26D06">
              <w:rPr>
                <w:color w:val="000000"/>
                <w:sz w:val="18"/>
                <w:szCs w:val="18"/>
              </w:rPr>
              <w:t>76 347</w:t>
            </w:r>
          </w:p>
        </w:tc>
      </w:tr>
      <w:tr w:rsidR="0024416E" w:rsidRPr="00A459B8" w14:paraId="2BD7230B"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16FF6A45" w14:textId="77777777" w:rsidR="0024416E" w:rsidRPr="00A459B8" w:rsidRDefault="0024416E" w:rsidP="00A26D06">
            <w:pPr>
              <w:rPr>
                <w:color w:val="000000"/>
                <w:sz w:val="18"/>
                <w:szCs w:val="18"/>
              </w:rPr>
            </w:pPr>
            <w:r w:rsidRPr="00A459B8">
              <w:rPr>
                <w:color w:val="000000"/>
                <w:sz w:val="18"/>
                <w:szCs w:val="18"/>
              </w:rPr>
              <w:t>Výroba elektriny v tepelných elektrárňach</w:t>
            </w:r>
            <w:r w:rsidRPr="00A459B8">
              <w:rPr>
                <w:color w:val="000000"/>
                <w:sz w:val="18"/>
                <w:szCs w:val="18"/>
                <w:vertAlign w:val="superscript"/>
              </w:rPr>
              <w:t>3)</w:t>
            </w:r>
            <w:r w:rsidRPr="00A459B8">
              <w:rPr>
                <w:color w:val="000000"/>
                <w:sz w:val="18"/>
                <w:szCs w:val="18"/>
              </w:rPr>
              <w:t xml:space="preserve"> (ktoe)</w:t>
            </w:r>
          </w:p>
        </w:tc>
        <w:tc>
          <w:tcPr>
            <w:tcW w:w="1197" w:type="dxa"/>
            <w:tcBorders>
              <w:top w:val="nil"/>
              <w:left w:val="nil"/>
              <w:bottom w:val="single" w:sz="4" w:space="0" w:color="auto"/>
              <w:right w:val="single" w:sz="4" w:space="0" w:color="auto"/>
            </w:tcBorders>
            <w:shd w:val="clear" w:color="auto" w:fill="auto"/>
            <w:noWrap/>
            <w:vAlign w:val="center"/>
          </w:tcPr>
          <w:p w14:paraId="5F9CA411" w14:textId="77777777" w:rsidR="0024416E" w:rsidRPr="00A459B8" w:rsidRDefault="0024416E" w:rsidP="00A26D06">
            <w:pPr>
              <w:jc w:val="right"/>
              <w:rPr>
                <w:color w:val="000000"/>
                <w:sz w:val="18"/>
                <w:szCs w:val="18"/>
              </w:rPr>
            </w:pPr>
            <w:r w:rsidRPr="00A459B8">
              <w:rPr>
                <w:color w:val="000000"/>
                <w:sz w:val="18"/>
                <w:szCs w:val="18"/>
              </w:rPr>
              <w:t>1 921</w:t>
            </w:r>
          </w:p>
        </w:tc>
        <w:tc>
          <w:tcPr>
            <w:tcW w:w="1113" w:type="dxa"/>
            <w:tcBorders>
              <w:top w:val="nil"/>
              <w:left w:val="nil"/>
              <w:bottom w:val="single" w:sz="4" w:space="0" w:color="auto"/>
              <w:right w:val="single" w:sz="4" w:space="0" w:color="auto"/>
            </w:tcBorders>
            <w:shd w:val="clear" w:color="auto" w:fill="auto"/>
            <w:noWrap/>
            <w:vAlign w:val="center"/>
          </w:tcPr>
          <w:p w14:paraId="174F1990" w14:textId="77777777" w:rsidR="0024416E" w:rsidRPr="00A459B8" w:rsidRDefault="0024416E" w:rsidP="00A26D06">
            <w:pPr>
              <w:jc w:val="right"/>
              <w:rPr>
                <w:color w:val="000000"/>
                <w:sz w:val="18"/>
                <w:szCs w:val="18"/>
              </w:rPr>
            </w:pPr>
          </w:p>
        </w:tc>
        <w:tc>
          <w:tcPr>
            <w:tcW w:w="1197" w:type="dxa"/>
            <w:tcBorders>
              <w:top w:val="nil"/>
              <w:left w:val="nil"/>
              <w:bottom w:val="single" w:sz="4" w:space="0" w:color="auto"/>
              <w:right w:val="single" w:sz="4" w:space="0" w:color="auto"/>
            </w:tcBorders>
            <w:shd w:val="clear" w:color="auto" w:fill="auto"/>
            <w:noWrap/>
          </w:tcPr>
          <w:p w14:paraId="509466AE" w14:textId="77777777" w:rsidR="0024416E" w:rsidRPr="00A459B8" w:rsidRDefault="0024416E" w:rsidP="00A26D06">
            <w:pPr>
              <w:rPr>
                <w:color w:val="000000"/>
                <w:sz w:val="18"/>
                <w:szCs w:val="18"/>
              </w:rPr>
            </w:pPr>
            <w:r w:rsidRPr="00A459B8">
              <w:rPr>
                <w:color w:val="000000"/>
                <w:sz w:val="18"/>
                <w:szCs w:val="18"/>
              </w:rPr>
              <w:t>**</w:t>
            </w:r>
          </w:p>
        </w:tc>
        <w:tc>
          <w:tcPr>
            <w:tcW w:w="974" w:type="dxa"/>
            <w:tcBorders>
              <w:top w:val="nil"/>
              <w:left w:val="nil"/>
              <w:bottom w:val="single" w:sz="4" w:space="0" w:color="auto"/>
              <w:right w:val="single" w:sz="4" w:space="0" w:color="auto"/>
            </w:tcBorders>
            <w:shd w:val="clear" w:color="auto" w:fill="auto"/>
            <w:noWrap/>
          </w:tcPr>
          <w:p w14:paraId="6833F1FB" w14:textId="77777777" w:rsidR="0024416E" w:rsidRPr="00247896" w:rsidRDefault="0024416E" w:rsidP="00A26D06">
            <w:pPr>
              <w:rPr>
                <w:color w:val="000000"/>
                <w:sz w:val="18"/>
                <w:szCs w:val="18"/>
              </w:rPr>
            </w:pPr>
            <w:r w:rsidRPr="00247896">
              <w:rPr>
                <w:color w:val="000000"/>
                <w:sz w:val="18"/>
                <w:szCs w:val="18"/>
              </w:rPr>
              <w:t>**</w:t>
            </w:r>
          </w:p>
        </w:tc>
      </w:tr>
      <w:tr w:rsidR="0024416E" w:rsidRPr="00A459B8" w14:paraId="0356C6E0"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7768364F" w14:textId="77777777" w:rsidR="0024416E" w:rsidRPr="00A459B8" w:rsidRDefault="0024416E" w:rsidP="00A26D06">
            <w:pPr>
              <w:rPr>
                <w:color w:val="000000"/>
                <w:sz w:val="18"/>
                <w:szCs w:val="18"/>
              </w:rPr>
            </w:pPr>
            <w:r w:rsidRPr="00A459B8">
              <w:rPr>
                <w:color w:val="000000"/>
                <w:sz w:val="18"/>
                <w:szCs w:val="18"/>
              </w:rPr>
              <w:t>Výroba elektriny z KVET</w:t>
            </w:r>
            <w:r w:rsidRPr="00A459B8">
              <w:rPr>
                <w:color w:val="000000"/>
                <w:sz w:val="18"/>
                <w:szCs w:val="18"/>
                <w:vertAlign w:val="superscript"/>
              </w:rPr>
              <w:t>4)</w:t>
            </w:r>
            <w:r w:rsidRPr="00A459B8">
              <w:rPr>
                <w:color w:val="000000"/>
                <w:sz w:val="18"/>
                <w:szCs w:val="18"/>
              </w:rPr>
              <w:t xml:space="preserve"> (ktoe)</w:t>
            </w:r>
          </w:p>
        </w:tc>
        <w:tc>
          <w:tcPr>
            <w:tcW w:w="1197" w:type="dxa"/>
            <w:tcBorders>
              <w:top w:val="nil"/>
              <w:left w:val="nil"/>
              <w:bottom w:val="single" w:sz="4" w:space="0" w:color="auto"/>
              <w:right w:val="single" w:sz="4" w:space="0" w:color="auto"/>
            </w:tcBorders>
            <w:shd w:val="clear" w:color="auto" w:fill="auto"/>
            <w:noWrap/>
            <w:vAlign w:val="center"/>
          </w:tcPr>
          <w:p w14:paraId="73F86251" w14:textId="77777777" w:rsidR="0024416E" w:rsidRPr="00A459B8" w:rsidRDefault="0024416E" w:rsidP="00A26D06">
            <w:pPr>
              <w:jc w:val="right"/>
              <w:rPr>
                <w:color w:val="000000"/>
                <w:sz w:val="18"/>
                <w:szCs w:val="18"/>
              </w:rPr>
            </w:pPr>
            <w:r w:rsidRPr="00A459B8">
              <w:rPr>
                <w:color w:val="000000"/>
                <w:sz w:val="18"/>
                <w:szCs w:val="18"/>
              </w:rPr>
              <w:t>1 495</w:t>
            </w:r>
          </w:p>
        </w:tc>
        <w:tc>
          <w:tcPr>
            <w:tcW w:w="1113" w:type="dxa"/>
            <w:tcBorders>
              <w:top w:val="nil"/>
              <w:left w:val="nil"/>
              <w:bottom w:val="single" w:sz="4" w:space="0" w:color="auto"/>
              <w:right w:val="single" w:sz="4" w:space="0" w:color="auto"/>
            </w:tcBorders>
            <w:shd w:val="clear" w:color="auto" w:fill="auto"/>
            <w:noWrap/>
            <w:vAlign w:val="center"/>
          </w:tcPr>
          <w:p w14:paraId="1AE0B3BD" w14:textId="77777777" w:rsidR="0024416E" w:rsidRPr="00A459B8" w:rsidRDefault="0024416E" w:rsidP="00A26D06">
            <w:pPr>
              <w:jc w:val="right"/>
              <w:rPr>
                <w:color w:val="000000"/>
                <w:sz w:val="18"/>
                <w:szCs w:val="18"/>
              </w:rPr>
            </w:pPr>
          </w:p>
        </w:tc>
        <w:tc>
          <w:tcPr>
            <w:tcW w:w="1197" w:type="dxa"/>
            <w:tcBorders>
              <w:top w:val="nil"/>
              <w:left w:val="nil"/>
              <w:bottom w:val="single" w:sz="4" w:space="0" w:color="auto"/>
              <w:right w:val="single" w:sz="4" w:space="0" w:color="auto"/>
            </w:tcBorders>
            <w:shd w:val="clear" w:color="auto" w:fill="auto"/>
            <w:noWrap/>
          </w:tcPr>
          <w:p w14:paraId="395C2C4F" w14:textId="77777777" w:rsidR="0024416E" w:rsidRPr="00A459B8" w:rsidRDefault="0024416E" w:rsidP="00A26D06">
            <w:pPr>
              <w:rPr>
                <w:color w:val="000000"/>
                <w:sz w:val="18"/>
                <w:szCs w:val="18"/>
              </w:rPr>
            </w:pPr>
            <w:r w:rsidRPr="00A459B8">
              <w:rPr>
                <w:color w:val="000000"/>
                <w:sz w:val="18"/>
                <w:szCs w:val="18"/>
              </w:rPr>
              <w:t>**</w:t>
            </w:r>
          </w:p>
        </w:tc>
        <w:tc>
          <w:tcPr>
            <w:tcW w:w="974" w:type="dxa"/>
            <w:tcBorders>
              <w:top w:val="nil"/>
              <w:left w:val="nil"/>
              <w:bottom w:val="single" w:sz="4" w:space="0" w:color="auto"/>
              <w:right w:val="single" w:sz="4" w:space="0" w:color="auto"/>
            </w:tcBorders>
            <w:shd w:val="clear" w:color="auto" w:fill="auto"/>
            <w:noWrap/>
          </w:tcPr>
          <w:p w14:paraId="201C9397" w14:textId="77777777" w:rsidR="0024416E" w:rsidRPr="00247896" w:rsidRDefault="0024416E" w:rsidP="00A26D06">
            <w:pPr>
              <w:rPr>
                <w:color w:val="000000"/>
                <w:sz w:val="18"/>
                <w:szCs w:val="18"/>
              </w:rPr>
            </w:pPr>
            <w:r w:rsidRPr="00247896">
              <w:rPr>
                <w:color w:val="000000"/>
                <w:sz w:val="18"/>
                <w:szCs w:val="18"/>
              </w:rPr>
              <w:t>**</w:t>
            </w:r>
          </w:p>
        </w:tc>
      </w:tr>
      <w:tr w:rsidR="0024416E" w:rsidRPr="00A459B8" w14:paraId="1124FB56"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331829A3" w14:textId="77777777" w:rsidR="0024416E" w:rsidRPr="00A459B8" w:rsidRDefault="0024416E" w:rsidP="00A26D06">
            <w:pPr>
              <w:rPr>
                <w:color w:val="000000"/>
                <w:sz w:val="18"/>
                <w:szCs w:val="18"/>
              </w:rPr>
            </w:pPr>
            <w:r w:rsidRPr="00A459B8">
              <w:rPr>
                <w:color w:val="000000"/>
                <w:sz w:val="18"/>
                <w:szCs w:val="18"/>
              </w:rPr>
              <w:t>Výroba tepla v tepelných zariadeniach</w:t>
            </w:r>
            <w:r w:rsidRPr="00A459B8">
              <w:rPr>
                <w:color w:val="000000"/>
                <w:sz w:val="18"/>
                <w:szCs w:val="18"/>
                <w:vertAlign w:val="superscript"/>
              </w:rPr>
              <w:t>5)</w:t>
            </w:r>
            <w:r w:rsidRPr="00A459B8">
              <w:rPr>
                <w:color w:val="000000"/>
                <w:sz w:val="18"/>
                <w:szCs w:val="18"/>
              </w:rPr>
              <w:t xml:space="preserve"> (ktoe)</w:t>
            </w:r>
          </w:p>
        </w:tc>
        <w:tc>
          <w:tcPr>
            <w:tcW w:w="1197" w:type="dxa"/>
            <w:tcBorders>
              <w:top w:val="nil"/>
              <w:left w:val="nil"/>
              <w:bottom w:val="single" w:sz="4" w:space="0" w:color="auto"/>
              <w:right w:val="single" w:sz="4" w:space="0" w:color="auto"/>
            </w:tcBorders>
            <w:shd w:val="clear" w:color="auto" w:fill="auto"/>
            <w:noWrap/>
            <w:vAlign w:val="center"/>
          </w:tcPr>
          <w:p w14:paraId="410216C6" w14:textId="77777777" w:rsidR="0024416E" w:rsidRPr="00A459B8" w:rsidRDefault="0024416E" w:rsidP="00A26D06">
            <w:pPr>
              <w:jc w:val="right"/>
              <w:rPr>
                <w:color w:val="000000"/>
                <w:sz w:val="18"/>
                <w:szCs w:val="18"/>
              </w:rPr>
            </w:pPr>
            <w:r w:rsidRPr="00A459B8">
              <w:rPr>
                <w:color w:val="000000"/>
                <w:sz w:val="18"/>
                <w:szCs w:val="18"/>
              </w:rPr>
              <w:t>831</w:t>
            </w:r>
          </w:p>
        </w:tc>
        <w:tc>
          <w:tcPr>
            <w:tcW w:w="1113" w:type="dxa"/>
            <w:tcBorders>
              <w:top w:val="nil"/>
              <w:left w:val="nil"/>
              <w:bottom w:val="single" w:sz="4" w:space="0" w:color="auto"/>
              <w:right w:val="single" w:sz="4" w:space="0" w:color="auto"/>
            </w:tcBorders>
            <w:shd w:val="clear" w:color="auto" w:fill="auto"/>
            <w:noWrap/>
            <w:vAlign w:val="center"/>
          </w:tcPr>
          <w:p w14:paraId="08308B7D" w14:textId="77777777" w:rsidR="0024416E" w:rsidRPr="00A459B8" w:rsidRDefault="0024416E" w:rsidP="00A26D06">
            <w:pPr>
              <w:jc w:val="right"/>
              <w:rPr>
                <w:color w:val="000000"/>
                <w:sz w:val="18"/>
                <w:szCs w:val="18"/>
              </w:rPr>
            </w:pPr>
          </w:p>
        </w:tc>
        <w:tc>
          <w:tcPr>
            <w:tcW w:w="1197" w:type="dxa"/>
            <w:tcBorders>
              <w:top w:val="nil"/>
              <w:left w:val="nil"/>
              <w:bottom w:val="single" w:sz="4" w:space="0" w:color="auto"/>
              <w:right w:val="single" w:sz="4" w:space="0" w:color="auto"/>
            </w:tcBorders>
            <w:shd w:val="clear" w:color="auto" w:fill="auto"/>
            <w:noWrap/>
          </w:tcPr>
          <w:p w14:paraId="496400EB" w14:textId="77777777" w:rsidR="0024416E" w:rsidRPr="00A459B8" w:rsidRDefault="0024416E" w:rsidP="00A26D06">
            <w:pPr>
              <w:rPr>
                <w:color w:val="000000"/>
                <w:sz w:val="18"/>
                <w:szCs w:val="18"/>
              </w:rPr>
            </w:pPr>
            <w:r w:rsidRPr="00A459B8">
              <w:rPr>
                <w:color w:val="000000"/>
                <w:sz w:val="18"/>
                <w:szCs w:val="18"/>
              </w:rPr>
              <w:t>**</w:t>
            </w:r>
          </w:p>
        </w:tc>
        <w:tc>
          <w:tcPr>
            <w:tcW w:w="974" w:type="dxa"/>
            <w:tcBorders>
              <w:top w:val="nil"/>
              <w:left w:val="nil"/>
              <w:bottom w:val="single" w:sz="4" w:space="0" w:color="auto"/>
              <w:right w:val="single" w:sz="4" w:space="0" w:color="auto"/>
            </w:tcBorders>
            <w:shd w:val="clear" w:color="auto" w:fill="auto"/>
            <w:noWrap/>
          </w:tcPr>
          <w:p w14:paraId="1C840E4A" w14:textId="77777777" w:rsidR="0024416E" w:rsidRPr="00247896" w:rsidRDefault="0024416E" w:rsidP="00A26D06">
            <w:pPr>
              <w:rPr>
                <w:color w:val="000000"/>
                <w:sz w:val="18"/>
                <w:szCs w:val="18"/>
              </w:rPr>
            </w:pPr>
            <w:r w:rsidRPr="00247896">
              <w:rPr>
                <w:color w:val="000000"/>
                <w:sz w:val="18"/>
                <w:szCs w:val="18"/>
              </w:rPr>
              <w:t>**</w:t>
            </w:r>
          </w:p>
        </w:tc>
      </w:tr>
      <w:tr w:rsidR="0024416E" w:rsidRPr="00A459B8" w14:paraId="43B1E8D6"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52CACC89" w14:textId="77777777" w:rsidR="0024416E" w:rsidRPr="00A459B8" w:rsidRDefault="0024416E" w:rsidP="00A26D06">
            <w:pPr>
              <w:rPr>
                <w:color w:val="000000"/>
                <w:sz w:val="18"/>
                <w:szCs w:val="18"/>
              </w:rPr>
            </w:pPr>
            <w:r w:rsidRPr="00A459B8">
              <w:rPr>
                <w:color w:val="000000"/>
                <w:sz w:val="18"/>
                <w:szCs w:val="18"/>
              </w:rPr>
              <w:t>Výroba tepla zo zariadení KVET vrátane odpadového tepla v priemysle</w:t>
            </w:r>
            <w:r w:rsidRPr="00A459B8">
              <w:rPr>
                <w:color w:val="000000"/>
                <w:sz w:val="18"/>
                <w:szCs w:val="18"/>
                <w:vertAlign w:val="superscript"/>
              </w:rPr>
              <w:t>6)</w:t>
            </w:r>
            <w:r w:rsidRPr="00A459B8">
              <w:rPr>
                <w:color w:val="000000"/>
                <w:sz w:val="18"/>
                <w:szCs w:val="18"/>
              </w:rPr>
              <w:t xml:space="preserve"> (ktoe)</w:t>
            </w:r>
          </w:p>
        </w:tc>
        <w:tc>
          <w:tcPr>
            <w:tcW w:w="1197" w:type="dxa"/>
            <w:tcBorders>
              <w:top w:val="nil"/>
              <w:left w:val="nil"/>
              <w:bottom w:val="single" w:sz="4" w:space="0" w:color="auto"/>
              <w:right w:val="single" w:sz="4" w:space="0" w:color="auto"/>
            </w:tcBorders>
            <w:shd w:val="clear" w:color="auto" w:fill="auto"/>
            <w:noWrap/>
            <w:vAlign w:val="center"/>
          </w:tcPr>
          <w:p w14:paraId="491589BF" w14:textId="77777777" w:rsidR="0024416E" w:rsidRPr="00A459B8" w:rsidRDefault="0024416E" w:rsidP="00A26D06">
            <w:pPr>
              <w:jc w:val="right"/>
              <w:rPr>
                <w:color w:val="000000"/>
                <w:sz w:val="18"/>
                <w:szCs w:val="18"/>
              </w:rPr>
            </w:pPr>
            <w:r w:rsidRPr="00A459B8">
              <w:rPr>
                <w:color w:val="000000"/>
                <w:sz w:val="18"/>
                <w:szCs w:val="18"/>
              </w:rPr>
              <w:t>572</w:t>
            </w:r>
          </w:p>
        </w:tc>
        <w:tc>
          <w:tcPr>
            <w:tcW w:w="1113" w:type="dxa"/>
            <w:tcBorders>
              <w:top w:val="nil"/>
              <w:left w:val="nil"/>
              <w:bottom w:val="single" w:sz="4" w:space="0" w:color="auto"/>
              <w:right w:val="single" w:sz="4" w:space="0" w:color="auto"/>
            </w:tcBorders>
            <w:shd w:val="clear" w:color="auto" w:fill="auto"/>
            <w:noWrap/>
            <w:vAlign w:val="center"/>
          </w:tcPr>
          <w:p w14:paraId="5A524664" w14:textId="77777777" w:rsidR="0024416E" w:rsidRPr="00A459B8" w:rsidRDefault="0024416E" w:rsidP="00A26D06">
            <w:pPr>
              <w:jc w:val="right"/>
              <w:rPr>
                <w:color w:val="000000"/>
                <w:sz w:val="18"/>
                <w:szCs w:val="18"/>
              </w:rPr>
            </w:pPr>
          </w:p>
        </w:tc>
        <w:tc>
          <w:tcPr>
            <w:tcW w:w="1197" w:type="dxa"/>
            <w:tcBorders>
              <w:top w:val="nil"/>
              <w:left w:val="nil"/>
              <w:bottom w:val="single" w:sz="4" w:space="0" w:color="auto"/>
              <w:right w:val="single" w:sz="4" w:space="0" w:color="auto"/>
            </w:tcBorders>
            <w:shd w:val="clear" w:color="auto" w:fill="auto"/>
            <w:noWrap/>
          </w:tcPr>
          <w:p w14:paraId="21635AA6" w14:textId="77777777" w:rsidR="0024416E" w:rsidRPr="00A459B8" w:rsidRDefault="0024416E" w:rsidP="00A26D06">
            <w:pPr>
              <w:rPr>
                <w:color w:val="000000"/>
                <w:sz w:val="18"/>
                <w:szCs w:val="18"/>
              </w:rPr>
            </w:pPr>
            <w:r w:rsidRPr="00A459B8">
              <w:rPr>
                <w:color w:val="000000"/>
                <w:sz w:val="18"/>
                <w:szCs w:val="18"/>
              </w:rPr>
              <w:t>**</w:t>
            </w:r>
          </w:p>
        </w:tc>
        <w:tc>
          <w:tcPr>
            <w:tcW w:w="974" w:type="dxa"/>
            <w:tcBorders>
              <w:top w:val="nil"/>
              <w:left w:val="nil"/>
              <w:bottom w:val="single" w:sz="4" w:space="0" w:color="auto"/>
              <w:right w:val="single" w:sz="4" w:space="0" w:color="auto"/>
            </w:tcBorders>
            <w:shd w:val="clear" w:color="auto" w:fill="auto"/>
            <w:noWrap/>
          </w:tcPr>
          <w:p w14:paraId="7B99507E" w14:textId="77777777" w:rsidR="0024416E" w:rsidRPr="00247896" w:rsidRDefault="0024416E" w:rsidP="00A26D06">
            <w:pPr>
              <w:rPr>
                <w:color w:val="000000"/>
                <w:sz w:val="18"/>
                <w:szCs w:val="18"/>
              </w:rPr>
            </w:pPr>
            <w:r w:rsidRPr="00247896">
              <w:rPr>
                <w:color w:val="000000"/>
                <w:sz w:val="18"/>
                <w:szCs w:val="18"/>
              </w:rPr>
              <w:t>**</w:t>
            </w:r>
          </w:p>
        </w:tc>
      </w:tr>
      <w:tr w:rsidR="0024416E" w:rsidRPr="00A459B8" w14:paraId="6C3379B8"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1B3E2559" w14:textId="77777777" w:rsidR="0024416E" w:rsidRPr="00A459B8" w:rsidRDefault="0024416E" w:rsidP="00A26D06">
            <w:pPr>
              <w:rPr>
                <w:color w:val="000000"/>
                <w:sz w:val="18"/>
                <w:szCs w:val="18"/>
              </w:rPr>
            </w:pPr>
            <w:r w:rsidRPr="00A459B8">
              <w:rPr>
                <w:color w:val="000000"/>
                <w:sz w:val="18"/>
                <w:szCs w:val="18"/>
              </w:rPr>
              <w:t>Palivové vstupy v tepelných zariadeniach</w:t>
            </w:r>
            <w:r w:rsidRPr="00A459B8">
              <w:rPr>
                <w:color w:val="000000"/>
                <w:sz w:val="18"/>
                <w:szCs w:val="18"/>
                <w:vertAlign w:val="superscript"/>
              </w:rPr>
              <w:t>7)</w:t>
            </w:r>
            <w:r w:rsidRPr="00A459B8">
              <w:rPr>
                <w:color w:val="000000"/>
                <w:sz w:val="18"/>
                <w:szCs w:val="18"/>
              </w:rPr>
              <w:t xml:space="preserve"> (ktoe)</w:t>
            </w:r>
          </w:p>
        </w:tc>
        <w:tc>
          <w:tcPr>
            <w:tcW w:w="1197" w:type="dxa"/>
            <w:tcBorders>
              <w:top w:val="nil"/>
              <w:left w:val="nil"/>
              <w:bottom w:val="single" w:sz="4" w:space="0" w:color="auto"/>
              <w:right w:val="single" w:sz="4" w:space="0" w:color="auto"/>
            </w:tcBorders>
            <w:shd w:val="clear" w:color="auto" w:fill="auto"/>
            <w:noWrap/>
            <w:vAlign w:val="center"/>
          </w:tcPr>
          <w:p w14:paraId="3A2B8560" w14:textId="77777777" w:rsidR="0024416E" w:rsidRPr="00A459B8" w:rsidRDefault="0024416E" w:rsidP="00A26D06">
            <w:pPr>
              <w:jc w:val="right"/>
              <w:rPr>
                <w:color w:val="000000"/>
                <w:sz w:val="18"/>
                <w:szCs w:val="18"/>
              </w:rPr>
            </w:pPr>
            <w:r w:rsidRPr="00A459B8">
              <w:rPr>
                <w:color w:val="000000"/>
                <w:sz w:val="18"/>
                <w:szCs w:val="18"/>
              </w:rPr>
              <w:t>6 377</w:t>
            </w:r>
          </w:p>
        </w:tc>
        <w:tc>
          <w:tcPr>
            <w:tcW w:w="1113" w:type="dxa"/>
            <w:tcBorders>
              <w:top w:val="nil"/>
              <w:left w:val="nil"/>
              <w:bottom w:val="single" w:sz="4" w:space="0" w:color="auto"/>
              <w:right w:val="single" w:sz="4" w:space="0" w:color="auto"/>
            </w:tcBorders>
            <w:shd w:val="clear" w:color="auto" w:fill="auto"/>
            <w:noWrap/>
            <w:vAlign w:val="center"/>
          </w:tcPr>
          <w:p w14:paraId="32A876A3" w14:textId="77777777" w:rsidR="0024416E" w:rsidRPr="00A459B8" w:rsidRDefault="0024416E" w:rsidP="00A26D06">
            <w:pPr>
              <w:jc w:val="right"/>
              <w:rPr>
                <w:color w:val="000000"/>
                <w:sz w:val="18"/>
                <w:szCs w:val="18"/>
              </w:rPr>
            </w:pPr>
          </w:p>
        </w:tc>
        <w:tc>
          <w:tcPr>
            <w:tcW w:w="1197" w:type="dxa"/>
            <w:tcBorders>
              <w:top w:val="nil"/>
              <w:left w:val="nil"/>
              <w:bottom w:val="single" w:sz="4" w:space="0" w:color="auto"/>
              <w:right w:val="single" w:sz="4" w:space="0" w:color="auto"/>
            </w:tcBorders>
            <w:shd w:val="clear" w:color="auto" w:fill="auto"/>
            <w:noWrap/>
          </w:tcPr>
          <w:p w14:paraId="03DC1EFD" w14:textId="77777777" w:rsidR="0024416E" w:rsidRPr="00A459B8" w:rsidRDefault="0024416E" w:rsidP="00A26D06">
            <w:pPr>
              <w:rPr>
                <w:color w:val="000000"/>
                <w:sz w:val="18"/>
                <w:szCs w:val="18"/>
              </w:rPr>
            </w:pPr>
            <w:r w:rsidRPr="00A459B8">
              <w:rPr>
                <w:color w:val="000000"/>
                <w:sz w:val="18"/>
                <w:szCs w:val="18"/>
              </w:rPr>
              <w:t>**</w:t>
            </w:r>
          </w:p>
        </w:tc>
        <w:tc>
          <w:tcPr>
            <w:tcW w:w="974" w:type="dxa"/>
            <w:tcBorders>
              <w:top w:val="nil"/>
              <w:left w:val="nil"/>
              <w:bottom w:val="single" w:sz="4" w:space="0" w:color="auto"/>
              <w:right w:val="single" w:sz="4" w:space="0" w:color="auto"/>
            </w:tcBorders>
            <w:shd w:val="clear" w:color="auto" w:fill="auto"/>
            <w:noWrap/>
          </w:tcPr>
          <w:p w14:paraId="2E9D863C" w14:textId="77777777" w:rsidR="0024416E" w:rsidRPr="00247896" w:rsidRDefault="0024416E" w:rsidP="00A26D06">
            <w:pPr>
              <w:rPr>
                <w:color w:val="000000"/>
                <w:sz w:val="18"/>
                <w:szCs w:val="18"/>
              </w:rPr>
            </w:pPr>
            <w:r w:rsidRPr="00247896">
              <w:rPr>
                <w:color w:val="000000"/>
                <w:sz w:val="18"/>
                <w:szCs w:val="18"/>
              </w:rPr>
              <w:t>**</w:t>
            </w:r>
          </w:p>
        </w:tc>
      </w:tr>
      <w:tr w:rsidR="0024416E" w:rsidRPr="00A459B8" w14:paraId="24D7B6CD"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tcPr>
          <w:p w14:paraId="0DD18474" w14:textId="77777777" w:rsidR="0024416E" w:rsidRPr="00A459B8" w:rsidRDefault="0024416E" w:rsidP="00A26D06">
            <w:pPr>
              <w:rPr>
                <w:color w:val="000000"/>
                <w:sz w:val="18"/>
                <w:szCs w:val="18"/>
              </w:rPr>
            </w:pPr>
            <w:r w:rsidRPr="00A459B8">
              <w:rPr>
                <w:color w:val="000000"/>
                <w:sz w:val="18"/>
                <w:szCs w:val="18"/>
              </w:rPr>
              <w:t>Osobokilometre (mil. okm) – osobná doprava celkom</w:t>
            </w:r>
          </w:p>
          <w:p w14:paraId="39D30C51" w14:textId="77777777" w:rsidR="0024416E" w:rsidRPr="00A459B8" w:rsidRDefault="0024416E" w:rsidP="00A26D06">
            <w:pPr>
              <w:rPr>
                <w:color w:val="000000"/>
                <w:sz w:val="18"/>
                <w:szCs w:val="18"/>
              </w:rPr>
            </w:pPr>
            <w:r w:rsidRPr="00A459B8">
              <w:rPr>
                <w:color w:val="000000"/>
                <w:sz w:val="18"/>
                <w:szCs w:val="18"/>
              </w:rPr>
              <w:t xml:space="preserve"> bez IAD </w:t>
            </w:r>
            <w:r w:rsidRPr="00A459B8">
              <w:rPr>
                <w:color w:val="000000"/>
                <w:sz w:val="18"/>
                <w:szCs w:val="18"/>
                <w:vertAlign w:val="superscript"/>
              </w:rPr>
              <w:t>8)</w:t>
            </w:r>
          </w:p>
        </w:tc>
        <w:tc>
          <w:tcPr>
            <w:tcW w:w="1197" w:type="dxa"/>
            <w:tcBorders>
              <w:top w:val="nil"/>
              <w:left w:val="nil"/>
              <w:bottom w:val="single" w:sz="4" w:space="0" w:color="auto"/>
              <w:right w:val="single" w:sz="4" w:space="0" w:color="auto"/>
            </w:tcBorders>
            <w:shd w:val="clear" w:color="auto" w:fill="auto"/>
            <w:noWrap/>
            <w:vAlign w:val="center"/>
          </w:tcPr>
          <w:p w14:paraId="708C3F69" w14:textId="77777777" w:rsidR="0024416E" w:rsidRPr="00A459B8" w:rsidRDefault="0024416E" w:rsidP="00A26D06">
            <w:pPr>
              <w:jc w:val="right"/>
              <w:rPr>
                <w:sz w:val="18"/>
                <w:szCs w:val="18"/>
              </w:rPr>
            </w:pPr>
          </w:p>
        </w:tc>
        <w:tc>
          <w:tcPr>
            <w:tcW w:w="1113" w:type="dxa"/>
            <w:tcBorders>
              <w:top w:val="nil"/>
              <w:left w:val="nil"/>
              <w:bottom w:val="single" w:sz="4" w:space="0" w:color="auto"/>
              <w:right w:val="single" w:sz="4" w:space="0" w:color="auto"/>
            </w:tcBorders>
            <w:shd w:val="clear" w:color="auto" w:fill="auto"/>
            <w:noWrap/>
            <w:vAlign w:val="center"/>
          </w:tcPr>
          <w:p w14:paraId="4F69A3FE" w14:textId="77777777" w:rsidR="0024416E" w:rsidRPr="00A459B8" w:rsidRDefault="0024416E" w:rsidP="00A26D06">
            <w:pPr>
              <w:jc w:val="right"/>
              <w:rPr>
                <w:sz w:val="18"/>
                <w:szCs w:val="18"/>
              </w:rPr>
            </w:pPr>
          </w:p>
        </w:tc>
        <w:tc>
          <w:tcPr>
            <w:tcW w:w="1197" w:type="dxa"/>
            <w:tcBorders>
              <w:top w:val="nil"/>
              <w:left w:val="nil"/>
              <w:bottom w:val="single" w:sz="4" w:space="0" w:color="auto"/>
              <w:right w:val="single" w:sz="4" w:space="0" w:color="auto"/>
            </w:tcBorders>
            <w:shd w:val="clear" w:color="auto" w:fill="auto"/>
            <w:noWrap/>
            <w:vAlign w:val="bottom"/>
          </w:tcPr>
          <w:p w14:paraId="22C52310" w14:textId="77777777" w:rsidR="0024416E" w:rsidRPr="00A459B8" w:rsidRDefault="0024416E" w:rsidP="00A26D06">
            <w:pPr>
              <w:jc w:val="right"/>
              <w:rPr>
                <w:sz w:val="18"/>
                <w:szCs w:val="18"/>
              </w:rPr>
            </w:pPr>
            <w:r w:rsidRPr="0069415B">
              <w:rPr>
                <w:color w:val="000000"/>
                <w:sz w:val="18"/>
                <w:szCs w:val="18"/>
              </w:rPr>
              <w:t>9 221</w:t>
            </w:r>
          </w:p>
        </w:tc>
        <w:tc>
          <w:tcPr>
            <w:tcW w:w="974" w:type="dxa"/>
            <w:tcBorders>
              <w:top w:val="nil"/>
              <w:left w:val="nil"/>
              <w:bottom w:val="single" w:sz="4" w:space="0" w:color="auto"/>
              <w:right w:val="single" w:sz="4" w:space="0" w:color="auto"/>
            </w:tcBorders>
            <w:shd w:val="clear" w:color="auto" w:fill="auto"/>
            <w:noWrap/>
            <w:vAlign w:val="bottom"/>
          </w:tcPr>
          <w:p w14:paraId="7FDEE3D7" w14:textId="77777777" w:rsidR="0024416E" w:rsidRPr="00A459B8" w:rsidRDefault="0024416E" w:rsidP="00A26D06">
            <w:pPr>
              <w:jc w:val="right"/>
              <w:rPr>
                <w:color w:val="000000"/>
                <w:sz w:val="18"/>
                <w:szCs w:val="18"/>
              </w:rPr>
            </w:pPr>
            <w:r w:rsidRPr="0069415B">
              <w:rPr>
                <w:color w:val="000000"/>
                <w:sz w:val="18"/>
                <w:szCs w:val="18"/>
              </w:rPr>
              <w:t>10 116</w:t>
            </w:r>
          </w:p>
        </w:tc>
      </w:tr>
      <w:tr w:rsidR="0024416E" w:rsidRPr="00A459B8" w14:paraId="2653859E"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028CAE84" w14:textId="77777777" w:rsidR="0024416E" w:rsidRPr="00A459B8" w:rsidRDefault="0024416E" w:rsidP="00A26D06">
            <w:pPr>
              <w:rPr>
                <w:color w:val="000000"/>
                <w:sz w:val="18"/>
                <w:szCs w:val="18"/>
              </w:rPr>
            </w:pPr>
            <w:r w:rsidRPr="00A459B8">
              <w:rPr>
                <w:color w:val="000000"/>
                <w:sz w:val="18"/>
                <w:szCs w:val="18"/>
              </w:rPr>
              <w:t xml:space="preserve">Osobokilometre (mil. okm) – verejná osobná doprava celkom  bez IAD </w:t>
            </w:r>
            <w:r w:rsidRPr="00A459B8">
              <w:rPr>
                <w:color w:val="000000"/>
                <w:sz w:val="18"/>
                <w:szCs w:val="18"/>
                <w:vertAlign w:val="superscript"/>
              </w:rPr>
              <w:t>8)</w:t>
            </w:r>
          </w:p>
        </w:tc>
        <w:tc>
          <w:tcPr>
            <w:tcW w:w="1197" w:type="dxa"/>
            <w:tcBorders>
              <w:top w:val="nil"/>
              <w:left w:val="nil"/>
              <w:bottom w:val="single" w:sz="4" w:space="0" w:color="auto"/>
              <w:right w:val="single" w:sz="4" w:space="0" w:color="auto"/>
            </w:tcBorders>
            <w:shd w:val="clear" w:color="auto" w:fill="auto"/>
            <w:noWrap/>
            <w:vAlign w:val="center"/>
          </w:tcPr>
          <w:p w14:paraId="6A0FC1D6" w14:textId="77777777" w:rsidR="0024416E" w:rsidRPr="00A459B8" w:rsidRDefault="0024416E" w:rsidP="00A26D06">
            <w:pPr>
              <w:rPr>
                <w:sz w:val="18"/>
                <w:szCs w:val="18"/>
              </w:rPr>
            </w:pPr>
          </w:p>
        </w:tc>
        <w:tc>
          <w:tcPr>
            <w:tcW w:w="1113" w:type="dxa"/>
            <w:tcBorders>
              <w:top w:val="nil"/>
              <w:left w:val="nil"/>
              <w:bottom w:val="single" w:sz="4" w:space="0" w:color="auto"/>
              <w:right w:val="single" w:sz="4" w:space="0" w:color="auto"/>
            </w:tcBorders>
            <w:shd w:val="clear" w:color="auto" w:fill="auto"/>
            <w:noWrap/>
            <w:vAlign w:val="center"/>
          </w:tcPr>
          <w:p w14:paraId="798C1E4F" w14:textId="77777777" w:rsidR="0024416E" w:rsidRPr="00A459B8" w:rsidRDefault="0024416E" w:rsidP="00A26D06">
            <w:pPr>
              <w:rPr>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0F73BF4D" w14:textId="77777777" w:rsidR="0024416E" w:rsidRPr="00A459B8" w:rsidRDefault="0024416E" w:rsidP="00A26D06">
            <w:pPr>
              <w:jc w:val="right"/>
              <w:rPr>
                <w:sz w:val="18"/>
                <w:szCs w:val="18"/>
              </w:rPr>
            </w:pPr>
            <w:r w:rsidRPr="0069415B">
              <w:rPr>
                <w:color w:val="000000"/>
                <w:sz w:val="18"/>
                <w:szCs w:val="18"/>
              </w:rPr>
              <w:t>9 099</w:t>
            </w:r>
          </w:p>
        </w:tc>
        <w:tc>
          <w:tcPr>
            <w:tcW w:w="974" w:type="dxa"/>
            <w:tcBorders>
              <w:top w:val="nil"/>
              <w:left w:val="nil"/>
              <w:bottom w:val="single" w:sz="4" w:space="0" w:color="auto"/>
              <w:right w:val="single" w:sz="4" w:space="0" w:color="auto"/>
            </w:tcBorders>
            <w:shd w:val="clear" w:color="auto" w:fill="auto"/>
            <w:noWrap/>
            <w:vAlign w:val="center"/>
          </w:tcPr>
          <w:p w14:paraId="667EB786" w14:textId="77777777" w:rsidR="0024416E" w:rsidRPr="00A459B8" w:rsidRDefault="0024416E" w:rsidP="00A26D06">
            <w:pPr>
              <w:jc w:val="right"/>
              <w:rPr>
                <w:color w:val="000000"/>
                <w:sz w:val="18"/>
                <w:szCs w:val="18"/>
              </w:rPr>
            </w:pPr>
            <w:r w:rsidRPr="0069415B">
              <w:rPr>
                <w:color w:val="000000"/>
                <w:sz w:val="18"/>
                <w:szCs w:val="18"/>
              </w:rPr>
              <w:t>10 020</w:t>
            </w:r>
          </w:p>
        </w:tc>
      </w:tr>
      <w:tr w:rsidR="0024416E" w:rsidRPr="00A459B8" w14:paraId="4932E028"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tcPr>
          <w:p w14:paraId="6D39D47D" w14:textId="77777777" w:rsidR="0024416E" w:rsidRPr="00A459B8" w:rsidRDefault="0024416E" w:rsidP="00A26D06">
            <w:pPr>
              <w:rPr>
                <w:color w:val="000000"/>
                <w:sz w:val="18"/>
                <w:szCs w:val="18"/>
              </w:rPr>
            </w:pPr>
            <w:r w:rsidRPr="00A459B8">
              <w:rPr>
                <w:color w:val="000000"/>
                <w:sz w:val="18"/>
                <w:szCs w:val="18"/>
              </w:rPr>
              <w:t xml:space="preserve">Osobokilometre (mil. okm) – neverejná osobná doprava celkom bez IAD </w:t>
            </w:r>
            <w:r w:rsidRPr="00A459B8">
              <w:rPr>
                <w:color w:val="000000"/>
                <w:sz w:val="18"/>
                <w:szCs w:val="18"/>
                <w:vertAlign w:val="superscript"/>
              </w:rPr>
              <w:t>8)</w:t>
            </w:r>
            <w:r w:rsidRPr="00A459B8">
              <w:rPr>
                <w:color w:val="000000"/>
                <w:sz w:val="18"/>
                <w:szCs w:val="18"/>
              </w:rPr>
              <w:t>)</w:t>
            </w:r>
          </w:p>
        </w:tc>
        <w:tc>
          <w:tcPr>
            <w:tcW w:w="1197" w:type="dxa"/>
            <w:tcBorders>
              <w:top w:val="nil"/>
              <w:left w:val="nil"/>
              <w:bottom w:val="single" w:sz="4" w:space="0" w:color="auto"/>
              <w:right w:val="single" w:sz="4" w:space="0" w:color="auto"/>
            </w:tcBorders>
            <w:shd w:val="clear" w:color="auto" w:fill="auto"/>
            <w:noWrap/>
            <w:vAlign w:val="center"/>
          </w:tcPr>
          <w:p w14:paraId="5E99B44C" w14:textId="77777777" w:rsidR="0024416E" w:rsidRPr="00A459B8" w:rsidRDefault="0024416E" w:rsidP="00A26D06">
            <w:pPr>
              <w:rPr>
                <w:sz w:val="18"/>
                <w:szCs w:val="18"/>
              </w:rPr>
            </w:pPr>
          </w:p>
        </w:tc>
        <w:tc>
          <w:tcPr>
            <w:tcW w:w="1113" w:type="dxa"/>
            <w:tcBorders>
              <w:top w:val="nil"/>
              <w:left w:val="nil"/>
              <w:bottom w:val="single" w:sz="4" w:space="0" w:color="auto"/>
              <w:right w:val="single" w:sz="4" w:space="0" w:color="auto"/>
            </w:tcBorders>
            <w:shd w:val="clear" w:color="auto" w:fill="auto"/>
            <w:noWrap/>
            <w:vAlign w:val="center"/>
          </w:tcPr>
          <w:p w14:paraId="49A6AF3C" w14:textId="77777777" w:rsidR="0024416E" w:rsidRPr="00A459B8" w:rsidRDefault="0024416E" w:rsidP="00A26D06">
            <w:pPr>
              <w:rPr>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1A9D72A8" w14:textId="77777777" w:rsidR="0024416E" w:rsidRPr="00A459B8" w:rsidRDefault="0024416E" w:rsidP="00A26D06">
            <w:pPr>
              <w:jc w:val="right"/>
              <w:rPr>
                <w:sz w:val="18"/>
                <w:szCs w:val="18"/>
              </w:rPr>
            </w:pPr>
            <w:r w:rsidRPr="0069415B">
              <w:rPr>
                <w:color w:val="000000"/>
                <w:sz w:val="18"/>
                <w:szCs w:val="18"/>
              </w:rPr>
              <w:t>122</w:t>
            </w:r>
          </w:p>
        </w:tc>
        <w:tc>
          <w:tcPr>
            <w:tcW w:w="974" w:type="dxa"/>
            <w:tcBorders>
              <w:top w:val="nil"/>
              <w:left w:val="nil"/>
              <w:bottom w:val="single" w:sz="4" w:space="0" w:color="auto"/>
              <w:right w:val="single" w:sz="4" w:space="0" w:color="auto"/>
            </w:tcBorders>
            <w:shd w:val="clear" w:color="auto" w:fill="auto"/>
            <w:noWrap/>
            <w:vAlign w:val="center"/>
          </w:tcPr>
          <w:p w14:paraId="2544530D" w14:textId="77777777" w:rsidR="0024416E" w:rsidRPr="00A459B8" w:rsidRDefault="0024416E" w:rsidP="00A26D06">
            <w:pPr>
              <w:jc w:val="right"/>
              <w:rPr>
                <w:color w:val="000000"/>
                <w:sz w:val="18"/>
                <w:szCs w:val="18"/>
              </w:rPr>
            </w:pPr>
            <w:r w:rsidRPr="0069415B">
              <w:rPr>
                <w:color w:val="000000"/>
                <w:sz w:val="18"/>
                <w:szCs w:val="18"/>
              </w:rPr>
              <w:t>96</w:t>
            </w:r>
          </w:p>
        </w:tc>
      </w:tr>
      <w:tr w:rsidR="0024416E" w:rsidRPr="00A459B8" w14:paraId="7B83694D"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tcPr>
          <w:p w14:paraId="3FCE2E7B" w14:textId="77777777" w:rsidR="0024416E" w:rsidRPr="00A459B8" w:rsidRDefault="0024416E" w:rsidP="00A26D06">
            <w:pPr>
              <w:rPr>
                <w:color w:val="000000"/>
                <w:sz w:val="18"/>
                <w:szCs w:val="18"/>
              </w:rPr>
            </w:pPr>
            <w:r w:rsidRPr="00A459B8">
              <w:rPr>
                <w:color w:val="000000"/>
                <w:sz w:val="18"/>
                <w:szCs w:val="18"/>
              </w:rPr>
              <w:t xml:space="preserve">IAD MDV SR </w:t>
            </w:r>
            <w:r w:rsidRPr="00A459B8">
              <w:rPr>
                <w:color w:val="000000"/>
                <w:sz w:val="18"/>
                <w:szCs w:val="18"/>
                <w:vertAlign w:val="superscript"/>
              </w:rPr>
              <w:t>8)</w:t>
            </w:r>
            <w:r w:rsidRPr="00A459B8">
              <w:rPr>
                <w:rFonts w:eastAsia="Calibri"/>
                <w:i/>
                <w:szCs w:val="22"/>
                <w:lang w:eastAsia="en-US"/>
              </w:rPr>
              <w:t xml:space="preserve"> **</w:t>
            </w:r>
          </w:p>
        </w:tc>
        <w:tc>
          <w:tcPr>
            <w:tcW w:w="1197" w:type="dxa"/>
            <w:tcBorders>
              <w:top w:val="nil"/>
              <w:left w:val="nil"/>
              <w:bottom w:val="single" w:sz="4" w:space="0" w:color="auto"/>
              <w:right w:val="single" w:sz="4" w:space="0" w:color="auto"/>
            </w:tcBorders>
            <w:shd w:val="clear" w:color="auto" w:fill="auto"/>
            <w:noWrap/>
            <w:vAlign w:val="center"/>
          </w:tcPr>
          <w:p w14:paraId="63D9F741" w14:textId="77777777" w:rsidR="0024416E" w:rsidRPr="00A459B8" w:rsidRDefault="0024416E" w:rsidP="00A26D06">
            <w:pPr>
              <w:rPr>
                <w:sz w:val="18"/>
                <w:szCs w:val="18"/>
              </w:rPr>
            </w:pPr>
          </w:p>
        </w:tc>
        <w:tc>
          <w:tcPr>
            <w:tcW w:w="1113" w:type="dxa"/>
            <w:tcBorders>
              <w:top w:val="nil"/>
              <w:left w:val="nil"/>
              <w:bottom w:val="single" w:sz="4" w:space="0" w:color="auto"/>
              <w:right w:val="single" w:sz="4" w:space="0" w:color="auto"/>
            </w:tcBorders>
            <w:shd w:val="clear" w:color="auto" w:fill="auto"/>
            <w:noWrap/>
            <w:vAlign w:val="center"/>
          </w:tcPr>
          <w:p w14:paraId="3BEF58E6" w14:textId="77777777" w:rsidR="0024416E" w:rsidRPr="00A459B8" w:rsidRDefault="0024416E" w:rsidP="00A26D06">
            <w:pPr>
              <w:rPr>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683232B0" w14:textId="77777777" w:rsidR="0024416E" w:rsidRPr="00A459B8" w:rsidRDefault="0024416E" w:rsidP="00A26D06">
            <w:pPr>
              <w:jc w:val="right"/>
              <w:rPr>
                <w:sz w:val="18"/>
                <w:szCs w:val="18"/>
              </w:rPr>
            </w:pPr>
            <w:r w:rsidRPr="0069415B">
              <w:rPr>
                <w:color w:val="000000"/>
                <w:sz w:val="18"/>
                <w:szCs w:val="18"/>
              </w:rPr>
              <w:t>27 373</w:t>
            </w:r>
          </w:p>
        </w:tc>
        <w:tc>
          <w:tcPr>
            <w:tcW w:w="974" w:type="dxa"/>
            <w:tcBorders>
              <w:top w:val="nil"/>
              <w:left w:val="nil"/>
              <w:bottom w:val="single" w:sz="4" w:space="0" w:color="auto"/>
              <w:right w:val="single" w:sz="4" w:space="0" w:color="auto"/>
            </w:tcBorders>
            <w:shd w:val="clear" w:color="auto" w:fill="auto"/>
            <w:noWrap/>
            <w:vAlign w:val="center"/>
          </w:tcPr>
          <w:p w14:paraId="68CF808C" w14:textId="77777777" w:rsidR="0024416E" w:rsidRPr="00A459B8" w:rsidRDefault="0024416E" w:rsidP="00A26D06">
            <w:pPr>
              <w:jc w:val="right"/>
              <w:rPr>
                <w:color w:val="000000"/>
                <w:sz w:val="18"/>
                <w:szCs w:val="18"/>
              </w:rPr>
            </w:pPr>
            <w:r w:rsidRPr="0069415B">
              <w:rPr>
                <w:color w:val="000000"/>
                <w:sz w:val="18"/>
                <w:szCs w:val="18"/>
              </w:rPr>
              <w:t>27 531</w:t>
            </w:r>
          </w:p>
        </w:tc>
      </w:tr>
      <w:tr w:rsidR="0024416E" w:rsidRPr="00A459B8" w14:paraId="44F4B9AA"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7B6BA522" w14:textId="77777777" w:rsidR="0024416E" w:rsidRPr="00A459B8" w:rsidRDefault="0024416E" w:rsidP="00A26D06">
            <w:pPr>
              <w:rPr>
                <w:color w:val="000000"/>
                <w:sz w:val="18"/>
                <w:szCs w:val="18"/>
              </w:rPr>
            </w:pPr>
            <w:r w:rsidRPr="00A459B8">
              <w:rPr>
                <w:color w:val="000000"/>
                <w:sz w:val="18"/>
                <w:szCs w:val="18"/>
              </w:rPr>
              <w:t>Tonokilometre (mil. tkm) – celkom</w:t>
            </w:r>
          </w:p>
        </w:tc>
        <w:tc>
          <w:tcPr>
            <w:tcW w:w="1197" w:type="dxa"/>
            <w:tcBorders>
              <w:top w:val="nil"/>
              <w:left w:val="nil"/>
              <w:bottom w:val="single" w:sz="4" w:space="0" w:color="auto"/>
              <w:right w:val="single" w:sz="4" w:space="0" w:color="auto"/>
            </w:tcBorders>
            <w:shd w:val="clear" w:color="auto" w:fill="auto"/>
            <w:noWrap/>
            <w:vAlign w:val="center"/>
          </w:tcPr>
          <w:p w14:paraId="6BAAF46C" w14:textId="77777777" w:rsidR="0024416E" w:rsidRPr="00A459B8" w:rsidRDefault="0024416E" w:rsidP="00A26D06">
            <w:pPr>
              <w:jc w:val="right"/>
              <w:rPr>
                <w:sz w:val="18"/>
                <w:szCs w:val="18"/>
              </w:rPr>
            </w:pPr>
            <w:r w:rsidRPr="0069415B">
              <w:rPr>
                <w:color w:val="000000"/>
                <w:sz w:val="18"/>
                <w:szCs w:val="18"/>
              </w:rPr>
              <w:t>-</w:t>
            </w:r>
          </w:p>
        </w:tc>
        <w:tc>
          <w:tcPr>
            <w:tcW w:w="1113" w:type="dxa"/>
            <w:tcBorders>
              <w:top w:val="nil"/>
              <w:left w:val="nil"/>
              <w:bottom w:val="single" w:sz="4" w:space="0" w:color="auto"/>
              <w:right w:val="single" w:sz="4" w:space="0" w:color="auto"/>
            </w:tcBorders>
            <w:shd w:val="clear" w:color="auto" w:fill="auto"/>
            <w:noWrap/>
            <w:vAlign w:val="center"/>
          </w:tcPr>
          <w:p w14:paraId="186FC2CE" w14:textId="77777777" w:rsidR="0024416E" w:rsidRPr="00A459B8" w:rsidRDefault="0024416E" w:rsidP="00A26D06">
            <w:pPr>
              <w:rPr>
                <w:sz w:val="18"/>
                <w:szCs w:val="18"/>
              </w:rPr>
            </w:pPr>
            <w:r w:rsidRPr="0069415B">
              <w:rPr>
                <w:color w:val="000000"/>
                <w:sz w:val="18"/>
                <w:szCs w:val="18"/>
              </w:rPr>
              <w:t>-</w:t>
            </w:r>
          </w:p>
        </w:tc>
        <w:tc>
          <w:tcPr>
            <w:tcW w:w="1197" w:type="dxa"/>
            <w:tcBorders>
              <w:top w:val="nil"/>
              <w:left w:val="nil"/>
              <w:bottom w:val="single" w:sz="4" w:space="0" w:color="auto"/>
              <w:right w:val="single" w:sz="4" w:space="0" w:color="auto"/>
            </w:tcBorders>
            <w:shd w:val="clear" w:color="auto" w:fill="auto"/>
            <w:noWrap/>
            <w:vAlign w:val="center"/>
          </w:tcPr>
          <w:p w14:paraId="12911E26" w14:textId="77777777" w:rsidR="0024416E" w:rsidRPr="00A459B8" w:rsidRDefault="0024416E" w:rsidP="00A26D06">
            <w:pPr>
              <w:jc w:val="right"/>
              <w:rPr>
                <w:sz w:val="18"/>
                <w:szCs w:val="18"/>
              </w:rPr>
            </w:pPr>
            <w:r w:rsidRPr="0069415B">
              <w:rPr>
                <w:color w:val="000000"/>
                <w:sz w:val="18"/>
                <w:szCs w:val="18"/>
              </w:rPr>
              <w:t>40 849</w:t>
            </w:r>
          </w:p>
        </w:tc>
        <w:tc>
          <w:tcPr>
            <w:tcW w:w="974" w:type="dxa"/>
            <w:tcBorders>
              <w:top w:val="nil"/>
              <w:left w:val="nil"/>
              <w:bottom w:val="single" w:sz="4" w:space="0" w:color="auto"/>
              <w:right w:val="single" w:sz="4" w:space="0" w:color="auto"/>
            </w:tcBorders>
            <w:shd w:val="clear" w:color="auto" w:fill="auto"/>
            <w:noWrap/>
            <w:vAlign w:val="center"/>
          </w:tcPr>
          <w:p w14:paraId="643E4BF4" w14:textId="77777777" w:rsidR="0024416E" w:rsidRPr="00A459B8" w:rsidRDefault="0024416E" w:rsidP="00A26D06">
            <w:pPr>
              <w:jc w:val="right"/>
              <w:rPr>
                <w:color w:val="000000"/>
                <w:sz w:val="18"/>
                <w:szCs w:val="18"/>
              </w:rPr>
            </w:pPr>
            <w:r w:rsidRPr="0069415B">
              <w:rPr>
                <w:color w:val="000000"/>
                <w:sz w:val="18"/>
                <w:szCs w:val="18"/>
              </w:rPr>
              <w:t>42 745</w:t>
            </w:r>
          </w:p>
        </w:tc>
      </w:tr>
      <w:tr w:rsidR="0024416E" w:rsidRPr="00A459B8" w14:paraId="2148260C"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7B83896B" w14:textId="77777777" w:rsidR="0024416E" w:rsidRPr="00A459B8" w:rsidRDefault="0024416E" w:rsidP="00A26D06">
            <w:pPr>
              <w:rPr>
                <w:color w:val="000000"/>
                <w:sz w:val="18"/>
                <w:szCs w:val="18"/>
              </w:rPr>
            </w:pPr>
            <w:r w:rsidRPr="00A459B8">
              <w:rPr>
                <w:color w:val="000000"/>
                <w:sz w:val="18"/>
                <w:szCs w:val="18"/>
              </w:rPr>
              <w:t>Tonokilometre (mil. tkm) – železničná preprava</w:t>
            </w:r>
          </w:p>
        </w:tc>
        <w:tc>
          <w:tcPr>
            <w:tcW w:w="1197" w:type="dxa"/>
            <w:tcBorders>
              <w:top w:val="nil"/>
              <w:left w:val="nil"/>
              <w:bottom w:val="single" w:sz="4" w:space="0" w:color="auto"/>
              <w:right w:val="single" w:sz="4" w:space="0" w:color="auto"/>
            </w:tcBorders>
            <w:shd w:val="clear" w:color="auto" w:fill="auto"/>
            <w:noWrap/>
            <w:vAlign w:val="center"/>
          </w:tcPr>
          <w:p w14:paraId="003BC5D6" w14:textId="77777777" w:rsidR="0024416E" w:rsidRPr="00A459B8" w:rsidRDefault="0024416E" w:rsidP="00A26D06">
            <w:pPr>
              <w:jc w:val="right"/>
              <w:rPr>
                <w:sz w:val="18"/>
                <w:szCs w:val="18"/>
              </w:rPr>
            </w:pPr>
            <w:r w:rsidRPr="0069415B">
              <w:rPr>
                <w:color w:val="000000"/>
                <w:sz w:val="18"/>
                <w:szCs w:val="18"/>
              </w:rPr>
              <w:t>8 829</w:t>
            </w:r>
          </w:p>
        </w:tc>
        <w:tc>
          <w:tcPr>
            <w:tcW w:w="1113" w:type="dxa"/>
            <w:tcBorders>
              <w:top w:val="nil"/>
              <w:left w:val="nil"/>
              <w:bottom w:val="single" w:sz="4" w:space="0" w:color="auto"/>
              <w:right w:val="single" w:sz="4" w:space="0" w:color="auto"/>
            </w:tcBorders>
            <w:shd w:val="clear" w:color="auto" w:fill="auto"/>
            <w:noWrap/>
            <w:vAlign w:val="center"/>
          </w:tcPr>
          <w:p w14:paraId="10214EE1" w14:textId="77777777" w:rsidR="0024416E" w:rsidRPr="00A459B8" w:rsidRDefault="0024416E" w:rsidP="00A26D06">
            <w:pPr>
              <w:jc w:val="right"/>
              <w:rPr>
                <w:sz w:val="18"/>
                <w:szCs w:val="18"/>
              </w:rPr>
            </w:pPr>
            <w:r w:rsidRPr="0069415B">
              <w:rPr>
                <w:color w:val="000000"/>
                <w:sz w:val="18"/>
                <w:szCs w:val="18"/>
              </w:rPr>
              <w:t>8 439</w:t>
            </w:r>
          </w:p>
        </w:tc>
        <w:tc>
          <w:tcPr>
            <w:tcW w:w="1197" w:type="dxa"/>
            <w:tcBorders>
              <w:top w:val="nil"/>
              <w:left w:val="nil"/>
              <w:bottom w:val="single" w:sz="4" w:space="0" w:color="auto"/>
              <w:right w:val="single" w:sz="4" w:space="0" w:color="auto"/>
            </w:tcBorders>
            <w:shd w:val="clear" w:color="auto" w:fill="auto"/>
            <w:noWrap/>
            <w:vAlign w:val="center"/>
          </w:tcPr>
          <w:p w14:paraId="68DBC0B0" w14:textId="77777777" w:rsidR="0024416E" w:rsidRPr="00A459B8" w:rsidRDefault="0024416E" w:rsidP="00A26D06">
            <w:pPr>
              <w:jc w:val="right"/>
              <w:rPr>
                <w:sz w:val="18"/>
                <w:szCs w:val="18"/>
              </w:rPr>
            </w:pPr>
            <w:r w:rsidRPr="0069415B">
              <w:rPr>
                <w:color w:val="000000"/>
                <w:sz w:val="18"/>
                <w:szCs w:val="18"/>
              </w:rPr>
              <w:t>8 829</w:t>
            </w:r>
          </w:p>
        </w:tc>
        <w:tc>
          <w:tcPr>
            <w:tcW w:w="974" w:type="dxa"/>
            <w:tcBorders>
              <w:top w:val="nil"/>
              <w:left w:val="nil"/>
              <w:bottom w:val="single" w:sz="4" w:space="0" w:color="auto"/>
              <w:right w:val="single" w:sz="4" w:space="0" w:color="auto"/>
            </w:tcBorders>
            <w:shd w:val="clear" w:color="auto" w:fill="auto"/>
            <w:noWrap/>
            <w:vAlign w:val="center"/>
          </w:tcPr>
          <w:p w14:paraId="517C1BED" w14:textId="77777777" w:rsidR="0024416E" w:rsidRPr="00A459B8" w:rsidRDefault="0024416E" w:rsidP="00A26D06">
            <w:pPr>
              <w:jc w:val="right"/>
              <w:rPr>
                <w:color w:val="000000"/>
                <w:sz w:val="18"/>
                <w:szCs w:val="18"/>
              </w:rPr>
            </w:pPr>
            <w:r w:rsidRPr="0069415B">
              <w:rPr>
                <w:color w:val="000000"/>
                <w:sz w:val="18"/>
                <w:szCs w:val="18"/>
              </w:rPr>
              <w:t>8 439</w:t>
            </w:r>
          </w:p>
        </w:tc>
      </w:tr>
      <w:tr w:rsidR="0024416E" w:rsidRPr="00A459B8" w14:paraId="6DA03D57"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67E850C1" w14:textId="77777777" w:rsidR="0024416E" w:rsidRPr="00A459B8" w:rsidRDefault="0024416E" w:rsidP="00A26D06">
            <w:pPr>
              <w:rPr>
                <w:color w:val="000000"/>
                <w:sz w:val="18"/>
                <w:szCs w:val="18"/>
              </w:rPr>
            </w:pPr>
            <w:r w:rsidRPr="00A459B8">
              <w:rPr>
                <w:color w:val="000000"/>
                <w:sz w:val="18"/>
                <w:szCs w:val="18"/>
              </w:rPr>
              <w:t xml:space="preserve">Tonokilometre (mil. tkm) – cestná preprava </w:t>
            </w:r>
            <w:r w:rsidRPr="00A459B8">
              <w:rPr>
                <w:rFonts w:eastAsia="Calibri"/>
                <w:b/>
                <w:i/>
                <w:szCs w:val="22"/>
                <w:lang w:eastAsia="en-US"/>
              </w:rPr>
              <w:t>***</w:t>
            </w:r>
          </w:p>
        </w:tc>
        <w:tc>
          <w:tcPr>
            <w:tcW w:w="1197" w:type="dxa"/>
            <w:tcBorders>
              <w:top w:val="nil"/>
              <w:left w:val="nil"/>
              <w:bottom w:val="single" w:sz="4" w:space="0" w:color="auto"/>
              <w:right w:val="single" w:sz="4" w:space="0" w:color="auto"/>
            </w:tcBorders>
            <w:shd w:val="clear" w:color="auto" w:fill="auto"/>
            <w:noWrap/>
            <w:vAlign w:val="center"/>
          </w:tcPr>
          <w:p w14:paraId="566EF75F" w14:textId="77777777" w:rsidR="0024416E" w:rsidRPr="00A459B8" w:rsidRDefault="0024416E" w:rsidP="00A26D06">
            <w:pPr>
              <w:jc w:val="right"/>
              <w:rPr>
                <w:sz w:val="18"/>
                <w:szCs w:val="18"/>
              </w:rPr>
            </w:pPr>
            <w:r w:rsidRPr="0069415B">
              <w:rPr>
                <w:color w:val="000000"/>
                <w:sz w:val="18"/>
                <w:szCs w:val="18"/>
              </w:rPr>
              <w:t>31 358</w:t>
            </w:r>
          </w:p>
        </w:tc>
        <w:tc>
          <w:tcPr>
            <w:tcW w:w="1113" w:type="dxa"/>
            <w:tcBorders>
              <w:top w:val="nil"/>
              <w:left w:val="nil"/>
              <w:bottom w:val="single" w:sz="4" w:space="0" w:color="auto"/>
              <w:right w:val="single" w:sz="4" w:space="0" w:color="auto"/>
            </w:tcBorders>
            <w:shd w:val="clear" w:color="auto" w:fill="auto"/>
            <w:noWrap/>
            <w:vAlign w:val="center"/>
          </w:tcPr>
          <w:p w14:paraId="7A14C9A1" w14:textId="77777777" w:rsidR="0024416E" w:rsidRPr="00A459B8" w:rsidRDefault="0024416E" w:rsidP="00A26D06">
            <w:pPr>
              <w:jc w:val="right"/>
              <w:rPr>
                <w:sz w:val="18"/>
                <w:szCs w:val="18"/>
              </w:rPr>
            </w:pPr>
            <w:r w:rsidRPr="0069415B">
              <w:rPr>
                <w:color w:val="000000"/>
                <w:sz w:val="18"/>
                <w:szCs w:val="18"/>
              </w:rPr>
              <w:t>33 540</w:t>
            </w:r>
          </w:p>
        </w:tc>
        <w:tc>
          <w:tcPr>
            <w:tcW w:w="1197" w:type="dxa"/>
            <w:tcBorders>
              <w:top w:val="nil"/>
              <w:left w:val="nil"/>
              <w:bottom w:val="single" w:sz="4" w:space="0" w:color="auto"/>
              <w:right w:val="single" w:sz="4" w:space="0" w:color="auto"/>
            </w:tcBorders>
            <w:shd w:val="clear" w:color="auto" w:fill="auto"/>
            <w:noWrap/>
            <w:vAlign w:val="center"/>
          </w:tcPr>
          <w:p w14:paraId="0A8828B1" w14:textId="77777777" w:rsidR="0024416E" w:rsidRPr="00A459B8" w:rsidRDefault="0024416E" w:rsidP="00A26D06">
            <w:pPr>
              <w:jc w:val="right"/>
              <w:rPr>
                <w:sz w:val="18"/>
                <w:szCs w:val="18"/>
              </w:rPr>
            </w:pPr>
            <w:r w:rsidRPr="0069415B">
              <w:rPr>
                <w:color w:val="000000"/>
                <w:sz w:val="18"/>
                <w:szCs w:val="18"/>
              </w:rPr>
              <w:t>31 304</w:t>
            </w:r>
          </w:p>
        </w:tc>
        <w:tc>
          <w:tcPr>
            <w:tcW w:w="974" w:type="dxa"/>
            <w:tcBorders>
              <w:top w:val="nil"/>
              <w:left w:val="nil"/>
              <w:bottom w:val="single" w:sz="4" w:space="0" w:color="auto"/>
              <w:right w:val="single" w:sz="4" w:space="0" w:color="auto"/>
            </w:tcBorders>
            <w:shd w:val="clear" w:color="auto" w:fill="auto"/>
            <w:noWrap/>
            <w:vAlign w:val="center"/>
          </w:tcPr>
          <w:p w14:paraId="248DC3E0" w14:textId="77777777" w:rsidR="0024416E" w:rsidRPr="00A459B8" w:rsidRDefault="0024416E" w:rsidP="00A26D06">
            <w:pPr>
              <w:jc w:val="right"/>
              <w:rPr>
                <w:color w:val="000000"/>
                <w:sz w:val="18"/>
                <w:szCs w:val="18"/>
              </w:rPr>
            </w:pPr>
            <w:r w:rsidRPr="0069415B">
              <w:rPr>
                <w:color w:val="000000"/>
                <w:sz w:val="18"/>
                <w:szCs w:val="18"/>
              </w:rPr>
              <w:t>33 525</w:t>
            </w:r>
          </w:p>
        </w:tc>
      </w:tr>
      <w:tr w:rsidR="0024416E" w:rsidRPr="00A459B8" w14:paraId="17381CD2"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375E320F" w14:textId="77777777" w:rsidR="0024416E" w:rsidRPr="00A459B8" w:rsidRDefault="0024416E" w:rsidP="00A26D06">
            <w:pPr>
              <w:rPr>
                <w:color w:val="000000"/>
                <w:sz w:val="18"/>
                <w:szCs w:val="18"/>
              </w:rPr>
            </w:pPr>
            <w:r w:rsidRPr="00A459B8">
              <w:rPr>
                <w:color w:val="000000"/>
                <w:sz w:val="18"/>
                <w:szCs w:val="18"/>
              </w:rPr>
              <w:t xml:space="preserve">Tonokilometre (mil. tkm) – vodná doprava  </w:t>
            </w:r>
          </w:p>
        </w:tc>
        <w:tc>
          <w:tcPr>
            <w:tcW w:w="1197" w:type="dxa"/>
            <w:tcBorders>
              <w:top w:val="nil"/>
              <w:left w:val="nil"/>
              <w:bottom w:val="single" w:sz="4" w:space="0" w:color="auto"/>
              <w:right w:val="single" w:sz="4" w:space="0" w:color="auto"/>
            </w:tcBorders>
            <w:shd w:val="clear" w:color="auto" w:fill="auto"/>
            <w:noWrap/>
            <w:vAlign w:val="center"/>
          </w:tcPr>
          <w:p w14:paraId="33B3423E" w14:textId="77777777" w:rsidR="0024416E" w:rsidRPr="00A459B8" w:rsidRDefault="0024416E" w:rsidP="00A26D06">
            <w:pPr>
              <w:jc w:val="right"/>
              <w:rPr>
                <w:sz w:val="18"/>
                <w:szCs w:val="18"/>
              </w:rPr>
            </w:pPr>
            <w:r w:rsidRPr="0069415B">
              <w:rPr>
                <w:color w:val="000000"/>
                <w:sz w:val="18"/>
                <w:szCs w:val="18"/>
              </w:rPr>
              <w:t>-</w:t>
            </w:r>
          </w:p>
        </w:tc>
        <w:tc>
          <w:tcPr>
            <w:tcW w:w="1113" w:type="dxa"/>
            <w:tcBorders>
              <w:top w:val="nil"/>
              <w:left w:val="nil"/>
              <w:bottom w:val="single" w:sz="4" w:space="0" w:color="auto"/>
              <w:right w:val="single" w:sz="4" w:space="0" w:color="auto"/>
            </w:tcBorders>
            <w:shd w:val="clear" w:color="auto" w:fill="auto"/>
            <w:noWrap/>
            <w:vAlign w:val="center"/>
          </w:tcPr>
          <w:p w14:paraId="7F01015D" w14:textId="77777777" w:rsidR="0024416E" w:rsidRPr="00A459B8" w:rsidRDefault="0024416E" w:rsidP="00A26D06">
            <w:pPr>
              <w:jc w:val="right"/>
              <w:rPr>
                <w:sz w:val="18"/>
                <w:szCs w:val="18"/>
              </w:rPr>
            </w:pPr>
            <w:r w:rsidRPr="0069415B">
              <w:rPr>
                <w:color w:val="000000"/>
                <w:sz w:val="18"/>
                <w:szCs w:val="18"/>
              </w:rPr>
              <w:t>-</w:t>
            </w:r>
          </w:p>
        </w:tc>
        <w:tc>
          <w:tcPr>
            <w:tcW w:w="1197" w:type="dxa"/>
            <w:tcBorders>
              <w:top w:val="nil"/>
              <w:left w:val="nil"/>
              <w:bottom w:val="single" w:sz="4" w:space="0" w:color="auto"/>
              <w:right w:val="single" w:sz="4" w:space="0" w:color="auto"/>
            </w:tcBorders>
            <w:shd w:val="clear" w:color="auto" w:fill="auto"/>
            <w:noWrap/>
            <w:vAlign w:val="center"/>
          </w:tcPr>
          <w:p w14:paraId="649E3981" w14:textId="77777777" w:rsidR="0024416E" w:rsidRPr="00A459B8" w:rsidRDefault="0024416E" w:rsidP="00A26D06">
            <w:pPr>
              <w:jc w:val="right"/>
              <w:rPr>
                <w:sz w:val="18"/>
                <w:szCs w:val="18"/>
              </w:rPr>
            </w:pPr>
            <w:r w:rsidRPr="0069415B">
              <w:rPr>
                <w:color w:val="000000"/>
                <w:sz w:val="18"/>
                <w:szCs w:val="18"/>
              </w:rPr>
              <w:t>684</w:t>
            </w:r>
          </w:p>
        </w:tc>
        <w:tc>
          <w:tcPr>
            <w:tcW w:w="974" w:type="dxa"/>
            <w:tcBorders>
              <w:top w:val="nil"/>
              <w:left w:val="nil"/>
              <w:bottom w:val="single" w:sz="4" w:space="0" w:color="auto"/>
              <w:right w:val="single" w:sz="4" w:space="0" w:color="auto"/>
            </w:tcBorders>
            <w:shd w:val="clear" w:color="auto" w:fill="auto"/>
            <w:noWrap/>
            <w:vAlign w:val="center"/>
          </w:tcPr>
          <w:p w14:paraId="2510F949" w14:textId="77777777" w:rsidR="0024416E" w:rsidRPr="00A459B8" w:rsidRDefault="0024416E" w:rsidP="00A26D06">
            <w:pPr>
              <w:jc w:val="right"/>
              <w:rPr>
                <w:color w:val="000000"/>
                <w:sz w:val="18"/>
                <w:szCs w:val="18"/>
              </w:rPr>
            </w:pPr>
            <w:r w:rsidRPr="0069415B">
              <w:rPr>
                <w:color w:val="000000"/>
                <w:sz w:val="18"/>
                <w:szCs w:val="18"/>
              </w:rPr>
              <w:t>674</w:t>
            </w:r>
          </w:p>
        </w:tc>
      </w:tr>
      <w:tr w:rsidR="0024416E" w:rsidRPr="00A459B8" w14:paraId="3A39F107"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tcPr>
          <w:p w14:paraId="5EB659B6" w14:textId="77777777" w:rsidR="0024416E" w:rsidRPr="00A459B8" w:rsidRDefault="0024416E" w:rsidP="00A26D06">
            <w:pPr>
              <w:rPr>
                <w:color w:val="000000"/>
                <w:sz w:val="18"/>
                <w:szCs w:val="18"/>
              </w:rPr>
            </w:pPr>
            <w:r w:rsidRPr="00A459B8">
              <w:rPr>
                <w:color w:val="000000"/>
                <w:sz w:val="18"/>
                <w:szCs w:val="18"/>
              </w:rPr>
              <w:t>Tonokilometre (mil. tkm) – vodná preprava  za všetkých prevádzkovateľov vnútrozemskej vodnej dopravy na území SR bez ohľadu na krajinu registrácie plavidla</w:t>
            </w:r>
          </w:p>
        </w:tc>
        <w:tc>
          <w:tcPr>
            <w:tcW w:w="1197" w:type="dxa"/>
            <w:tcBorders>
              <w:top w:val="nil"/>
              <w:left w:val="nil"/>
              <w:bottom w:val="single" w:sz="4" w:space="0" w:color="auto"/>
              <w:right w:val="single" w:sz="4" w:space="0" w:color="auto"/>
            </w:tcBorders>
            <w:shd w:val="clear" w:color="auto" w:fill="auto"/>
            <w:noWrap/>
            <w:vAlign w:val="center"/>
          </w:tcPr>
          <w:p w14:paraId="149C8884" w14:textId="77777777" w:rsidR="0024416E" w:rsidRPr="00A459B8" w:rsidRDefault="0024416E" w:rsidP="00A26D06">
            <w:pPr>
              <w:jc w:val="right"/>
              <w:rPr>
                <w:sz w:val="18"/>
                <w:szCs w:val="18"/>
              </w:rPr>
            </w:pPr>
            <w:r w:rsidRPr="0069415B">
              <w:rPr>
                <w:color w:val="000000"/>
                <w:sz w:val="18"/>
                <w:szCs w:val="18"/>
              </w:rPr>
              <w:t>905</w:t>
            </w:r>
          </w:p>
        </w:tc>
        <w:tc>
          <w:tcPr>
            <w:tcW w:w="1113" w:type="dxa"/>
            <w:tcBorders>
              <w:top w:val="nil"/>
              <w:left w:val="nil"/>
              <w:bottom w:val="single" w:sz="4" w:space="0" w:color="auto"/>
              <w:right w:val="single" w:sz="4" w:space="0" w:color="auto"/>
            </w:tcBorders>
            <w:shd w:val="clear" w:color="auto" w:fill="auto"/>
            <w:noWrap/>
            <w:vAlign w:val="center"/>
          </w:tcPr>
          <w:p w14:paraId="542DEAEC" w14:textId="77777777" w:rsidR="0024416E" w:rsidRPr="00A459B8" w:rsidRDefault="0024416E" w:rsidP="00A26D06">
            <w:pPr>
              <w:jc w:val="right"/>
              <w:rPr>
                <w:sz w:val="18"/>
                <w:szCs w:val="18"/>
              </w:rPr>
            </w:pPr>
            <w:r w:rsidRPr="0069415B">
              <w:rPr>
                <w:color w:val="000000"/>
                <w:sz w:val="18"/>
                <w:szCs w:val="18"/>
              </w:rPr>
              <w:t>741</w:t>
            </w:r>
          </w:p>
        </w:tc>
        <w:tc>
          <w:tcPr>
            <w:tcW w:w="1197" w:type="dxa"/>
            <w:tcBorders>
              <w:top w:val="nil"/>
              <w:left w:val="nil"/>
              <w:bottom w:val="single" w:sz="4" w:space="0" w:color="auto"/>
              <w:right w:val="single" w:sz="4" w:space="0" w:color="auto"/>
            </w:tcBorders>
            <w:shd w:val="clear" w:color="auto" w:fill="auto"/>
            <w:noWrap/>
            <w:vAlign w:val="center"/>
          </w:tcPr>
          <w:p w14:paraId="009A37B4" w14:textId="77777777" w:rsidR="0024416E" w:rsidRPr="00A459B8" w:rsidRDefault="0024416E" w:rsidP="00A26D06">
            <w:pPr>
              <w:jc w:val="right"/>
              <w:rPr>
                <w:sz w:val="18"/>
                <w:szCs w:val="18"/>
              </w:rPr>
            </w:pPr>
            <w:r w:rsidRPr="0069415B">
              <w:rPr>
                <w:color w:val="000000"/>
                <w:sz w:val="18"/>
                <w:szCs w:val="18"/>
              </w:rPr>
              <w:t>905</w:t>
            </w:r>
          </w:p>
        </w:tc>
        <w:tc>
          <w:tcPr>
            <w:tcW w:w="974" w:type="dxa"/>
            <w:tcBorders>
              <w:top w:val="nil"/>
              <w:left w:val="nil"/>
              <w:bottom w:val="single" w:sz="4" w:space="0" w:color="auto"/>
              <w:right w:val="single" w:sz="4" w:space="0" w:color="auto"/>
            </w:tcBorders>
            <w:shd w:val="clear" w:color="auto" w:fill="auto"/>
            <w:noWrap/>
            <w:vAlign w:val="center"/>
          </w:tcPr>
          <w:p w14:paraId="3757B14F" w14:textId="77777777" w:rsidR="0024416E" w:rsidRPr="00A459B8" w:rsidRDefault="0024416E" w:rsidP="00A26D06">
            <w:pPr>
              <w:jc w:val="right"/>
              <w:rPr>
                <w:color w:val="000000"/>
                <w:sz w:val="18"/>
                <w:szCs w:val="18"/>
              </w:rPr>
            </w:pPr>
            <w:r w:rsidRPr="0069415B">
              <w:rPr>
                <w:color w:val="000000"/>
                <w:sz w:val="18"/>
                <w:szCs w:val="18"/>
              </w:rPr>
              <w:t>741</w:t>
            </w:r>
          </w:p>
        </w:tc>
      </w:tr>
      <w:tr w:rsidR="0024416E" w:rsidRPr="00A459B8" w14:paraId="24C66D7C" w14:textId="77777777" w:rsidTr="00A26D06">
        <w:trPr>
          <w:trHeight w:val="300"/>
        </w:trPr>
        <w:tc>
          <w:tcPr>
            <w:tcW w:w="4581" w:type="dxa"/>
            <w:tcBorders>
              <w:top w:val="nil"/>
              <w:left w:val="single" w:sz="4" w:space="0" w:color="auto"/>
              <w:bottom w:val="single" w:sz="4" w:space="0" w:color="auto"/>
              <w:right w:val="single" w:sz="4" w:space="0" w:color="auto"/>
            </w:tcBorders>
            <w:shd w:val="clear" w:color="auto" w:fill="auto"/>
            <w:noWrap/>
            <w:vAlign w:val="center"/>
            <w:hideMark/>
          </w:tcPr>
          <w:p w14:paraId="5BE069DD" w14:textId="77777777" w:rsidR="0024416E" w:rsidRPr="00A459B8" w:rsidRDefault="0024416E" w:rsidP="00A26D06">
            <w:pPr>
              <w:rPr>
                <w:color w:val="000000"/>
                <w:sz w:val="18"/>
                <w:szCs w:val="18"/>
              </w:rPr>
            </w:pPr>
            <w:r w:rsidRPr="00A459B8">
              <w:rPr>
                <w:color w:val="000000"/>
                <w:sz w:val="18"/>
                <w:szCs w:val="18"/>
              </w:rPr>
              <w:t>Počet obyvateľov k 31.12. daného roku</w:t>
            </w:r>
          </w:p>
        </w:tc>
        <w:tc>
          <w:tcPr>
            <w:tcW w:w="1197" w:type="dxa"/>
            <w:tcBorders>
              <w:top w:val="nil"/>
              <w:left w:val="nil"/>
              <w:bottom w:val="single" w:sz="4" w:space="0" w:color="auto"/>
              <w:right w:val="single" w:sz="4" w:space="0" w:color="auto"/>
            </w:tcBorders>
            <w:shd w:val="clear" w:color="auto" w:fill="auto"/>
            <w:noWrap/>
            <w:vAlign w:val="center"/>
          </w:tcPr>
          <w:p w14:paraId="4B4A38B3" w14:textId="77777777" w:rsidR="0024416E" w:rsidRPr="00A459B8" w:rsidRDefault="0024416E" w:rsidP="00A26D06">
            <w:pPr>
              <w:jc w:val="right"/>
              <w:rPr>
                <w:color w:val="000000"/>
                <w:sz w:val="18"/>
                <w:szCs w:val="18"/>
              </w:rPr>
            </w:pPr>
            <w:r w:rsidRPr="00A459B8">
              <w:rPr>
                <w:color w:val="000000"/>
                <w:sz w:val="18"/>
                <w:szCs w:val="18"/>
              </w:rPr>
              <w:t>5 415 949</w:t>
            </w:r>
          </w:p>
        </w:tc>
        <w:tc>
          <w:tcPr>
            <w:tcW w:w="1113" w:type="dxa"/>
            <w:tcBorders>
              <w:top w:val="nil"/>
              <w:left w:val="nil"/>
              <w:bottom w:val="single" w:sz="4" w:space="0" w:color="auto"/>
              <w:right w:val="single" w:sz="4" w:space="0" w:color="auto"/>
            </w:tcBorders>
            <w:shd w:val="clear" w:color="auto" w:fill="auto"/>
            <w:noWrap/>
            <w:vAlign w:val="center"/>
          </w:tcPr>
          <w:p w14:paraId="796DF6B4" w14:textId="77777777" w:rsidR="0024416E" w:rsidRPr="00A459B8" w:rsidRDefault="0024416E" w:rsidP="00A26D06">
            <w:pPr>
              <w:jc w:val="right"/>
              <w:rPr>
                <w:color w:val="000000"/>
                <w:sz w:val="18"/>
                <w:szCs w:val="18"/>
              </w:rPr>
            </w:pPr>
          </w:p>
        </w:tc>
        <w:tc>
          <w:tcPr>
            <w:tcW w:w="1197" w:type="dxa"/>
            <w:tcBorders>
              <w:top w:val="nil"/>
              <w:left w:val="nil"/>
              <w:bottom w:val="single" w:sz="4" w:space="0" w:color="auto"/>
              <w:right w:val="single" w:sz="4" w:space="0" w:color="auto"/>
            </w:tcBorders>
            <w:shd w:val="clear" w:color="auto" w:fill="auto"/>
            <w:noWrap/>
            <w:vAlign w:val="center"/>
          </w:tcPr>
          <w:p w14:paraId="0A9E42C4" w14:textId="77777777" w:rsidR="0024416E" w:rsidRPr="00A459B8" w:rsidRDefault="0024416E" w:rsidP="00A26D06">
            <w:pPr>
              <w:jc w:val="right"/>
              <w:rPr>
                <w:color w:val="000000"/>
                <w:sz w:val="18"/>
                <w:szCs w:val="18"/>
              </w:rPr>
            </w:pPr>
            <w:r w:rsidRPr="00A459B8">
              <w:rPr>
                <w:color w:val="000000"/>
                <w:sz w:val="18"/>
                <w:szCs w:val="18"/>
              </w:rPr>
              <w:t>5 421 000</w:t>
            </w:r>
          </w:p>
        </w:tc>
        <w:tc>
          <w:tcPr>
            <w:tcW w:w="974" w:type="dxa"/>
            <w:tcBorders>
              <w:top w:val="nil"/>
              <w:left w:val="nil"/>
              <w:bottom w:val="single" w:sz="4" w:space="0" w:color="auto"/>
              <w:right w:val="single" w:sz="4" w:space="0" w:color="auto"/>
            </w:tcBorders>
            <w:shd w:val="clear" w:color="auto" w:fill="auto"/>
            <w:noWrap/>
            <w:vAlign w:val="center"/>
          </w:tcPr>
          <w:p w14:paraId="747417EA" w14:textId="77777777" w:rsidR="0024416E" w:rsidRPr="00A459B8" w:rsidRDefault="0024416E" w:rsidP="00A26D06">
            <w:pPr>
              <w:jc w:val="right"/>
              <w:rPr>
                <w:color w:val="000000"/>
                <w:sz w:val="18"/>
                <w:szCs w:val="18"/>
              </w:rPr>
            </w:pPr>
            <w:r w:rsidRPr="00A459B8">
              <w:rPr>
                <w:color w:val="000000"/>
                <w:sz w:val="18"/>
                <w:szCs w:val="18"/>
              </w:rPr>
              <w:t>5 423 801</w:t>
            </w:r>
          </w:p>
        </w:tc>
      </w:tr>
    </w:tbl>
    <w:p w14:paraId="6B630317" w14:textId="77777777" w:rsidR="0024416E" w:rsidRPr="00A459B8" w:rsidRDefault="0024416E" w:rsidP="0024416E">
      <w:pPr>
        <w:keepNext/>
        <w:rPr>
          <w:rFonts w:eastAsia="Calibri"/>
          <w:sz w:val="22"/>
          <w:szCs w:val="22"/>
          <w:lang w:eastAsia="en-US"/>
        </w:rPr>
      </w:pPr>
      <w:r w:rsidRPr="00A459B8">
        <w:rPr>
          <w:rFonts w:eastAsia="Calibri"/>
          <w:sz w:val="22"/>
          <w:szCs w:val="22"/>
          <w:lang w:eastAsia="en-US"/>
        </w:rPr>
        <w:t>Zdroj: ŠÚSR (2017), Eurostat (201</w:t>
      </w:r>
      <w:r>
        <w:rPr>
          <w:rFonts w:eastAsia="Calibri"/>
          <w:sz w:val="22"/>
          <w:szCs w:val="22"/>
          <w:lang w:eastAsia="en-US"/>
        </w:rPr>
        <w:t>7</w:t>
      </w:r>
      <w:r w:rsidRPr="00A459B8">
        <w:rPr>
          <w:rFonts w:eastAsia="Calibri"/>
          <w:sz w:val="22"/>
          <w:szCs w:val="22"/>
          <w:lang w:eastAsia="en-US"/>
        </w:rPr>
        <w:t>), MDV SR (2016)</w:t>
      </w:r>
    </w:p>
    <w:p w14:paraId="507A696A" w14:textId="77777777" w:rsidR="0024416E" w:rsidRPr="00A459B8" w:rsidRDefault="0024416E" w:rsidP="0024416E">
      <w:pPr>
        <w:keepNext/>
        <w:rPr>
          <w:rFonts w:eastAsia="Calibri"/>
          <w:sz w:val="22"/>
          <w:szCs w:val="22"/>
          <w:lang w:eastAsia="en-US"/>
        </w:rPr>
      </w:pPr>
    </w:p>
    <w:p w14:paraId="032ADC41" w14:textId="77777777" w:rsidR="0024416E" w:rsidRPr="00A459B8" w:rsidRDefault="0024416E" w:rsidP="0024416E">
      <w:pPr>
        <w:spacing w:before="20" w:after="20"/>
        <w:contextualSpacing/>
        <w:jc w:val="both"/>
        <w:rPr>
          <w:rFonts w:eastAsia="Calibri"/>
          <w:i/>
          <w:szCs w:val="22"/>
          <w:lang w:eastAsia="en-US"/>
        </w:rPr>
      </w:pPr>
      <w:r w:rsidRPr="00A459B8">
        <w:rPr>
          <w:rFonts w:eastAsia="Calibri"/>
          <w:i/>
          <w:szCs w:val="22"/>
          <w:lang w:eastAsia="en-US"/>
        </w:rPr>
        <w:t>Pozn.: 1) Primárna energetická spotreba je vypočítaná ako rozdiel hrubej domácej spotreby a neenergetickej spotreby,</w:t>
      </w:r>
    </w:p>
    <w:p w14:paraId="1E506DCD" w14:textId="77777777" w:rsidR="0024416E" w:rsidRPr="00A459B8" w:rsidRDefault="0024416E" w:rsidP="0024416E">
      <w:pPr>
        <w:spacing w:before="20" w:after="20"/>
        <w:contextualSpacing/>
        <w:jc w:val="both"/>
        <w:rPr>
          <w:rFonts w:eastAsia="Calibri"/>
          <w:i/>
          <w:szCs w:val="22"/>
          <w:lang w:eastAsia="en-US"/>
        </w:rPr>
      </w:pPr>
      <w:r w:rsidRPr="00A459B8">
        <w:rPr>
          <w:rFonts w:eastAsia="Calibri"/>
          <w:i/>
          <w:szCs w:val="22"/>
          <w:lang w:eastAsia="en-US"/>
        </w:rPr>
        <w:t xml:space="preserve">2) </w:t>
      </w:r>
      <w:r w:rsidRPr="00A459B8">
        <w:rPr>
          <w:i/>
          <w:szCs w:val="22"/>
          <w:lang w:eastAsia="en-US"/>
        </w:rPr>
        <w:t>Uvedené v stálych cenách vypočítaných reťazením objemov s použitím referenčného roka 2010,</w:t>
      </w:r>
    </w:p>
    <w:p w14:paraId="0E911031" w14:textId="77777777" w:rsidR="0024416E" w:rsidRPr="00A459B8" w:rsidRDefault="0024416E" w:rsidP="0024416E">
      <w:pPr>
        <w:spacing w:before="20" w:after="20"/>
        <w:contextualSpacing/>
        <w:jc w:val="both"/>
        <w:rPr>
          <w:rFonts w:eastAsia="Calibri"/>
          <w:i/>
          <w:szCs w:val="22"/>
          <w:lang w:eastAsia="en-US"/>
        </w:rPr>
      </w:pPr>
      <w:r w:rsidRPr="00A459B8">
        <w:rPr>
          <w:rFonts w:eastAsia="Calibri"/>
          <w:i/>
          <w:szCs w:val="22"/>
          <w:lang w:eastAsia="en-US"/>
        </w:rPr>
        <w:t>3) Výroba elektriny v tepelných elektrárňach je vypočítaná ako súčet verejných a závodných výrobní,</w:t>
      </w:r>
    </w:p>
    <w:p w14:paraId="6E26F38D" w14:textId="77777777" w:rsidR="0024416E" w:rsidRPr="00A459B8" w:rsidRDefault="0024416E" w:rsidP="0024416E">
      <w:pPr>
        <w:spacing w:before="20" w:after="20"/>
        <w:contextualSpacing/>
        <w:jc w:val="both"/>
        <w:rPr>
          <w:rFonts w:eastAsia="Calibri"/>
          <w:i/>
          <w:szCs w:val="22"/>
          <w:lang w:eastAsia="en-US"/>
        </w:rPr>
      </w:pPr>
      <w:r w:rsidRPr="00A459B8">
        <w:rPr>
          <w:rFonts w:eastAsia="Calibri"/>
          <w:i/>
          <w:szCs w:val="22"/>
          <w:lang w:eastAsia="en-US"/>
        </w:rPr>
        <w:t xml:space="preserve">4) </w:t>
      </w:r>
      <w:r w:rsidRPr="00A459B8">
        <w:rPr>
          <w:i/>
          <w:szCs w:val="22"/>
          <w:lang w:eastAsia="en-US"/>
        </w:rPr>
        <w:t xml:space="preserve">Výroba elektriny z KVET </w:t>
      </w:r>
      <w:r w:rsidRPr="00A459B8">
        <w:rPr>
          <w:rFonts w:eastAsia="Calibri"/>
          <w:i/>
          <w:szCs w:val="22"/>
          <w:lang w:eastAsia="en-US"/>
        </w:rPr>
        <w:t xml:space="preserve">je vypočítaná ako </w:t>
      </w:r>
      <w:r w:rsidRPr="00A459B8">
        <w:rPr>
          <w:i/>
          <w:szCs w:val="22"/>
          <w:lang w:eastAsia="en-US"/>
        </w:rPr>
        <w:t>súčet  verejných a závodných výrobní,</w:t>
      </w:r>
    </w:p>
    <w:p w14:paraId="675A5A90" w14:textId="77777777" w:rsidR="0024416E" w:rsidRPr="00A459B8" w:rsidRDefault="0024416E" w:rsidP="0024416E">
      <w:pPr>
        <w:spacing w:before="20" w:after="20"/>
        <w:contextualSpacing/>
        <w:jc w:val="both"/>
        <w:rPr>
          <w:rFonts w:eastAsia="Calibri"/>
          <w:i/>
          <w:szCs w:val="22"/>
          <w:lang w:eastAsia="en-US"/>
        </w:rPr>
      </w:pPr>
      <w:r w:rsidRPr="00A459B8">
        <w:rPr>
          <w:rFonts w:eastAsia="Calibri"/>
          <w:i/>
          <w:szCs w:val="22"/>
          <w:lang w:eastAsia="en-US"/>
        </w:rPr>
        <w:t xml:space="preserve">5) </w:t>
      </w:r>
      <w:r w:rsidRPr="00A459B8">
        <w:rPr>
          <w:i/>
          <w:szCs w:val="22"/>
          <w:lang w:eastAsia="en-US"/>
        </w:rPr>
        <w:t>Výroba tepla v tepelných zariadeniach je získaná ako súčet množstva tepla vyrobeného v teplárňach rozdelených podľa palív,</w:t>
      </w:r>
    </w:p>
    <w:p w14:paraId="10512759" w14:textId="77777777" w:rsidR="0024416E" w:rsidRPr="00A459B8" w:rsidRDefault="0024416E" w:rsidP="0024416E">
      <w:pPr>
        <w:spacing w:before="20" w:after="20"/>
        <w:contextualSpacing/>
        <w:jc w:val="both"/>
        <w:rPr>
          <w:rFonts w:eastAsia="Calibri"/>
          <w:i/>
          <w:szCs w:val="22"/>
          <w:lang w:eastAsia="en-US"/>
        </w:rPr>
      </w:pPr>
      <w:r w:rsidRPr="00A459B8">
        <w:rPr>
          <w:rFonts w:eastAsia="Calibri"/>
          <w:i/>
          <w:szCs w:val="22"/>
          <w:lang w:eastAsia="en-US"/>
        </w:rPr>
        <w:lastRenderedPageBreak/>
        <w:t>6)</w:t>
      </w:r>
      <w:r w:rsidRPr="00A459B8">
        <w:rPr>
          <w:i/>
          <w:szCs w:val="22"/>
          <w:lang w:eastAsia="en-US"/>
        </w:rPr>
        <w:t xml:space="preserve"> Výroba tepla zo zariadení KVET vrátane odpadového tepla v priemysle</w:t>
      </w:r>
      <w:r w:rsidRPr="00A459B8">
        <w:rPr>
          <w:rFonts w:eastAsia="Calibri"/>
          <w:i/>
          <w:szCs w:val="22"/>
          <w:lang w:eastAsia="en-US"/>
        </w:rPr>
        <w:t xml:space="preserve"> je vypočítaná </w:t>
      </w:r>
      <w:r w:rsidRPr="00A459B8">
        <w:rPr>
          <w:i/>
          <w:szCs w:val="22"/>
          <w:lang w:eastAsia="en-US"/>
        </w:rPr>
        <w:t>ako súčet množstva tepla vyrobeného vo verejných a závodných teplárňach a spotreby tepla v priemysle</w:t>
      </w:r>
      <w:r w:rsidRPr="00A459B8">
        <w:rPr>
          <w:rFonts w:eastAsia="Calibri"/>
          <w:i/>
          <w:szCs w:val="22"/>
          <w:lang w:eastAsia="en-US"/>
        </w:rPr>
        <w:t>,</w:t>
      </w:r>
    </w:p>
    <w:p w14:paraId="145F3D6D" w14:textId="77777777" w:rsidR="0024416E" w:rsidRPr="00A459B8" w:rsidRDefault="0024416E" w:rsidP="0024416E">
      <w:pPr>
        <w:spacing w:before="20" w:after="20"/>
        <w:contextualSpacing/>
        <w:jc w:val="both"/>
        <w:rPr>
          <w:i/>
          <w:szCs w:val="22"/>
          <w:lang w:eastAsia="en-US"/>
        </w:rPr>
      </w:pPr>
      <w:r w:rsidRPr="00A459B8">
        <w:rPr>
          <w:rFonts w:eastAsia="Calibri"/>
          <w:i/>
          <w:szCs w:val="22"/>
          <w:lang w:eastAsia="en-US"/>
        </w:rPr>
        <w:t xml:space="preserve">7) </w:t>
      </w:r>
      <w:r w:rsidRPr="00A459B8">
        <w:rPr>
          <w:i/>
          <w:szCs w:val="22"/>
          <w:lang w:eastAsia="en-US"/>
        </w:rPr>
        <w:t xml:space="preserve">Palivové vstupy v tepelných zariadeniach </w:t>
      </w:r>
      <w:r w:rsidRPr="00A459B8">
        <w:rPr>
          <w:rFonts w:eastAsia="Calibri"/>
          <w:i/>
          <w:szCs w:val="22"/>
          <w:lang w:eastAsia="en-US"/>
        </w:rPr>
        <w:t xml:space="preserve">sú vypočítané </w:t>
      </w:r>
      <w:r w:rsidRPr="00A459B8">
        <w:rPr>
          <w:i/>
          <w:szCs w:val="22"/>
          <w:lang w:eastAsia="en-US"/>
        </w:rPr>
        <w:t>ako</w:t>
      </w:r>
      <w:r w:rsidRPr="00A459B8">
        <w:rPr>
          <w:rFonts w:eastAsia="Calibri"/>
          <w:i/>
          <w:szCs w:val="22"/>
          <w:lang w:eastAsia="en-US"/>
        </w:rPr>
        <w:t xml:space="preserve"> </w:t>
      </w:r>
      <w:r w:rsidRPr="00A459B8">
        <w:rPr>
          <w:i/>
          <w:szCs w:val="22"/>
          <w:lang w:eastAsia="en-US"/>
        </w:rPr>
        <w:t>súčet palivových vsázok v teplárňach rozdelených podľa palív,</w:t>
      </w:r>
    </w:p>
    <w:p w14:paraId="24C44C00" w14:textId="77777777" w:rsidR="0024416E" w:rsidRPr="00A459B8" w:rsidRDefault="0024416E" w:rsidP="0024416E">
      <w:pPr>
        <w:spacing w:before="20" w:after="20"/>
        <w:contextualSpacing/>
        <w:jc w:val="both"/>
        <w:rPr>
          <w:i/>
          <w:sz w:val="16"/>
          <w:szCs w:val="22"/>
          <w:lang w:eastAsia="en-US"/>
        </w:rPr>
      </w:pPr>
      <w:r w:rsidRPr="00A459B8">
        <w:rPr>
          <w:i/>
          <w:szCs w:val="24"/>
          <w:lang w:eastAsia="en-US"/>
        </w:rPr>
        <w:t>8) Zahŕňa verejnú a neverejnú dopravu (ŠÚ SR)  a IAD (MDV SR).</w:t>
      </w:r>
    </w:p>
    <w:p w14:paraId="19A467D5" w14:textId="77777777" w:rsidR="0024416E" w:rsidRPr="00A459B8" w:rsidRDefault="0024416E" w:rsidP="0024416E">
      <w:pPr>
        <w:spacing w:before="20" w:after="20"/>
        <w:contextualSpacing/>
        <w:jc w:val="both"/>
        <w:rPr>
          <w:rFonts w:eastAsia="Calibri"/>
          <w:i/>
          <w:szCs w:val="22"/>
          <w:lang w:eastAsia="en-US"/>
        </w:rPr>
      </w:pPr>
      <w:r w:rsidRPr="00A459B8">
        <w:rPr>
          <w:rFonts w:eastAsia="Calibri"/>
          <w:i/>
          <w:szCs w:val="22"/>
          <w:lang w:eastAsia="en-US"/>
        </w:rPr>
        <w:t>* - Konečná energetická spotreba v doprave pri údajoch Eurostatu zahŕňa aj spotrebu energie na plynovody,</w:t>
      </w:r>
    </w:p>
    <w:p w14:paraId="533002F6" w14:textId="77777777" w:rsidR="0024416E" w:rsidRPr="00A459B8" w:rsidRDefault="0024416E" w:rsidP="0024416E">
      <w:pPr>
        <w:spacing w:before="20" w:after="20"/>
        <w:contextualSpacing/>
        <w:jc w:val="both"/>
        <w:rPr>
          <w:rFonts w:eastAsia="Calibri"/>
          <w:i/>
          <w:szCs w:val="22"/>
          <w:lang w:eastAsia="en-US"/>
        </w:rPr>
      </w:pPr>
      <w:r w:rsidRPr="00A459B8">
        <w:rPr>
          <w:rFonts w:eastAsia="Calibri"/>
          <w:i/>
          <w:szCs w:val="22"/>
          <w:lang w:eastAsia="en-US"/>
        </w:rPr>
        <w:t xml:space="preserve">** - Označené údaje ŠÚSR nevypočítava ani nepublikuje, </w:t>
      </w:r>
    </w:p>
    <w:p w14:paraId="73EE7420" w14:textId="77777777" w:rsidR="0024416E" w:rsidRPr="00A459B8" w:rsidRDefault="0024416E" w:rsidP="0024416E">
      <w:pPr>
        <w:spacing w:before="20" w:after="20"/>
        <w:contextualSpacing/>
        <w:jc w:val="both"/>
        <w:rPr>
          <w:rFonts w:eastAsia="Calibri"/>
          <w:i/>
          <w:szCs w:val="22"/>
          <w:lang w:eastAsia="en-US"/>
        </w:rPr>
      </w:pPr>
      <w:r w:rsidRPr="00A459B8">
        <w:rPr>
          <w:rFonts w:eastAsia="Calibri"/>
          <w:i/>
          <w:szCs w:val="22"/>
          <w:lang w:eastAsia="en-US"/>
        </w:rPr>
        <w:t xml:space="preserve">*** - Rozdiel vyplýva z rôznej úrovne dopočtov (štvrťrok/rok), </w:t>
      </w:r>
    </w:p>
    <w:p w14:paraId="1DE9EAE2" w14:textId="77777777" w:rsidR="0024416E" w:rsidRPr="00A459B8" w:rsidRDefault="0024416E" w:rsidP="0024416E">
      <w:pPr>
        <w:spacing w:before="20" w:after="20"/>
        <w:contextualSpacing/>
        <w:jc w:val="both"/>
        <w:rPr>
          <w:rFonts w:eastAsia="Calibri"/>
          <w:i/>
          <w:szCs w:val="22"/>
          <w:lang w:eastAsia="en-US"/>
        </w:rPr>
      </w:pPr>
      <w:r w:rsidRPr="00A459B8">
        <w:rPr>
          <w:rFonts w:eastAsia="Calibri"/>
          <w:i/>
          <w:szCs w:val="22"/>
          <w:lang w:eastAsia="en-US"/>
        </w:rPr>
        <w:t xml:space="preserve">****- Nakoľko </w:t>
      </w:r>
      <w:r w:rsidRPr="00C61CB6">
        <w:rPr>
          <w:rFonts w:eastAsia="Calibri"/>
          <w:i/>
        </w:rPr>
        <w:t xml:space="preserve">niektoré údaje Eurostatu </w:t>
      </w:r>
      <w:r>
        <w:rPr>
          <w:rFonts w:eastAsia="Calibri"/>
          <w:i/>
        </w:rPr>
        <w:t>ne</w:t>
      </w:r>
      <w:r w:rsidRPr="00A459B8">
        <w:rPr>
          <w:rFonts w:eastAsia="Calibri"/>
          <w:i/>
          <w:szCs w:val="22"/>
          <w:lang w:eastAsia="en-US"/>
        </w:rPr>
        <w:t xml:space="preserve">boli v čase prípravy k dispozícii, tieto budú </w:t>
      </w:r>
      <w:r w:rsidRPr="006D7B5F">
        <w:rPr>
          <w:rFonts w:eastAsia="Calibri"/>
          <w:i/>
        </w:rPr>
        <w:t>doplnené</w:t>
      </w:r>
      <w:r w:rsidRPr="00A459B8" w:rsidDel="006D7B5F">
        <w:rPr>
          <w:rFonts w:eastAsia="Calibri"/>
          <w:i/>
          <w:szCs w:val="22"/>
          <w:lang w:eastAsia="en-US"/>
        </w:rPr>
        <w:t xml:space="preserve"> </w:t>
      </w:r>
      <w:r w:rsidRPr="0021689A">
        <w:rPr>
          <w:rFonts w:eastAsia="Calibri"/>
          <w:i/>
        </w:rPr>
        <w:t>dodatočne</w:t>
      </w:r>
      <w:r w:rsidRPr="00A459B8">
        <w:rPr>
          <w:rFonts w:eastAsia="Calibri"/>
          <w:i/>
          <w:szCs w:val="22"/>
          <w:lang w:eastAsia="en-US"/>
        </w:rPr>
        <w:t>.</w:t>
      </w:r>
    </w:p>
    <w:p w14:paraId="31E4B24D" w14:textId="77777777" w:rsidR="0024416E" w:rsidRPr="00A459B8" w:rsidRDefault="0024416E" w:rsidP="0024416E">
      <w:pPr>
        <w:keepNext/>
        <w:rPr>
          <w:rFonts w:ascii="Calibri" w:eastAsia="Calibri" w:hAnsi="Calibri"/>
          <w:sz w:val="22"/>
          <w:szCs w:val="22"/>
          <w:lang w:eastAsia="en-US"/>
        </w:rPr>
      </w:pPr>
    </w:p>
    <w:p w14:paraId="2D98F16A" w14:textId="77777777" w:rsidR="0024416E" w:rsidRPr="00A459B8" w:rsidRDefault="0024416E" w:rsidP="00075A67">
      <w:pPr>
        <w:contextualSpacing/>
        <w:jc w:val="both"/>
        <w:rPr>
          <w:rFonts w:ascii="Calibri" w:eastAsia="Calibri" w:hAnsi="Calibri"/>
          <w:sz w:val="22"/>
          <w:szCs w:val="22"/>
          <w:lang w:eastAsia="en-US"/>
        </w:rPr>
      </w:pPr>
      <w:r w:rsidRPr="00A459B8">
        <w:rPr>
          <w:rFonts w:eastAsia="Calibri"/>
          <w:sz w:val="24"/>
          <w:szCs w:val="24"/>
          <w:lang w:eastAsia="en-US"/>
        </w:rPr>
        <w:t>Hlavným dôvodom rozdielov medzi údajmi ŠÚSR a Eurostatu sú rozdielne metodiky započítania údajov do jednotlivých položiek, nakoľko údajová základňa je zhodná. Ide najmä</w:t>
      </w:r>
      <w:r w:rsidRPr="00A459B8">
        <w:rPr>
          <w:rFonts w:ascii="Calibri" w:eastAsia="Calibri" w:hAnsi="Calibri"/>
          <w:sz w:val="22"/>
          <w:szCs w:val="22"/>
          <w:lang w:eastAsia="en-US"/>
        </w:rPr>
        <w:t xml:space="preserve"> </w:t>
      </w:r>
      <w:r w:rsidRPr="00A459B8">
        <w:rPr>
          <w:rFonts w:eastAsia="Calibri"/>
          <w:sz w:val="24"/>
          <w:szCs w:val="24"/>
          <w:lang w:eastAsia="en-US"/>
        </w:rPr>
        <w:t>o rozdiely pri vykazovaní spotreby uhlia, spotreby energie na pohon kompresných staníc plynovodu, ako aj o fakt, že ŠÚSR prepočítava všetky palivá cez výhrevnosť, kým Eurostat prepočítava časť palív cez spalné teplo.</w:t>
      </w:r>
      <w:r w:rsidRPr="00A459B8">
        <w:rPr>
          <w:rFonts w:ascii="Calibri" w:eastAsia="Calibri" w:hAnsi="Calibri"/>
          <w:sz w:val="22"/>
          <w:szCs w:val="22"/>
          <w:lang w:eastAsia="en-US"/>
        </w:rPr>
        <w:t xml:space="preserve"> </w:t>
      </w:r>
    </w:p>
    <w:p w14:paraId="5F72473F" w14:textId="77777777" w:rsidR="0024416E" w:rsidRPr="00A26D06" w:rsidRDefault="0024416E" w:rsidP="0024416E">
      <w:pPr>
        <w:keepNext/>
        <w:keepLines/>
        <w:spacing w:before="480" w:line="276" w:lineRule="auto"/>
        <w:outlineLvl w:val="0"/>
        <w:rPr>
          <w:rFonts w:ascii="Cambria" w:hAnsi="Cambria"/>
          <w:b/>
          <w:bCs/>
          <w:sz w:val="28"/>
          <w:szCs w:val="28"/>
          <w:lang w:eastAsia="en-US"/>
        </w:rPr>
      </w:pPr>
      <w:bookmarkStart w:id="3" w:name="_Toc475385083"/>
      <w:r w:rsidRPr="00A26D06">
        <w:rPr>
          <w:rFonts w:ascii="Cambria" w:hAnsi="Cambria"/>
          <w:b/>
          <w:bCs/>
          <w:sz w:val="28"/>
          <w:szCs w:val="28"/>
          <w:lang w:eastAsia="en-US"/>
        </w:rPr>
        <w:t>2. Vývoj spotreby energie v jednotlivých sektoroch</w:t>
      </w:r>
      <w:bookmarkEnd w:id="3"/>
      <w:r w:rsidRPr="00A26D06">
        <w:rPr>
          <w:rFonts w:ascii="Cambria" w:hAnsi="Cambria"/>
          <w:b/>
          <w:bCs/>
          <w:sz w:val="28"/>
          <w:szCs w:val="28"/>
          <w:lang w:eastAsia="en-US"/>
        </w:rPr>
        <w:t xml:space="preserve"> </w:t>
      </w:r>
    </w:p>
    <w:p w14:paraId="3E2430A0" w14:textId="77777777" w:rsidR="0024416E" w:rsidRPr="00A459B8" w:rsidRDefault="0024416E" w:rsidP="0024416E">
      <w:pPr>
        <w:rPr>
          <w:rFonts w:eastAsia="Calibri"/>
          <w:sz w:val="24"/>
          <w:szCs w:val="24"/>
          <w:lang w:eastAsia="en-US"/>
        </w:rPr>
      </w:pPr>
    </w:p>
    <w:p w14:paraId="0D6A43D1" w14:textId="77777777" w:rsidR="0024416E" w:rsidRPr="00A459B8" w:rsidRDefault="0024416E" w:rsidP="0024416E">
      <w:pPr>
        <w:rPr>
          <w:rFonts w:eastAsia="Calibri"/>
          <w:sz w:val="24"/>
          <w:szCs w:val="24"/>
          <w:lang w:eastAsia="en-US"/>
        </w:rPr>
      </w:pPr>
      <w:r w:rsidRPr="00A459B8">
        <w:rPr>
          <w:rFonts w:eastAsia="Calibri"/>
          <w:sz w:val="24"/>
          <w:szCs w:val="24"/>
          <w:lang w:eastAsia="en-US"/>
        </w:rPr>
        <w:t>Tabuľka č. 2: Vývoj konečnej energetickej spotreby v jednotlivých sektoroch v rokoch 2005-2015 (TJ)</w:t>
      </w:r>
    </w:p>
    <w:tbl>
      <w:tblPr>
        <w:tblW w:w="9574" w:type="dxa"/>
        <w:tblInd w:w="55" w:type="dxa"/>
        <w:tblLayout w:type="fixed"/>
        <w:tblCellMar>
          <w:left w:w="70" w:type="dxa"/>
          <w:right w:w="70" w:type="dxa"/>
        </w:tblCellMar>
        <w:tblLook w:val="04A0" w:firstRow="1" w:lastRow="0" w:firstColumn="1" w:lastColumn="0" w:noHBand="0" w:noVBand="1"/>
      </w:tblPr>
      <w:tblGrid>
        <w:gridCol w:w="1636"/>
        <w:gridCol w:w="708"/>
        <w:gridCol w:w="709"/>
        <w:gridCol w:w="709"/>
        <w:gridCol w:w="709"/>
        <w:gridCol w:w="708"/>
        <w:gridCol w:w="709"/>
        <w:gridCol w:w="709"/>
        <w:gridCol w:w="709"/>
        <w:gridCol w:w="745"/>
        <w:gridCol w:w="721"/>
        <w:gridCol w:w="802"/>
      </w:tblGrid>
      <w:tr w:rsidR="0024416E" w:rsidRPr="00A459B8" w14:paraId="7E2D7106" w14:textId="77777777" w:rsidTr="00A26D06">
        <w:trPr>
          <w:trHeight w:val="372"/>
          <w:tblHeader/>
        </w:trPr>
        <w:tc>
          <w:tcPr>
            <w:tcW w:w="9574" w:type="dxa"/>
            <w:gridSpan w:val="12"/>
            <w:tcBorders>
              <w:top w:val="single" w:sz="8" w:space="0" w:color="auto"/>
              <w:left w:val="single" w:sz="8" w:space="0" w:color="auto"/>
              <w:bottom w:val="single" w:sz="8" w:space="0" w:color="auto"/>
              <w:right w:val="single" w:sz="8" w:space="0" w:color="000000"/>
            </w:tcBorders>
            <w:shd w:val="clear" w:color="000000" w:fill="CCCCCC"/>
            <w:noWrap/>
            <w:vAlign w:val="center"/>
            <w:hideMark/>
          </w:tcPr>
          <w:p w14:paraId="40B86CA9" w14:textId="77777777" w:rsidR="0024416E" w:rsidRPr="00A459B8" w:rsidRDefault="0024416E" w:rsidP="00A26D06">
            <w:pPr>
              <w:jc w:val="center"/>
              <w:rPr>
                <w:b/>
                <w:bCs/>
                <w:color w:val="000000"/>
                <w:sz w:val="16"/>
                <w:szCs w:val="16"/>
              </w:rPr>
            </w:pPr>
            <w:r w:rsidRPr="00A459B8">
              <w:rPr>
                <w:b/>
                <w:bCs/>
                <w:color w:val="000000"/>
                <w:sz w:val="16"/>
                <w:szCs w:val="16"/>
              </w:rPr>
              <w:t xml:space="preserve">Konečná energetická spotreba (KES) </w:t>
            </w:r>
            <w:r w:rsidRPr="00A459B8">
              <w:rPr>
                <w:color w:val="000000"/>
                <w:sz w:val="22"/>
                <w:szCs w:val="22"/>
              </w:rPr>
              <w:t xml:space="preserve"> </w:t>
            </w:r>
            <w:r>
              <w:rPr>
                <w:b/>
                <w:bCs/>
                <w:color w:val="000000"/>
                <w:sz w:val="16"/>
                <w:szCs w:val="16"/>
              </w:rPr>
              <w:t>v rokoch 2005</w:t>
            </w:r>
            <w:r w:rsidRPr="00A459B8">
              <w:rPr>
                <w:b/>
                <w:bCs/>
                <w:color w:val="000000"/>
                <w:sz w:val="16"/>
                <w:szCs w:val="16"/>
              </w:rPr>
              <w:t>-2015 [TJ]</w:t>
            </w:r>
          </w:p>
        </w:tc>
      </w:tr>
      <w:tr w:rsidR="0024416E" w:rsidRPr="00A459B8" w14:paraId="62906B2F" w14:textId="77777777" w:rsidTr="00A26D06">
        <w:trPr>
          <w:trHeight w:val="270"/>
          <w:tblHeader/>
        </w:trPr>
        <w:tc>
          <w:tcPr>
            <w:tcW w:w="1636" w:type="dxa"/>
            <w:tcBorders>
              <w:top w:val="nil"/>
              <w:left w:val="single" w:sz="8" w:space="0" w:color="auto"/>
              <w:bottom w:val="single" w:sz="8" w:space="0" w:color="auto"/>
              <w:right w:val="single" w:sz="8" w:space="0" w:color="auto"/>
            </w:tcBorders>
            <w:shd w:val="clear" w:color="000000" w:fill="CCCCCC"/>
            <w:noWrap/>
            <w:vAlign w:val="center"/>
            <w:hideMark/>
          </w:tcPr>
          <w:p w14:paraId="3055E705" w14:textId="77777777" w:rsidR="0024416E" w:rsidRPr="00A459B8" w:rsidRDefault="0024416E" w:rsidP="00A26D06">
            <w:pPr>
              <w:rPr>
                <w:b/>
                <w:bCs/>
                <w:color w:val="000000"/>
                <w:sz w:val="16"/>
                <w:szCs w:val="16"/>
              </w:rPr>
            </w:pPr>
            <w:r w:rsidRPr="00A459B8">
              <w:rPr>
                <w:b/>
                <w:bCs/>
                <w:color w:val="000000"/>
                <w:sz w:val="16"/>
                <w:szCs w:val="22"/>
              </w:rPr>
              <w:t> </w:t>
            </w:r>
          </w:p>
        </w:tc>
        <w:tc>
          <w:tcPr>
            <w:tcW w:w="708" w:type="dxa"/>
            <w:tcBorders>
              <w:top w:val="nil"/>
              <w:left w:val="nil"/>
              <w:bottom w:val="single" w:sz="8" w:space="0" w:color="auto"/>
              <w:right w:val="single" w:sz="8" w:space="0" w:color="auto"/>
            </w:tcBorders>
            <w:shd w:val="clear" w:color="000000" w:fill="CCCCCC"/>
            <w:vAlign w:val="center"/>
          </w:tcPr>
          <w:p w14:paraId="6A8C7DC2" w14:textId="77777777" w:rsidR="0024416E" w:rsidRPr="00A459B8" w:rsidRDefault="0024416E" w:rsidP="00A26D06">
            <w:pPr>
              <w:jc w:val="center"/>
              <w:rPr>
                <w:b/>
                <w:bCs/>
                <w:color w:val="000000"/>
                <w:sz w:val="16"/>
                <w:szCs w:val="16"/>
              </w:rPr>
            </w:pPr>
            <w:r w:rsidRPr="00A459B8">
              <w:rPr>
                <w:b/>
                <w:bCs/>
                <w:color w:val="000000"/>
                <w:sz w:val="16"/>
                <w:szCs w:val="22"/>
              </w:rPr>
              <w:t>2005</w:t>
            </w:r>
          </w:p>
        </w:tc>
        <w:tc>
          <w:tcPr>
            <w:tcW w:w="709" w:type="dxa"/>
            <w:tcBorders>
              <w:top w:val="nil"/>
              <w:left w:val="nil"/>
              <w:bottom w:val="single" w:sz="8" w:space="0" w:color="auto"/>
              <w:right w:val="single" w:sz="8" w:space="0" w:color="auto"/>
            </w:tcBorders>
            <w:shd w:val="clear" w:color="000000" w:fill="CCCCCC"/>
            <w:vAlign w:val="center"/>
            <w:hideMark/>
          </w:tcPr>
          <w:p w14:paraId="2AC17E9A" w14:textId="77777777" w:rsidR="0024416E" w:rsidRPr="00A459B8" w:rsidRDefault="0024416E" w:rsidP="00A26D06">
            <w:pPr>
              <w:jc w:val="center"/>
              <w:rPr>
                <w:b/>
                <w:bCs/>
                <w:color w:val="000000"/>
                <w:sz w:val="16"/>
                <w:szCs w:val="16"/>
              </w:rPr>
            </w:pPr>
            <w:r w:rsidRPr="00A459B8">
              <w:rPr>
                <w:b/>
                <w:bCs/>
                <w:color w:val="000000"/>
                <w:sz w:val="16"/>
                <w:szCs w:val="22"/>
              </w:rPr>
              <w:t>2006</w:t>
            </w:r>
          </w:p>
        </w:tc>
        <w:tc>
          <w:tcPr>
            <w:tcW w:w="709" w:type="dxa"/>
            <w:tcBorders>
              <w:top w:val="nil"/>
              <w:left w:val="nil"/>
              <w:bottom w:val="single" w:sz="8" w:space="0" w:color="auto"/>
              <w:right w:val="single" w:sz="8" w:space="0" w:color="auto"/>
            </w:tcBorders>
            <w:shd w:val="clear" w:color="000000" w:fill="CCCCCC"/>
            <w:vAlign w:val="center"/>
            <w:hideMark/>
          </w:tcPr>
          <w:p w14:paraId="5C22AED6" w14:textId="77777777" w:rsidR="0024416E" w:rsidRPr="00A459B8" w:rsidRDefault="0024416E" w:rsidP="00A26D06">
            <w:pPr>
              <w:jc w:val="center"/>
              <w:rPr>
                <w:b/>
                <w:bCs/>
                <w:color w:val="000000"/>
                <w:sz w:val="16"/>
                <w:szCs w:val="16"/>
              </w:rPr>
            </w:pPr>
            <w:r w:rsidRPr="00A459B8">
              <w:rPr>
                <w:b/>
                <w:bCs/>
                <w:color w:val="000000"/>
                <w:sz w:val="16"/>
                <w:szCs w:val="22"/>
              </w:rPr>
              <w:t>2007</w:t>
            </w:r>
          </w:p>
        </w:tc>
        <w:tc>
          <w:tcPr>
            <w:tcW w:w="709" w:type="dxa"/>
            <w:tcBorders>
              <w:top w:val="nil"/>
              <w:left w:val="nil"/>
              <w:bottom w:val="single" w:sz="8" w:space="0" w:color="auto"/>
              <w:right w:val="single" w:sz="8" w:space="0" w:color="auto"/>
            </w:tcBorders>
            <w:shd w:val="clear" w:color="000000" w:fill="CCCCCC"/>
            <w:vAlign w:val="center"/>
            <w:hideMark/>
          </w:tcPr>
          <w:p w14:paraId="399A403A" w14:textId="77777777" w:rsidR="0024416E" w:rsidRPr="00A459B8" w:rsidRDefault="0024416E" w:rsidP="00A26D06">
            <w:pPr>
              <w:jc w:val="center"/>
              <w:rPr>
                <w:b/>
                <w:bCs/>
                <w:color w:val="000000"/>
                <w:sz w:val="16"/>
                <w:szCs w:val="16"/>
              </w:rPr>
            </w:pPr>
            <w:r w:rsidRPr="00A459B8">
              <w:rPr>
                <w:b/>
                <w:bCs/>
                <w:color w:val="000000"/>
                <w:sz w:val="16"/>
                <w:szCs w:val="22"/>
              </w:rPr>
              <w:t>2008</w:t>
            </w:r>
          </w:p>
        </w:tc>
        <w:tc>
          <w:tcPr>
            <w:tcW w:w="708" w:type="dxa"/>
            <w:tcBorders>
              <w:top w:val="nil"/>
              <w:left w:val="nil"/>
              <w:bottom w:val="single" w:sz="8" w:space="0" w:color="auto"/>
              <w:right w:val="single" w:sz="8" w:space="0" w:color="auto"/>
            </w:tcBorders>
            <w:shd w:val="clear" w:color="000000" w:fill="CCCCCC"/>
            <w:vAlign w:val="center"/>
            <w:hideMark/>
          </w:tcPr>
          <w:p w14:paraId="6D9ECDE7" w14:textId="77777777" w:rsidR="0024416E" w:rsidRPr="00A459B8" w:rsidRDefault="0024416E" w:rsidP="00A26D06">
            <w:pPr>
              <w:jc w:val="center"/>
              <w:rPr>
                <w:b/>
                <w:bCs/>
                <w:color w:val="000000"/>
                <w:sz w:val="16"/>
                <w:szCs w:val="16"/>
              </w:rPr>
            </w:pPr>
            <w:r w:rsidRPr="00A459B8">
              <w:rPr>
                <w:b/>
                <w:bCs/>
                <w:color w:val="000000"/>
                <w:sz w:val="16"/>
                <w:szCs w:val="22"/>
              </w:rPr>
              <w:t>2009</w:t>
            </w:r>
          </w:p>
        </w:tc>
        <w:tc>
          <w:tcPr>
            <w:tcW w:w="709" w:type="dxa"/>
            <w:tcBorders>
              <w:top w:val="nil"/>
              <w:left w:val="nil"/>
              <w:bottom w:val="single" w:sz="8" w:space="0" w:color="auto"/>
              <w:right w:val="single" w:sz="8" w:space="0" w:color="auto"/>
            </w:tcBorders>
            <w:shd w:val="clear" w:color="000000" w:fill="CCCCCC"/>
            <w:vAlign w:val="center"/>
            <w:hideMark/>
          </w:tcPr>
          <w:p w14:paraId="004E1926" w14:textId="77777777" w:rsidR="0024416E" w:rsidRPr="00A459B8" w:rsidRDefault="0024416E" w:rsidP="00A26D06">
            <w:pPr>
              <w:jc w:val="center"/>
              <w:rPr>
                <w:b/>
                <w:bCs/>
                <w:color w:val="000000"/>
                <w:sz w:val="16"/>
                <w:szCs w:val="16"/>
              </w:rPr>
            </w:pPr>
            <w:r w:rsidRPr="00A459B8">
              <w:rPr>
                <w:b/>
                <w:bCs/>
                <w:color w:val="000000"/>
                <w:sz w:val="16"/>
                <w:szCs w:val="22"/>
              </w:rPr>
              <w:t>2010</w:t>
            </w:r>
          </w:p>
        </w:tc>
        <w:tc>
          <w:tcPr>
            <w:tcW w:w="709" w:type="dxa"/>
            <w:tcBorders>
              <w:top w:val="nil"/>
              <w:left w:val="nil"/>
              <w:bottom w:val="single" w:sz="8" w:space="0" w:color="auto"/>
              <w:right w:val="single" w:sz="8" w:space="0" w:color="auto"/>
            </w:tcBorders>
            <w:shd w:val="clear" w:color="000000" w:fill="CCCCCC"/>
            <w:vAlign w:val="center"/>
            <w:hideMark/>
          </w:tcPr>
          <w:p w14:paraId="4F276E97" w14:textId="77777777" w:rsidR="0024416E" w:rsidRPr="00A459B8" w:rsidRDefault="0024416E" w:rsidP="00A26D06">
            <w:pPr>
              <w:jc w:val="center"/>
              <w:rPr>
                <w:b/>
                <w:bCs/>
                <w:color w:val="000000"/>
                <w:sz w:val="16"/>
                <w:szCs w:val="16"/>
              </w:rPr>
            </w:pPr>
            <w:r w:rsidRPr="00A459B8">
              <w:rPr>
                <w:b/>
                <w:bCs/>
                <w:color w:val="000000"/>
                <w:sz w:val="16"/>
                <w:szCs w:val="22"/>
              </w:rPr>
              <w:t>2011</w:t>
            </w:r>
          </w:p>
        </w:tc>
        <w:tc>
          <w:tcPr>
            <w:tcW w:w="709" w:type="dxa"/>
            <w:tcBorders>
              <w:top w:val="nil"/>
              <w:left w:val="nil"/>
              <w:bottom w:val="single" w:sz="8" w:space="0" w:color="auto"/>
              <w:right w:val="single" w:sz="8" w:space="0" w:color="auto"/>
            </w:tcBorders>
            <w:shd w:val="clear" w:color="000000" w:fill="CCCCCC"/>
            <w:vAlign w:val="center"/>
            <w:hideMark/>
          </w:tcPr>
          <w:p w14:paraId="36CA8201" w14:textId="77777777" w:rsidR="0024416E" w:rsidRPr="00A459B8" w:rsidRDefault="0024416E" w:rsidP="00A26D06">
            <w:pPr>
              <w:jc w:val="center"/>
              <w:rPr>
                <w:b/>
                <w:bCs/>
                <w:color w:val="000000"/>
                <w:sz w:val="16"/>
                <w:szCs w:val="16"/>
              </w:rPr>
            </w:pPr>
            <w:r w:rsidRPr="00A459B8">
              <w:rPr>
                <w:b/>
                <w:bCs/>
                <w:color w:val="000000"/>
                <w:sz w:val="16"/>
                <w:szCs w:val="16"/>
              </w:rPr>
              <w:t>2012</w:t>
            </w:r>
          </w:p>
        </w:tc>
        <w:tc>
          <w:tcPr>
            <w:tcW w:w="745" w:type="dxa"/>
            <w:tcBorders>
              <w:top w:val="nil"/>
              <w:left w:val="nil"/>
              <w:bottom w:val="single" w:sz="8" w:space="0" w:color="auto"/>
              <w:right w:val="single" w:sz="8" w:space="0" w:color="auto"/>
            </w:tcBorders>
            <w:shd w:val="clear" w:color="000000" w:fill="CCCCCC"/>
            <w:vAlign w:val="center"/>
            <w:hideMark/>
          </w:tcPr>
          <w:p w14:paraId="11EA3EDA" w14:textId="77777777" w:rsidR="0024416E" w:rsidRPr="00A459B8" w:rsidRDefault="0024416E" w:rsidP="00A26D06">
            <w:pPr>
              <w:jc w:val="center"/>
              <w:rPr>
                <w:b/>
                <w:bCs/>
                <w:color w:val="000000"/>
                <w:sz w:val="16"/>
                <w:szCs w:val="16"/>
              </w:rPr>
            </w:pPr>
            <w:r w:rsidRPr="00A459B8">
              <w:rPr>
                <w:b/>
                <w:bCs/>
                <w:color w:val="000000"/>
                <w:sz w:val="16"/>
                <w:szCs w:val="16"/>
              </w:rPr>
              <w:t>2013</w:t>
            </w:r>
          </w:p>
        </w:tc>
        <w:tc>
          <w:tcPr>
            <w:tcW w:w="721" w:type="dxa"/>
            <w:tcBorders>
              <w:top w:val="nil"/>
              <w:left w:val="nil"/>
              <w:bottom w:val="single" w:sz="8" w:space="0" w:color="auto"/>
              <w:right w:val="single" w:sz="8" w:space="0" w:color="auto"/>
            </w:tcBorders>
            <w:shd w:val="clear" w:color="000000" w:fill="CCCCCC"/>
            <w:vAlign w:val="center"/>
            <w:hideMark/>
          </w:tcPr>
          <w:p w14:paraId="6279E68B" w14:textId="77777777" w:rsidR="0024416E" w:rsidRPr="00A459B8" w:rsidRDefault="0024416E" w:rsidP="00A26D06">
            <w:pPr>
              <w:jc w:val="center"/>
              <w:rPr>
                <w:b/>
                <w:bCs/>
                <w:color w:val="000000"/>
                <w:sz w:val="16"/>
                <w:szCs w:val="16"/>
              </w:rPr>
            </w:pPr>
            <w:r w:rsidRPr="00A459B8">
              <w:rPr>
                <w:b/>
                <w:bCs/>
                <w:color w:val="000000"/>
                <w:sz w:val="16"/>
                <w:szCs w:val="16"/>
              </w:rPr>
              <w:t>2014</w:t>
            </w:r>
          </w:p>
        </w:tc>
        <w:tc>
          <w:tcPr>
            <w:tcW w:w="802" w:type="dxa"/>
            <w:tcBorders>
              <w:top w:val="nil"/>
              <w:left w:val="nil"/>
              <w:bottom w:val="single" w:sz="8" w:space="0" w:color="auto"/>
              <w:right w:val="single" w:sz="8" w:space="0" w:color="auto"/>
            </w:tcBorders>
            <w:shd w:val="clear" w:color="000000" w:fill="CCCCCC"/>
            <w:vAlign w:val="center"/>
          </w:tcPr>
          <w:p w14:paraId="798E48EB" w14:textId="77777777" w:rsidR="0024416E" w:rsidRPr="00A459B8" w:rsidRDefault="0024416E" w:rsidP="00A26D06">
            <w:pPr>
              <w:jc w:val="center"/>
              <w:rPr>
                <w:b/>
                <w:bCs/>
                <w:color w:val="000000"/>
                <w:sz w:val="16"/>
                <w:szCs w:val="16"/>
              </w:rPr>
            </w:pPr>
            <w:r w:rsidRPr="00A459B8">
              <w:rPr>
                <w:b/>
                <w:bCs/>
                <w:color w:val="000000"/>
                <w:sz w:val="16"/>
                <w:szCs w:val="16"/>
              </w:rPr>
              <w:t>2015</w:t>
            </w:r>
          </w:p>
        </w:tc>
      </w:tr>
      <w:tr w:rsidR="0024416E" w:rsidRPr="00A459B8" w14:paraId="3ABE3FFD" w14:textId="77777777" w:rsidTr="00A26D06">
        <w:trPr>
          <w:trHeight w:val="270"/>
        </w:trPr>
        <w:tc>
          <w:tcPr>
            <w:tcW w:w="1636" w:type="dxa"/>
            <w:tcBorders>
              <w:top w:val="nil"/>
              <w:left w:val="single" w:sz="8" w:space="0" w:color="auto"/>
              <w:bottom w:val="single" w:sz="8" w:space="0" w:color="auto"/>
              <w:right w:val="single" w:sz="8" w:space="0" w:color="auto"/>
            </w:tcBorders>
            <w:shd w:val="clear" w:color="auto" w:fill="auto"/>
            <w:vAlign w:val="center"/>
            <w:hideMark/>
          </w:tcPr>
          <w:p w14:paraId="596CE82D" w14:textId="77777777" w:rsidR="0024416E" w:rsidRPr="00A459B8" w:rsidRDefault="0024416E" w:rsidP="00A26D06">
            <w:pPr>
              <w:rPr>
                <w:b/>
                <w:bCs/>
                <w:color w:val="000000"/>
                <w:sz w:val="16"/>
                <w:szCs w:val="16"/>
              </w:rPr>
            </w:pPr>
            <w:r w:rsidRPr="00A459B8">
              <w:rPr>
                <w:b/>
                <w:bCs/>
                <w:color w:val="000000"/>
                <w:sz w:val="16"/>
                <w:szCs w:val="22"/>
              </w:rPr>
              <w:t>KES celková</w:t>
            </w:r>
          </w:p>
        </w:tc>
        <w:tc>
          <w:tcPr>
            <w:tcW w:w="708" w:type="dxa"/>
            <w:tcBorders>
              <w:top w:val="nil"/>
              <w:left w:val="nil"/>
              <w:bottom w:val="single" w:sz="8" w:space="0" w:color="auto"/>
              <w:right w:val="single" w:sz="8" w:space="0" w:color="auto"/>
            </w:tcBorders>
            <w:shd w:val="clear" w:color="auto" w:fill="auto"/>
            <w:noWrap/>
            <w:vAlign w:val="center"/>
          </w:tcPr>
          <w:p w14:paraId="4213FB16"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404 068</w:t>
            </w:r>
          </w:p>
        </w:tc>
        <w:tc>
          <w:tcPr>
            <w:tcW w:w="709" w:type="dxa"/>
            <w:tcBorders>
              <w:top w:val="nil"/>
              <w:left w:val="nil"/>
              <w:bottom w:val="single" w:sz="8" w:space="0" w:color="auto"/>
              <w:right w:val="single" w:sz="8" w:space="0" w:color="auto"/>
            </w:tcBorders>
            <w:shd w:val="clear" w:color="auto" w:fill="auto"/>
            <w:noWrap/>
            <w:vAlign w:val="center"/>
          </w:tcPr>
          <w:p w14:paraId="139454AF"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406 458</w:t>
            </w:r>
          </w:p>
        </w:tc>
        <w:tc>
          <w:tcPr>
            <w:tcW w:w="709" w:type="dxa"/>
            <w:tcBorders>
              <w:top w:val="nil"/>
              <w:left w:val="nil"/>
              <w:bottom w:val="single" w:sz="8" w:space="0" w:color="auto"/>
              <w:right w:val="single" w:sz="8" w:space="0" w:color="auto"/>
            </w:tcBorders>
            <w:shd w:val="clear" w:color="auto" w:fill="auto"/>
            <w:noWrap/>
            <w:vAlign w:val="center"/>
          </w:tcPr>
          <w:p w14:paraId="3C81814F"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409 033</w:t>
            </w:r>
          </w:p>
        </w:tc>
        <w:tc>
          <w:tcPr>
            <w:tcW w:w="709" w:type="dxa"/>
            <w:tcBorders>
              <w:top w:val="nil"/>
              <w:left w:val="nil"/>
              <w:bottom w:val="single" w:sz="8" w:space="0" w:color="auto"/>
              <w:right w:val="single" w:sz="8" w:space="0" w:color="auto"/>
            </w:tcBorders>
            <w:shd w:val="clear" w:color="auto" w:fill="auto"/>
            <w:noWrap/>
            <w:vAlign w:val="center"/>
          </w:tcPr>
          <w:p w14:paraId="4F4A9555"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418 291</w:t>
            </w:r>
          </w:p>
        </w:tc>
        <w:tc>
          <w:tcPr>
            <w:tcW w:w="708" w:type="dxa"/>
            <w:tcBorders>
              <w:top w:val="nil"/>
              <w:left w:val="nil"/>
              <w:bottom w:val="single" w:sz="8" w:space="0" w:color="auto"/>
              <w:right w:val="single" w:sz="8" w:space="0" w:color="auto"/>
            </w:tcBorders>
            <w:shd w:val="clear" w:color="auto" w:fill="auto"/>
            <w:noWrap/>
            <w:vAlign w:val="center"/>
          </w:tcPr>
          <w:p w14:paraId="7B4FAB5A"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388 725</w:t>
            </w:r>
          </w:p>
        </w:tc>
        <w:tc>
          <w:tcPr>
            <w:tcW w:w="709" w:type="dxa"/>
            <w:tcBorders>
              <w:top w:val="nil"/>
              <w:left w:val="nil"/>
              <w:bottom w:val="single" w:sz="8" w:space="0" w:color="auto"/>
              <w:right w:val="single" w:sz="8" w:space="0" w:color="auto"/>
            </w:tcBorders>
            <w:shd w:val="clear" w:color="auto" w:fill="auto"/>
            <w:noWrap/>
            <w:vAlign w:val="center"/>
          </w:tcPr>
          <w:p w14:paraId="3A6D94DB"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419 031</w:t>
            </w:r>
          </w:p>
        </w:tc>
        <w:tc>
          <w:tcPr>
            <w:tcW w:w="709" w:type="dxa"/>
            <w:tcBorders>
              <w:top w:val="nil"/>
              <w:left w:val="nil"/>
              <w:bottom w:val="single" w:sz="8" w:space="0" w:color="auto"/>
              <w:right w:val="single" w:sz="8" w:space="0" w:color="auto"/>
            </w:tcBorders>
            <w:shd w:val="clear" w:color="auto" w:fill="auto"/>
            <w:noWrap/>
            <w:vAlign w:val="center"/>
          </w:tcPr>
          <w:p w14:paraId="18F46476"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390 845</w:t>
            </w:r>
          </w:p>
        </w:tc>
        <w:tc>
          <w:tcPr>
            <w:tcW w:w="709" w:type="dxa"/>
            <w:tcBorders>
              <w:top w:val="nil"/>
              <w:left w:val="nil"/>
              <w:bottom w:val="single" w:sz="8" w:space="0" w:color="auto"/>
              <w:right w:val="single" w:sz="8" w:space="0" w:color="auto"/>
            </w:tcBorders>
            <w:shd w:val="clear" w:color="auto" w:fill="auto"/>
            <w:noWrap/>
            <w:vAlign w:val="center"/>
          </w:tcPr>
          <w:p w14:paraId="72BEC09B"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379 105</w:t>
            </w:r>
          </w:p>
        </w:tc>
        <w:tc>
          <w:tcPr>
            <w:tcW w:w="745" w:type="dxa"/>
            <w:tcBorders>
              <w:top w:val="nil"/>
              <w:left w:val="nil"/>
              <w:bottom w:val="single" w:sz="8" w:space="0" w:color="auto"/>
              <w:right w:val="single" w:sz="8" w:space="0" w:color="auto"/>
            </w:tcBorders>
            <w:shd w:val="clear" w:color="auto" w:fill="auto"/>
            <w:vAlign w:val="center"/>
          </w:tcPr>
          <w:p w14:paraId="1AEFEDED"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387 842</w:t>
            </w:r>
          </w:p>
        </w:tc>
        <w:tc>
          <w:tcPr>
            <w:tcW w:w="721" w:type="dxa"/>
            <w:tcBorders>
              <w:top w:val="nil"/>
              <w:left w:val="nil"/>
              <w:bottom w:val="single" w:sz="8" w:space="0" w:color="auto"/>
              <w:right w:val="single" w:sz="8" w:space="0" w:color="auto"/>
            </w:tcBorders>
            <w:shd w:val="clear" w:color="auto" w:fill="auto"/>
            <w:vAlign w:val="center"/>
          </w:tcPr>
          <w:p w14:paraId="01875B11" w14:textId="77777777" w:rsidR="0024416E" w:rsidRPr="00A459B8" w:rsidRDefault="0024416E" w:rsidP="00A26D06">
            <w:pPr>
              <w:jc w:val="right"/>
              <w:rPr>
                <w:color w:val="000000"/>
                <w:sz w:val="16"/>
                <w:szCs w:val="16"/>
              </w:rPr>
            </w:pPr>
            <w:r w:rsidRPr="00A459B8">
              <w:rPr>
                <w:color w:val="000000"/>
                <w:sz w:val="16"/>
                <w:szCs w:val="16"/>
              </w:rPr>
              <w:t>364 705</w:t>
            </w:r>
          </w:p>
        </w:tc>
        <w:tc>
          <w:tcPr>
            <w:tcW w:w="802" w:type="dxa"/>
            <w:tcBorders>
              <w:top w:val="nil"/>
              <w:left w:val="nil"/>
              <w:bottom w:val="single" w:sz="8" w:space="0" w:color="auto"/>
              <w:right w:val="single" w:sz="8" w:space="0" w:color="auto"/>
            </w:tcBorders>
            <w:vAlign w:val="center"/>
          </w:tcPr>
          <w:p w14:paraId="40BD56F8" w14:textId="77777777" w:rsidR="0024416E" w:rsidRPr="00A459B8" w:rsidRDefault="0024416E" w:rsidP="00A26D06">
            <w:pPr>
              <w:jc w:val="center"/>
              <w:rPr>
                <w:rFonts w:eastAsia="Calibri"/>
                <w:color w:val="000000"/>
                <w:sz w:val="16"/>
                <w:szCs w:val="16"/>
                <w:lang w:eastAsia="en-US"/>
              </w:rPr>
            </w:pPr>
            <w:r w:rsidRPr="00A459B8">
              <w:rPr>
                <w:rFonts w:eastAsia="Calibri"/>
                <w:color w:val="000000"/>
                <w:sz w:val="16"/>
                <w:szCs w:val="16"/>
                <w:lang w:eastAsia="en-US"/>
              </w:rPr>
              <w:t>382 904</w:t>
            </w:r>
          </w:p>
        </w:tc>
      </w:tr>
      <w:tr w:rsidR="0024416E" w:rsidRPr="00A459B8" w14:paraId="652B1F7C" w14:textId="77777777" w:rsidTr="00A26D06">
        <w:trPr>
          <w:trHeight w:val="315"/>
        </w:trPr>
        <w:tc>
          <w:tcPr>
            <w:tcW w:w="1636" w:type="dxa"/>
            <w:tcBorders>
              <w:top w:val="nil"/>
              <w:left w:val="single" w:sz="8" w:space="0" w:color="auto"/>
              <w:bottom w:val="single" w:sz="8" w:space="0" w:color="auto"/>
              <w:right w:val="single" w:sz="8" w:space="0" w:color="auto"/>
            </w:tcBorders>
            <w:shd w:val="clear" w:color="auto" w:fill="auto"/>
            <w:vAlign w:val="center"/>
            <w:hideMark/>
          </w:tcPr>
          <w:p w14:paraId="2FA98E53" w14:textId="77777777" w:rsidR="0024416E" w:rsidRPr="00A459B8" w:rsidRDefault="0024416E" w:rsidP="00A26D06">
            <w:pPr>
              <w:rPr>
                <w:b/>
                <w:bCs/>
                <w:color w:val="000000"/>
                <w:sz w:val="16"/>
                <w:szCs w:val="16"/>
              </w:rPr>
            </w:pPr>
            <w:r w:rsidRPr="00A459B8">
              <w:rPr>
                <w:b/>
                <w:bCs/>
                <w:color w:val="000000"/>
                <w:sz w:val="16"/>
                <w:szCs w:val="22"/>
              </w:rPr>
              <w:t>Priemysel</w:t>
            </w:r>
          </w:p>
        </w:tc>
        <w:tc>
          <w:tcPr>
            <w:tcW w:w="708" w:type="dxa"/>
            <w:tcBorders>
              <w:top w:val="nil"/>
              <w:left w:val="nil"/>
              <w:bottom w:val="single" w:sz="8" w:space="0" w:color="auto"/>
              <w:right w:val="single" w:sz="8" w:space="0" w:color="auto"/>
            </w:tcBorders>
            <w:shd w:val="clear" w:color="auto" w:fill="auto"/>
            <w:noWrap/>
            <w:vAlign w:val="center"/>
          </w:tcPr>
          <w:p w14:paraId="16C5CF96"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148 785</w:t>
            </w:r>
          </w:p>
        </w:tc>
        <w:tc>
          <w:tcPr>
            <w:tcW w:w="709" w:type="dxa"/>
            <w:tcBorders>
              <w:top w:val="nil"/>
              <w:left w:val="nil"/>
              <w:bottom w:val="single" w:sz="8" w:space="0" w:color="auto"/>
              <w:right w:val="single" w:sz="8" w:space="0" w:color="auto"/>
            </w:tcBorders>
            <w:shd w:val="clear" w:color="auto" w:fill="auto"/>
            <w:noWrap/>
            <w:vAlign w:val="center"/>
          </w:tcPr>
          <w:p w14:paraId="3DB96145"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148 381</w:t>
            </w:r>
          </w:p>
        </w:tc>
        <w:tc>
          <w:tcPr>
            <w:tcW w:w="709" w:type="dxa"/>
            <w:tcBorders>
              <w:top w:val="nil"/>
              <w:left w:val="nil"/>
              <w:bottom w:val="single" w:sz="8" w:space="0" w:color="auto"/>
              <w:right w:val="single" w:sz="8" w:space="0" w:color="auto"/>
            </w:tcBorders>
            <w:shd w:val="clear" w:color="auto" w:fill="auto"/>
            <w:noWrap/>
            <w:vAlign w:val="center"/>
          </w:tcPr>
          <w:p w14:paraId="0BD55B40"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153 704</w:t>
            </w:r>
          </w:p>
        </w:tc>
        <w:tc>
          <w:tcPr>
            <w:tcW w:w="709" w:type="dxa"/>
            <w:tcBorders>
              <w:top w:val="nil"/>
              <w:left w:val="nil"/>
              <w:bottom w:val="single" w:sz="8" w:space="0" w:color="auto"/>
              <w:right w:val="single" w:sz="8" w:space="0" w:color="auto"/>
            </w:tcBorders>
            <w:shd w:val="clear" w:color="auto" w:fill="auto"/>
            <w:noWrap/>
            <w:vAlign w:val="center"/>
          </w:tcPr>
          <w:p w14:paraId="131A6F29"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150 591</w:t>
            </w:r>
          </w:p>
        </w:tc>
        <w:tc>
          <w:tcPr>
            <w:tcW w:w="708" w:type="dxa"/>
            <w:tcBorders>
              <w:top w:val="nil"/>
              <w:left w:val="nil"/>
              <w:bottom w:val="single" w:sz="8" w:space="0" w:color="auto"/>
              <w:right w:val="single" w:sz="8" w:space="0" w:color="auto"/>
            </w:tcBorders>
            <w:shd w:val="clear" w:color="auto" w:fill="auto"/>
            <w:noWrap/>
            <w:vAlign w:val="center"/>
          </w:tcPr>
          <w:p w14:paraId="78272140"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130 038</w:t>
            </w:r>
          </w:p>
        </w:tc>
        <w:tc>
          <w:tcPr>
            <w:tcW w:w="709" w:type="dxa"/>
            <w:tcBorders>
              <w:top w:val="nil"/>
              <w:left w:val="nil"/>
              <w:bottom w:val="single" w:sz="8" w:space="0" w:color="auto"/>
              <w:right w:val="single" w:sz="8" w:space="0" w:color="auto"/>
            </w:tcBorders>
            <w:shd w:val="clear" w:color="auto" w:fill="auto"/>
            <w:noWrap/>
            <w:vAlign w:val="center"/>
          </w:tcPr>
          <w:p w14:paraId="10339EA5"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134 268</w:t>
            </w:r>
          </w:p>
        </w:tc>
        <w:tc>
          <w:tcPr>
            <w:tcW w:w="709" w:type="dxa"/>
            <w:tcBorders>
              <w:top w:val="nil"/>
              <w:left w:val="nil"/>
              <w:bottom w:val="single" w:sz="8" w:space="0" w:color="auto"/>
              <w:right w:val="single" w:sz="8" w:space="0" w:color="auto"/>
            </w:tcBorders>
            <w:shd w:val="clear" w:color="auto" w:fill="auto"/>
            <w:noWrap/>
            <w:vAlign w:val="center"/>
          </w:tcPr>
          <w:p w14:paraId="2759E64D"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135 575</w:t>
            </w:r>
          </w:p>
        </w:tc>
        <w:tc>
          <w:tcPr>
            <w:tcW w:w="709" w:type="dxa"/>
            <w:tcBorders>
              <w:top w:val="nil"/>
              <w:left w:val="nil"/>
              <w:bottom w:val="single" w:sz="8" w:space="0" w:color="auto"/>
              <w:right w:val="single" w:sz="8" w:space="0" w:color="auto"/>
            </w:tcBorders>
            <w:shd w:val="clear" w:color="auto" w:fill="auto"/>
            <w:noWrap/>
            <w:vAlign w:val="center"/>
          </w:tcPr>
          <w:p w14:paraId="3EE4E0F4"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134 692</w:t>
            </w:r>
          </w:p>
        </w:tc>
        <w:tc>
          <w:tcPr>
            <w:tcW w:w="745" w:type="dxa"/>
            <w:tcBorders>
              <w:top w:val="nil"/>
              <w:left w:val="nil"/>
              <w:bottom w:val="single" w:sz="8" w:space="0" w:color="auto"/>
              <w:right w:val="single" w:sz="8" w:space="0" w:color="auto"/>
            </w:tcBorders>
            <w:shd w:val="clear" w:color="auto" w:fill="auto"/>
            <w:vAlign w:val="center"/>
          </w:tcPr>
          <w:p w14:paraId="6D96C755" w14:textId="77777777" w:rsidR="0024416E" w:rsidRPr="00A459B8" w:rsidRDefault="0024416E" w:rsidP="00A26D06">
            <w:pPr>
              <w:jc w:val="right"/>
              <w:rPr>
                <w:color w:val="000000"/>
                <w:sz w:val="16"/>
                <w:szCs w:val="16"/>
              </w:rPr>
            </w:pPr>
            <w:r w:rsidRPr="00A459B8">
              <w:rPr>
                <w:color w:val="000000"/>
                <w:sz w:val="16"/>
                <w:szCs w:val="16"/>
              </w:rPr>
              <w:t>129 681</w:t>
            </w:r>
          </w:p>
        </w:tc>
        <w:tc>
          <w:tcPr>
            <w:tcW w:w="721" w:type="dxa"/>
            <w:tcBorders>
              <w:top w:val="nil"/>
              <w:left w:val="nil"/>
              <w:bottom w:val="single" w:sz="8" w:space="0" w:color="auto"/>
              <w:right w:val="single" w:sz="8" w:space="0" w:color="auto"/>
            </w:tcBorders>
            <w:shd w:val="clear" w:color="auto" w:fill="auto"/>
            <w:vAlign w:val="center"/>
          </w:tcPr>
          <w:p w14:paraId="4C69E7C9" w14:textId="77777777" w:rsidR="0024416E" w:rsidRPr="00A459B8" w:rsidRDefault="0024416E" w:rsidP="00A26D06">
            <w:pPr>
              <w:jc w:val="right"/>
              <w:rPr>
                <w:color w:val="000000"/>
                <w:sz w:val="16"/>
                <w:szCs w:val="16"/>
              </w:rPr>
            </w:pPr>
            <w:r w:rsidRPr="00A459B8">
              <w:rPr>
                <w:color w:val="000000"/>
                <w:sz w:val="16"/>
                <w:szCs w:val="16"/>
              </w:rPr>
              <w:t>134 830</w:t>
            </w:r>
          </w:p>
        </w:tc>
        <w:tc>
          <w:tcPr>
            <w:tcW w:w="802" w:type="dxa"/>
            <w:tcBorders>
              <w:top w:val="nil"/>
              <w:left w:val="nil"/>
              <w:bottom w:val="single" w:sz="8" w:space="0" w:color="auto"/>
              <w:right w:val="single" w:sz="8" w:space="0" w:color="auto"/>
            </w:tcBorders>
            <w:vAlign w:val="center"/>
          </w:tcPr>
          <w:p w14:paraId="15EDF70B" w14:textId="77777777" w:rsidR="0024416E" w:rsidRPr="00A459B8" w:rsidRDefault="0024416E" w:rsidP="00A26D06">
            <w:pPr>
              <w:jc w:val="center"/>
              <w:rPr>
                <w:rFonts w:eastAsia="Calibri"/>
                <w:color w:val="000000"/>
                <w:sz w:val="16"/>
                <w:szCs w:val="16"/>
                <w:lang w:eastAsia="en-US"/>
              </w:rPr>
            </w:pPr>
            <w:r w:rsidRPr="00A459B8">
              <w:rPr>
                <w:rFonts w:eastAsia="Calibri"/>
                <w:color w:val="000000"/>
                <w:sz w:val="16"/>
                <w:szCs w:val="16"/>
                <w:lang w:eastAsia="en-US"/>
              </w:rPr>
              <w:t>138 781</w:t>
            </w:r>
          </w:p>
        </w:tc>
      </w:tr>
      <w:tr w:rsidR="0024416E" w:rsidRPr="00A459B8" w14:paraId="0496E5E6" w14:textId="77777777" w:rsidTr="00A26D06">
        <w:trPr>
          <w:trHeight w:val="315"/>
        </w:trPr>
        <w:tc>
          <w:tcPr>
            <w:tcW w:w="1636" w:type="dxa"/>
            <w:tcBorders>
              <w:top w:val="nil"/>
              <w:left w:val="single" w:sz="8" w:space="0" w:color="auto"/>
              <w:bottom w:val="single" w:sz="8" w:space="0" w:color="auto"/>
              <w:right w:val="single" w:sz="8" w:space="0" w:color="auto"/>
            </w:tcBorders>
            <w:shd w:val="clear" w:color="auto" w:fill="auto"/>
            <w:vAlign w:val="center"/>
            <w:hideMark/>
          </w:tcPr>
          <w:p w14:paraId="4263C49E" w14:textId="77777777" w:rsidR="0024416E" w:rsidRPr="00A459B8" w:rsidRDefault="0024416E" w:rsidP="00A26D06">
            <w:pPr>
              <w:rPr>
                <w:b/>
                <w:bCs/>
                <w:color w:val="000000"/>
                <w:sz w:val="16"/>
                <w:szCs w:val="16"/>
              </w:rPr>
            </w:pPr>
            <w:r w:rsidRPr="00A459B8">
              <w:rPr>
                <w:b/>
                <w:bCs/>
                <w:color w:val="000000"/>
                <w:sz w:val="16"/>
                <w:szCs w:val="22"/>
              </w:rPr>
              <w:t>Doprava</w:t>
            </w:r>
          </w:p>
        </w:tc>
        <w:tc>
          <w:tcPr>
            <w:tcW w:w="708" w:type="dxa"/>
            <w:tcBorders>
              <w:top w:val="nil"/>
              <w:left w:val="nil"/>
              <w:bottom w:val="single" w:sz="8" w:space="0" w:color="auto"/>
              <w:right w:val="single" w:sz="8" w:space="0" w:color="auto"/>
            </w:tcBorders>
            <w:shd w:val="clear" w:color="auto" w:fill="auto"/>
            <w:noWrap/>
            <w:vAlign w:val="center"/>
          </w:tcPr>
          <w:p w14:paraId="087AC2CF"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74 846</w:t>
            </w:r>
          </w:p>
        </w:tc>
        <w:tc>
          <w:tcPr>
            <w:tcW w:w="709" w:type="dxa"/>
            <w:tcBorders>
              <w:top w:val="nil"/>
              <w:left w:val="nil"/>
              <w:bottom w:val="single" w:sz="8" w:space="0" w:color="auto"/>
              <w:right w:val="single" w:sz="8" w:space="0" w:color="auto"/>
            </w:tcBorders>
            <w:shd w:val="clear" w:color="auto" w:fill="auto"/>
            <w:noWrap/>
            <w:vAlign w:val="center"/>
          </w:tcPr>
          <w:p w14:paraId="689037C5"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76 496</w:t>
            </w:r>
          </w:p>
        </w:tc>
        <w:tc>
          <w:tcPr>
            <w:tcW w:w="709" w:type="dxa"/>
            <w:tcBorders>
              <w:top w:val="nil"/>
              <w:left w:val="nil"/>
              <w:bottom w:val="single" w:sz="8" w:space="0" w:color="auto"/>
              <w:right w:val="single" w:sz="8" w:space="0" w:color="auto"/>
            </w:tcBorders>
            <w:shd w:val="clear" w:color="auto" w:fill="auto"/>
            <w:noWrap/>
            <w:vAlign w:val="center"/>
          </w:tcPr>
          <w:p w14:paraId="7FB85FB9"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85 004</w:t>
            </w:r>
          </w:p>
        </w:tc>
        <w:tc>
          <w:tcPr>
            <w:tcW w:w="709" w:type="dxa"/>
            <w:tcBorders>
              <w:top w:val="nil"/>
              <w:left w:val="nil"/>
              <w:bottom w:val="single" w:sz="8" w:space="0" w:color="auto"/>
              <w:right w:val="single" w:sz="8" w:space="0" w:color="auto"/>
            </w:tcBorders>
            <w:shd w:val="clear" w:color="auto" w:fill="auto"/>
            <w:noWrap/>
            <w:vAlign w:val="center"/>
          </w:tcPr>
          <w:p w14:paraId="5F3D3045"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91 490</w:t>
            </w:r>
          </w:p>
        </w:tc>
        <w:tc>
          <w:tcPr>
            <w:tcW w:w="708" w:type="dxa"/>
            <w:tcBorders>
              <w:top w:val="nil"/>
              <w:left w:val="nil"/>
              <w:bottom w:val="single" w:sz="8" w:space="0" w:color="auto"/>
              <w:right w:val="single" w:sz="8" w:space="0" w:color="auto"/>
            </w:tcBorders>
            <w:shd w:val="clear" w:color="auto" w:fill="auto"/>
            <w:noWrap/>
            <w:vAlign w:val="center"/>
          </w:tcPr>
          <w:p w14:paraId="4971AED8"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81 895</w:t>
            </w:r>
          </w:p>
        </w:tc>
        <w:tc>
          <w:tcPr>
            <w:tcW w:w="709" w:type="dxa"/>
            <w:tcBorders>
              <w:top w:val="nil"/>
              <w:left w:val="nil"/>
              <w:bottom w:val="single" w:sz="8" w:space="0" w:color="auto"/>
              <w:right w:val="single" w:sz="8" w:space="0" w:color="auto"/>
            </w:tcBorders>
            <w:shd w:val="clear" w:color="auto" w:fill="auto"/>
            <w:noWrap/>
            <w:vAlign w:val="center"/>
          </w:tcPr>
          <w:p w14:paraId="294D5DE6"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94 303</w:t>
            </w:r>
          </w:p>
        </w:tc>
        <w:tc>
          <w:tcPr>
            <w:tcW w:w="709" w:type="dxa"/>
            <w:tcBorders>
              <w:top w:val="nil"/>
              <w:left w:val="nil"/>
              <w:bottom w:val="single" w:sz="8" w:space="0" w:color="auto"/>
              <w:right w:val="single" w:sz="8" w:space="0" w:color="auto"/>
            </w:tcBorders>
            <w:shd w:val="clear" w:color="auto" w:fill="auto"/>
            <w:noWrap/>
            <w:vAlign w:val="center"/>
          </w:tcPr>
          <w:p w14:paraId="18181AB2"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92 851</w:t>
            </w:r>
          </w:p>
        </w:tc>
        <w:tc>
          <w:tcPr>
            <w:tcW w:w="709" w:type="dxa"/>
            <w:tcBorders>
              <w:top w:val="nil"/>
              <w:left w:val="nil"/>
              <w:bottom w:val="single" w:sz="8" w:space="0" w:color="auto"/>
              <w:right w:val="single" w:sz="8" w:space="0" w:color="auto"/>
            </w:tcBorders>
            <w:shd w:val="clear" w:color="auto" w:fill="auto"/>
            <w:noWrap/>
            <w:vAlign w:val="center"/>
          </w:tcPr>
          <w:p w14:paraId="6FC4E5D8"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90 976</w:t>
            </w:r>
          </w:p>
        </w:tc>
        <w:tc>
          <w:tcPr>
            <w:tcW w:w="745" w:type="dxa"/>
            <w:tcBorders>
              <w:top w:val="nil"/>
              <w:left w:val="nil"/>
              <w:bottom w:val="single" w:sz="8" w:space="0" w:color="auto"/>
              <w:right w:val="single" w:sz="8" w:space="0" w:color="auto"/>
            </w:tcBorders>
            <w:shd w:val="clear" w:color="auto" w:fill="auto"/>
            <w:vAlign w:val="center"/>
          </w:tcPr>
          <w:p w14:paraId="6FB27EBC" w14:textId="77777777" w:rsidR="0024416E" w:rsidRPr="00A459B8" w:rsidRDefault="0024416E" w:rsidP="00A26D06">
            <w:pPr>
              <w:jc w:val="right"/>
              <w:rPr>
                <w:color w:val="000000"/>
                <w:sz w:val="16"/>
                <w:szCs w:val="16"/>
              </w:rPr>
            </w:pPr>
            <w:r w:rsidRPr="00A459B8">
              <w:rPr>
                <w:color w:val="000000"/>
                <w:sz w:val="16"/>
                <w:szCs w:val="16"/>
              </w:rPr>
              <w:t>91 151</w:t>
            </w:r>
          </w:p>
        </w:tc>
        <w:tc>
          <w:tcPr>
            <w:tcW w:w="721" w:type="dxa"/>
            <w:tcBorders>
              <w:top w:val="nil"/>
              <w:left w:val="nil"/>
              <w:bottom w:val="single" w:sz="8" w:space="0" w:color="auto"/>
              <w:right w:val="single" w:sz="8" w:space="0" w:color="auto"/>
            </w:tcBorders>
            <w:shd w:val="clear" w:color="auto" w:fill="auto"/>
            <w:vAlign w:val="center"/>
          </w:tcPr>
          <w:p w14:paraId="2DB4E876" w14:textId="77777777" w:rsidR="0024416E" w:rsidRPr="00A459B8" w:rsidRDefault="0024416E" w:rsidP="00A26D06">
            <w:pPr>
              <w:jc w:val="right"/>
              <w:rPr>
                <w:color w:val="000000"/>
                <w:sz w:val="16"/>
                <w:szCs w:val="16"/>
              </w:rPr>
            </w:pPr>
            <w:r w:rsidRPr="00A459B8">
              <w:rPr>
                <w:color w:val="000000"/>
                <w:sz w:val="16"/>
                <w:szCs w:val="16"/>
              </w:rPr>
              <w:t>90 765</w:t>
            </w:r>
          </w:p>
        </w:tc>
        <w:tc>
          <w:tcPr>
            <w:tcW w:w="802" w:type="dxa"/>
            <w:tcBorders>
              <w:top w:val="nil"/>
              <w:left w:val="nil"/>
              <w:bottom w:val="single" w:sz="8" w:space="0" w:color="auto"/>
              <w:right w:val="single" w:sz="8" w:space="0" w:color="auto"/>
            </w:tcBorders>
            <w:vAlign w:val="center"/>
          </w:tcPr>
          <w:p w14:paraId="1046BB94" w14:textId="77777777" w:rsidR="0024416E" w:rsidRPr="00A459B8" w:rsidRDefault="0024416E" w:rsidP="00A26D06">
            <w:pPr>
              <w:jc w:val="center"/>
              <w:rPr>
                <w:rFonts w:eastAsia="Calibri"/>
                <w:color w:val="000000"/>
                <w:sz w:val="16"/>
                <w:szCs w:val="16"/>
                <w:lang w:eastAsia="en-US"/>
              </w:rPr>
            </w:pPr>
            <w:r w:rsidRPr="00A459B8">
              <w:rPr>
                <w:rFonts w:eastAsia="Calibri"/>
                <w:color w:val="000000"/>
                <w:sz w:val="16"/>
                <w:szCs w:val="16"/>
                <w:lang w:eastAsia="en-US"/>
              </w:rPr>
              <w:t>90 828</w:t>
            </w:r>
          </w:p>
        </w:tc>
      </w:tr>
      <w:tr w:rsidR="0024416E" w:rsidRPr="00A459B8" w14:paraId="6C9851D7" w14:textId="77777777" w:rsidTr="00A26D06">
        <w:trPr>
          <w:trHeight w:val="270"/>
        </w:trPr>
        <w:tc>
          <w:tcPr>
            <w:tcW w:w="1636" w:type="dxa"/>
            <w:tcBorders>
              <w:top w:val="nil"/>
              <w:left w:val="single" w:sz="8" w:space="0" w:color="auto"/>
              <w:bottom w:val="single" w:sz="8" w:space="0" w:color="auto"/>
              <w:right w:val="single" w:sz="8" w:space="0" w:color="auto"/>
            </w:tcBorders>
            <w:shd w:val="clear" w:color="auto" w:fill="auto"/>
            <w:vAlign w:val="center"/>
            <w:hideMark/>
          </w:tcPr>
          <w:p w14:paraId="2BFE66D2" w14:textId="77777777" w:rsidR="0024416E" w:rsidRPr="00A459B8" w:rsidRDefault="0024416E" w:rsidP="00A26D06">
            <w:pPr>
              <w:rPr>
                <w:b/>
                <w:bCs/>
                <w:color w:val="000000"/>
                <w:sz w:val="16"/>
                <w:szCs w:val="16"/>
              </w:rPr>
            </w:pPr>
            <w:r w:rsidRPr="00A459B8">
              <w:rPr>
                <w:b/>
                <w:bCs/>
                <w:color w:val="000000"/>
                <w:sz w:val="16"/>
                <w:szCs w:val="22"/>
              </w:rPr>
              <w:t>Domácnosti</w:t>
            </w:r>
          </w:p>
        </w:tc>
        <w:tc>
          <w:tcPr>
            <w:tcW w:w="708" w:type="dxa"/>
            <w:tcBorders>
              <w:top w:val="nil"/>
              <w:left w:val="nil"/>
              <w:bottom w:val="single" w:sz="8" w:space="0" w:color="auto"/>
              <w:right w:val="single" w:sz="8" w:space="0" w:color="auto"/>
            </w:tcBorders>
            <w:shd w:val="clear" w:color="auto" w:fill="auto"/>
            <w:noWrap/>
            <w:vAlign w:val="center"/>
          </w:tcPr>
          <w:p w14:paraId="59BB5DF4"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106 059</w:t>
            </w:r>
          </w:p>
        </w:tc>
        <w:tc>
          <w:tcPr>
            <w:tcW w:w="709" w:type="dxa"/>
            <w:tcBorders>
              <w:top w:val="nil"/>
              <w:left w:val="nil"/>
              <w:bottom w:val="single" w:sz="8" w:space="0" w:color="auto"/>
              <w:right w:val="single" w:sz="8" w:space="0" w:color="auto"/>
            </w:tcBorders>
            <w:shd w:val="clear" w:color="auto" w:fill="auto"/>
            <w:noWrap/>
            <w:vAlign w:val="center"/>
          </w:tcPr>
          <w:p w14:paraId="0410476A"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96 721</w:t>
            </w:r>
          </w:p>
        </w:tc>
        <w:tc>
          <w:tcPr>
            <w:tcW w:w="709" w:type="dxa"/>
            <w:tcBorders>
              <w:top w:val="nil"/>
              <w:left w:val="nil"/>
              <w:bottom w:val="single" w:sz="8" w:space="0" w:color="auto"/>
              <w:right w:val="single" w:sz="8" w:space="0" w:color="auto"/>
            </w:tcBorders>
            <w:shd w:val="clear" w:color="auto" w:fill="auto"/>
            <w:noWrap/>
            <w:vAlign w:val="center"/>
          </w:tcPr>
          <w:p w14:paraId="7F9064F4"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87 248</w:t>
            </w:r>
          </w:p>
        </w:tc>
        <w:tc>
          <w:tcPr>
            <w:tcW w:w="709" w:type="dxa"/>
            <w:tcBorders>
              <w:top w:val="nil"/>
              <w:left w:val="nil"/>
              <w:bottom w:val="single" w:sz="8" w:space="0" w:color="auto"/>
              <w:right w:val="single" w:sz="8" w:space="0" w:color="auto"/>
            </w:tcBorders>
            <w:shd w:val="clear" w:color="auto" w:fill="auto"/>
            <w:noWrap/>
            <w:vAlign w:val="center"/>
          </w:tcPr>
          <w:p w14:paraId="617DCE5D"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89 209</w:t>
            </w:r>
          </w:p>
        </w:tc>
        <w:tc>
          <w:tcPr>
            <w:tcW w:w="708" w:type="dxa"/>
            <w:tcBorders>
              <w:top w:val="nil"/>
              <w:left w:val="nil"/>
              <w:bottom w:val="single" w:sz="8" w:space="0" w:color="auto"/>
              <w:right w:val="single" w:sz="8" w:space="0" w:color="auto"/>
            </w:tcBorders>
            <w:shd w:val="clear" w:color="auto" w:fill="auto"/>
            <w:noWrap/>
            <w:vAlign w:val="center"/>
          </w:tcPr>
          <w:p w14:paraId="3262AB04"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89 994</w:t>
            </w:r>
          </w:p>
        </w:tc>
        <w:tc>
          <w:tcPr>
            <w:tcW w:w="709" w:type="dxa"/>
            <w:tcBorders>
              <w:top w:val="nil"/>
              <w:left w:val="nil"/>
              <w:bottom w:val="single" w:sz="8" w:space="0" w:color="auto"/>
              <w:right w:val="single" w:sz="8" w:space="0" w:color="auto"/>
            </w:tcBorders>
            <w:shd w:val="clear" w:color="auto" w:fill="auto"/>
            <w:noWrap/>
            <w:vAlign w:val="center"/>
          </w:tcPr>
          <w:p w14:paraId="0E477B25"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96 754</w:t>
            </w:r>
          </w:p>
        </w:tc>
        <w:tc>
          <w:tcPr>
            <w:tcW w:w="709" w:type="dxa"/>
            <w:tcBorders>
              <w:top w:val="nil"/>
              <w:left w:val="nil"/>
              <w:bottom w:val="single" w:sz="8" w:space="0" w:color="auto"/>
              <w:right w:val="single" w:sz="8" w:space="0" w:color="auto"/>
            </w:tcBorders>
            <w:shd w:val="clear" w:color="auto" w:fill="auto"/>
            <w:noWrap/>
            <w:vAlign w:val="center"/>
          </w:tcPr>
          <w:p w14:paraId="674BE0E1"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93 106</w:t>
            </w:r>
          </w:p>
        </w:tc>
        <w:tc>
          <w:tcPr>
            <w:tcW w:w="709" w:type="dxa"/>
            <w:tcBorders>
              <w:top w:val="nil"/>
              <w:left w:val="nil"/>
              <w:bottom w:val="single" w:sz="8" w:space="0" w:color="auto"/>
              <w:right w:val="single" w:sz="8" w:space="0" w:color="auto"/>
            </w:tcBorders>
            <w:shd w:val="clear" w:color="auto" w:fill="auto"/>
            <w:noWrap/>
            <w:vAlign w:val="center"/>
          </w:tcPr>
          <w:p w14:paraId="64FEF88B"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86 671</w:t>
            </w:r>
          </w:p>
        </w:tc>
        <w:tc>
          <w:tcPr>
            <w:tcW w:w="745" w:type="dxa"/>
            <w:tcBorders>
              <w:top w:val="nil"/>
              <w:left w:val="nil"/>
              <w:bottom w:val="single" w:sz="8" w:space="0" w:color="auto"/>
              <w:right w:val="single" w:sz="8" w:space="0" w:color="auto"/>
            </w:tcBorders>
            <w:shd w:val="clear" w:color="auto" w:fill="auto"/>
            <w:vAlign w:val="center"/>
          </w:tcPr>
          <w:p w14:paraId="2491E06A" w14:textId="77777777" w:rsidR="0024416E" w:rsidRPr="00A459B8" w:rsidRDefault="0024416E" w:rsidP="00A26D06">
            <w:pPr>
              <w:jc w:val="right"/>
              <w:rPr>
                <w:color w:val="000000"/>
                <w:sz w:val="16"/>
                <w:szCs w:val="16"/>
              </w:rPr>
            </w:pPr>
            <w:r w:rsidRPr="00A459B8">
              <w:rPr>
                <w:color w:val="000000"/>
                <w:sz w:val="16"/>
                <w:szCs w:val="16"/>
              </w:rPr>
              <w:t>89 897</w:t>
            </w:r>
          </w:p>
        </w:tc>
        <w:tc>
          <w:tcPr>
            <w:tcW w:w="721" w:type="dxa"/>
            <w:tcBorders>
              <w:top w:val="nil"/>
              <w:left w:val="nil"/>
              <w:bottom w:val="single" w:sz="8" w:space="0" w:color="auto"/>
              <w:right w:val="single" w:sz="8" w:space="0" w:color="auto"/>
            </w:tcBorders>
            <w:shd w:val="clear" w:color="auto" w:fill="auto"/>
            <w:vAlign w:val="center"/>
          </w:tcPr>
          <w:p w14:paraId="0B5AF5EA" w14:textId="77777777" w:rsidR="0024416E" w:rsidRPr="00A459B8" w:rsidRDefault="0024416E" w:rsidP="00A26D06">
            <w:pPr>
              <w:jc w:val="right"/>
              <w:rPr>
                <w:color w:val="000000"/>
                <w:sz w:val="16"/>
                <w:szCs w:val="16"/>
              </w:rPr>
            </w:pPr>
            <w:r w:rsidRPr="00A459B8">
              <w:rPr>
                <w:color w:val="000000"/>
                <w:sz w:val="16"/>
                <w:szCs w:val="16"/>
              </w:rPr>
              <w:t>81 723</w:t>
            </w:r>
          </w:p>
        </w:tc>
        <w:tc>
          <w:tcPr>
            <w:tcW w:w="802" w:type="dxa"/>
            <w:tcBorders>
              <w:top w:val="nil"/>
              <w:left w:val="nil"/>
              <w:bottom w:val="single" w:sz="8" w:space="0" w:color="auto"/>
              <w:right w:val="single" w:sz="8" w:space="0" w:color="auto"/>
            </w:tcBorders>
            <w:vAlign w:val="center"/>
          </w:tcPr>
          <w:p w14:paraId="3B98B659" w14:textId="77777777" w:rsidR="0024416E" w:rsidRPr="00A459B8" w:rsidRDefault="0024416E" w:rsidP="00A26D06">
            <w:pPr>
              <w:jc w:val="center"/>
              <w:rPr>
                <w:rFonts w:eastAsia="Calibri"/>
                <w:color w:val="000000"/>
                <w:sz w:val="16"/>
                <w:szCs w:val="16"/>
                <w:lang w:eastAsia="en-US"/>
              </w:rPr>
            </w:pPr>
            <w:r w:rsidRPr="00A459B8">
              <w:rPr>
                <w:rFonts w:eastAsia="Calibri"/>
                <w:color w:val="000000"/>
                <w:sz w:val="16"/>
                <w:szCs w:val="16"/>
                <w:lang w:eastAsia="en-US"/>
              </w:rPr>
              <w:t>83 219</w:t>
            </w:r>
          </w:p>
        </w:tc>
      </w:tr>
      <w:tr w:rsidR="0024416E" w:rsidRPr="00A459B8" w14:paraId="5FF325A7" w14:textId="77777777" w:rsidTr="00A26D06">
        <w:trPr>
          <w:trHeight w:val="309"/>
        </w:trPr>
        <w:tc>
          <w:tcPr>
            <w:tcW w:w="1636" w:type="dxa"/>
            <w:tcBorders>
              <w:top w:val="nil"/>
              <w:left w:val="single" w:sz="8" w:space="0" w:color="auto"/>
              <w:bottom w:val="single" w:sz="8" w:space="0" w:color="auto"/>
              <w:right w:val="single" w:sz="8" w:space="0" w:color="auto"/>
            </w:tcBorders>
            <w:shd w:val="clear" w:color="auto" w:fill="auto"/>
            <w:vAlign w:val="center"/>
            <w:hideMark/>
          </w:tcPr>
          <w:p w14:paraId="2A889952" w14:textId="77777777" w:rsidR="0024416E" w:rsidRPr="00A459B8" w:rsidRDefault="0024416E" w:rsidP="00A26D06">
            <w:pPr>
              <w:rPr>
                <w:b/>
                <w:bCs/>
                <w:color w:val="000000"/>
                <w:sz w:val="16"/>
                <w:szCs w:val="16"/>
              </w:rPr>
            </w:pPr>
            <w:r w:rsidRPr="00A459B8">
              <w:rPr>
                <w:b/>
                <w:bCs/>
                <w:color w:val="000000"/>
                <w:sz w:val="16"/>
                <w:szCs w:val="22"/>
              </w:rPr>
              <w:t>Pôdohospodárstvo</w:t>
            </w:r>
          </w:p>
        </w:tc>
        <w:tc>
          <w:tcPr>
            <w:tcW w:w="708" w:type="dxa"/>
            <w:tcBorders>
              <w:top w:val="nil"/>
              <w:left w:val="nil"/>
              <w:bottom w:val="single" w:sz="8" w:space="0" w:color="auto"/>
              <w:right w:val="single" w:sz="8" w:space="0" w:color="auto"/>
            </w:tcBorders>
            <w:shd w:val="clear" w:color="auto" w:fill="auto"/>
            <w:noWrap/>
            <w:vAlign w:val="center"/>
          </w:tcPr>
          <w:p w14:paraId="556EAE23"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6 847</w:t>
            </w:r>
          </w:p>
        </w:tc>
        <w:tc>
          <w:tcPr>
            <w:tcW w:w="709" w:type="dxa"/>
            <w:tcBorders>
              <w:top w:val="nil"/>
              <w:left w:val="nil"/>
              <w:bottom w:val="single" w:sz="8" w:space="0" w:color="auto"/>
              <w:right w:val="single" w:sz="8" w:space="0" w:color="auto"/>
            </w:tcBorders>
            <w:shd w:val="clear" w:color="auto" w:fill="auto"/>
            <w:noWrap/>
            <w:vAlign w:val="center"/>
          </w:tcPr>
          <w:p w14:paraId="121B5C45"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5 895</w:t>
            </w:r>
          </w:p>
        </w:tc>
        <w:tc>
          <w:tcPr>
            <w:tcW w:w="709" w:type="dxa"/>
            <w:tcBorders>
              <w:top w:val="nil"/>
              <w:left w:val="nil"/>
              <w:bottom w:val="single" w:sz="8" w:space="0" w:color="auto"/>
              <w:right w:val="single" w:sz="8" w:space="0" w:color="auto"/>
            </w:tcBorders>
            <w:shd w:val="clear" w:color="auto" w:fill="auto"/>
            <w:noWrap/>
            <w:vAlign w:val="center"/>
          </w:tcPr>
          <w:p w14:paraId="3EAF7797"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5 673</w:t>
            </w:r>
          </w:p>
        </w:tc>
        <w:tc>
          <w:tcPr>
            <w:tcW w:w="709" w:type="dxa"/>
            <w:tcBorders>
              <w:top w:val="nil"/>
              <w:left w:val="nil"/>
              <w:bottom w:val="single" w:sz="8" w:space="0" w:color="auto"/>
              <w:right w:val="single" w:sz="8" w:space="0" w:color="auto"/>
            </w:tcBorders>
            <w:shd w:val="clear" w:color="auto" w:fill="auto"/>
            <w:noWrap/>
            <w:vAlign w:val="center"/>
          </w:tcPr>
          <w:p w14:paraId="6C8BC25B"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5 839</w:t>
            </w:r>
          </w:p>
        </w:tc>
        <w:tc>
          <w:tcPr>
            <w:tcW w:w="708" w:type="dxa"/>
            <w:tcBorders>
              <w:top w:val="nil"/>
              <w:left w:val="nil"/>
              <w:bottom w:val="single" w:sz="8" w:space="0" w:color="auto"/>
              <w:right w:val="single" w:sz="8" w:space="0" w:color="auto"/>
            </w:tcBorders>
            <w:shd w:val="clear" w:color="auto" w:fill="auto"/>
            <w:noWrap/>
            <w:vAlign w:val="center"/>
          </w:tcPr>
          <w:p w14:paraId="48AC097B"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5 393</w:t>
            </w:r>
          </w:p>
        </w:tc>
        <w:tc>
          <w:tcPr>
            <w:tcW w:w="709" w:type="dxa"/>
            <w:tcBorders>
              <w:top w:val="nil"/>
              <w:left w:val="nil"/>
              <w:bottom w:val="single" w:sz="8" w:space="0" w:color="auto"/>
              <w:right w:val="single" w:sz="8" w:space="0" w:color="auto"/>
            </w:tcBorders>
            <w:shd w:val="clear" w:color="auto" w:fill="auto"/>
            <w:noWrap/>
            <w:vAlign w:val="center"/>
          </w:tcPr>
          <w:p w14:paraId="0AF4873B"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5 589</w:t>
            </w:r>
          </w:p>
        </w:tc>
        <w:tc>
          <w:tcPr>
            <w:tcW w:w="709" w:type="dxa"/>
            <w:tcBorders>
              <w:top w:val="nil"/>
              <w:left w:val="nil"/>
              <w:bottom w:val="single" w:sz="8" w:space="0" w:color="auto"/>
              <w:right w:val="single" w:sz="8" w:space="0" w:color="auto"/>
            </w:tcBorders>
            <w:shd w:val="clear" w:color="auto" w:fill="auto"/>
            <w:noWrap/>
            <w:vAlign w:val="center"/>
          </w:tcPr>
          <w:p w14:paraId="61F4AA37"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6 549</w:t>
            </w:r>
          </w:p>
        </w:tc>
        <w:tc>
          <w:tcPr>
            <w:tcW w:w="709" w:type="dxa"/>
            <w:tcBorders>
              <w:top w:val="nil"/>
              <w:left w:val="nil"/>
              <w:bottom w:val="single" w:sz="8" w:space="0" w:color="auto"/>
              <w:right w:val="single" w:sz="8" w:space="0" w:color="auto"/>
            </w:tcBorders>
            <w:shd w:val="clear" w:color="auto" w:fill="auto"/>
            <w:noWrap/>
            <w:vAlign w:val="center"/>
          </w:tcPr>
          <w:p w14:paraId="0232DA46"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6 007</w:t>
            </w:r>
          </w:p>
        </w:tc>
        <w:tc>
          <w:tcPr>
            <w:tcW w:w="745" w:type="dxa"/>
            <w:tcBorders>
              <w:top w:val="nil"/>
              <w:left w:val="nil"/>
              <w:bottom w:val="single" w:sz="8" w:space="0" w:color="auto"/>
              <w:right w:val="single" w:sz="8" w:space="0" w:color="auto"/>
            </w:tcBorders>
            <w:shd w:val="clear" w:color="auto" w:fill="auto"/>
            <w:vAlign w:val="center"/>
          </w:tcPr>
          <w:p w14:paraId="73EC5E2F" w14:textId="77777777" w:rsidR="0024416E" w:rsidRPr="00A459B8" w:rsidRDefault="0024416E" w:rsidP="00A26D06">
            <w:pPr>
              <w:jc w:val="right"/>
              <w:rPr>
                <w:color w:val="000000"/>
                <w:sz w:val="16"/>
                <w:szCs w:val="16"/>
              </w:rPr>
            </w:pPr>
            <w:r w:rsidRPr="00A459B8">
              <w:rPr>
                <w:color w:val="000000"/>
                <w:sz w:val="16"/>
                <w:szCs w:val="16"/>
              </w:rPr>
              <w:t>5 488</w:t>
            </w:r>
          </w:p>
        </w:tc>
        <w:tc>
          <w:tcPr>
            <w:tcW w:w="721" w:type="dxa"/>
            <w:tcBorders>
              <w:top w:val="nil"/>
              <w:left w:val="nil"/>
              <w:bottom w:val="single" w:sz="8" w:space="0" w:color="auto"/>
              <w:right w:val="single" w:sz="8" w:space="0" w:color="auto"/>
            </w:tcBorders>
            <w:shd w:val="clear" w:color="auto" w:fill="auto"/>
            <w:vAlign w:val="center"/>
          </w:tcPr>
          <w:p w14:paraId="4DE6181A" w14:textId="77777777" w:rsidR="0024416E" w:rsidRPr="00A459B8" w:rsidRDefault="0024416E" w:rsidP="00A26D06">
            <w:pPr>
              <w:jc w:val="right"/>
              <w:rPr>
                <w:color w:val="000000"/>
                <w:sz w:val="16"/>
                <w:szCs w:val="16"/>
              </w:rPr>
            </w:pPr>
            <w:r w:rsidRPr="00A459B8">
              <w:rPr>
                <w:color w:val="000000"/>
                <w:sz w:val="16"/>
                <w:szCs w:val="16"/>
              </w:rPr>
              <w:t>5 754</w:t>
            </w:r>
          </w:p>
        </w:tc>
        <w:tc>
          <w:tcPr>
            <w:tcW w:w="802" w:type="dxa"/>
            <w:tcBorders>
              <w:top w:val="nil"/>
              <w:left w:val="nil"/>
              <w:bottom w:val="single" w:sz="8" w:space="0" w:color="auto"/>
              <w:right w:val="single" w:sz="8" w:space="0" w:color="auto"/>
            </w:tcBorders>
            <w:vAlign w:val="center"/>
          </w:tcPr>
          <w:p w14:paraId="0F3784ED" w14:textId="77777777" w:rsidR="0024416E" w:rsidRPr="00A459B8" w:rsidRDefault="0024416E" w:rsidP="00A26D06">
            <w:pPr>
              <w:jc w:val="center"/>
              <w:rPr>
                <w:rFonts w:eastAsia="Calibri"/>
                <w:color w:val="000000"/>
                <w:sz w:val="16"/>
                <w:szCs w:val="16"/>
                <w:lang w:eastAsia="en-US"/>
              </w:rPr>
            </w:pPr>
            <w:r w:rsidRPr="00A459B8">
              <w:rPr>
                <w:rFonts w:eastAsia="Calibri"/>
                <w:color w:val="000000"/>
                <w:sz w:val="16"/>
                <w:szCs w:val="16"/>
                <w:lang w:eastAsia="en-US"/>
              </w:rPr>
              <w:t>6 297</w:t>
            </w:r>
          </w:p>
        </w:tc>
      </w:tr>
      <w:tr w:rsidR="0024416E" w:rsidRPr="00A459B8" w14:paraId="4B5CFB2F" w14:textId="77777777" w:rsidTr="00A26D06">
        <w:trPr>
          <w:trHeight w:val="272"/>
        </w:trPr>
        <w:tc>
          <w:tcPr>
            <w:tcW w:w="1636" w:type="dxa"/>
            <w:tcBorders>
              <w:top w:val="nil"/>
              <w:left w:val="single" w:sz="8" w:space="0" w:color="auto"/>
              <w:bottom w:val="single" w:sz="8" w:space="0" w:color="auto"/>
              <w:right w:val="single" w:sz="8" w:space="0" w:color="auto"/>
            </w:tcBorders>
            <w:shd w:val="clear" w:color="auto" w:fill="auto"/>
            <w:vAlign w:val="center"/>
            <w:hideMark/>
          </w:tcPr>
          <w:p w14:paraId="0DF8624B" w14:textId="77777777" w:rsidR="0024416E" w:rsidRPr="00A459B8" w:rsidRDefault="0024416E" w:rsidP="00A26D06">
            <w:pPr>
              <w:rPr>
                <w:b/>
                <w:bCs/>
                <w:color w:val="000000"/>
                <w:sz w:val="16"/>
                <w:szCs w:val="16"/>
              </w:rPr>
            </w:pPr>
            <w:r w:rsidRPr="00A459B8">
              <w:rPr>
                <w:b/>
                <w:bCs/>
                <w:color w:val="000000"/>
                <w:sz w:val="16"/>
                <w:szCs w:val="22"/>
              </w:rPr>
              <w:t>Obchod a služby</w:t>
            </w:r>
          </w:p>
        </w:tc>
        <w:tc>
          <w:tcPr>
            <w:tcW w:w="708" w:type="dxa"/>
            <w:tcBorders>
              <w:top w:val="nil"/>
              <w:left w:val="nil"/>
              <w:bottom w:val="single" w:sz="8" w:space="0" w:color="auto"/>
              <w:right w:val="single" w:sz="8" w:space="0" w:color="auto"/>
            </w:tcBorders>
            <w:shd w:val="clear" w:color="auto" w:fill="auto"/>
            <w:noWrap/>
            <w:vAlign w:val="center"/>
          </w:tcPr>
          <w:p w14:paraId="0CDF9CEF"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67 531</w:t>
            </w:r>
          </w:p>
        </w:tc>
        <w:tc>
          <w:tcPr>
            <w:tcW w:w="709" w:type="dxa"/>
            <w:tcBorders>
              <w:top w:val="nil"/>
              <w:left w:val="nil"/>
              <w:bottom w:val="single" w:sz="8" w:space="0" w:color="auto"/>
              <w:right w:val="single" w:sz="8" w:space="0" w:color="auto"/>
            </w:tcBorders>
            <w:shd w:val="clear" w:color="auto" w:fill="auto"/>
            <w:noWrap/>
            <w:vAlign w:val="center"/>
          </w:tcPr>
          <w:p w14:paraId="79942D73"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78 965</w:t>
            </w:r>
          </w:p>
        </w:tc>
        <w:tc>
          <w:tcPr>
            <w:tcW w:w="709" w:type="dxa"/>
            <w:tcBorders>
              <w:top w:val="nil"/>
              <w:left w:val="nil"/>
              <w:bottom w:val="single" w:sz="8" w:space="0" w:color="auto"/>
              <w:right w:val="single" w:sz="8" w:space="0" w:color="auto"/>
            </w:tcBorders>
            <w:shd w:val="clear" w:color="auto" w:fill="auto"/>
            <w:noWrap/>
            <w:vAlign w:val="center"/>
          </w:tcPr>
          <w:p w14:paraId="44A0908F"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77 404</w:t>
            </w:r>
          </w:p>
        </w:tc>
        <w:tc>
          <w:tcPr>
            <w:tcW w:w="709" w:type="dxa"/>
            <w:tcBorders>
              <w:top w:val="nil"/>
              <w:left w:val="nil"/>
              <w:bottom w:val="single" w:sz="8" w:space="0" w:color="auto"/>
              <w:right w:val="single" w:sz="8" w:space="0" w:color="auto"/>
            </w:tcBorders>
            <w:shd w:val="clear" w:color="auto" w:fill="auto"/>
            <w:noWrap/>
            <w:vAlign w:val="center"/>
          </w:tcPr>
          <w:p w14:paraId="5ED69A7C"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81 162</w:t>
            </w:r>
          </w:p>
        </w:tc>
        <w:tc>
          <w:tcPr>
            <w:tcW w:w="708" w:type="dxa"/>
            <w:tcBorders>
              <w:top w:val="nil"/>
              <w:left w:val="nil"/>
              <w:bottom w:val="single" w:sz="8" w:space="0" w:color="auto"/>
              <w:right w:val="single" w:sz="8" w:space="0" w:color="auto"/>
            </w:tcBorders>
            <w:shd w:val="clear" w:color="auto" w:fill="auto"/>
            <w:noWrap/>
            <w:vAlign w:val="center"/>
          </w:tcPr>
          <w:p w14:paraId="69F16D66"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81 405</w:t>
            </w:r>
          </w:p>
        </w:tc>
        <w:tc>
          <w:tcPr>
            <w:tcW w:w="709" w:type="dxa"/>
            <w:tcBorders>
              <w:top w:val="nil"/>
              <w:left w:val="nil"/>
              <w:bottom w:val="single" w:sz="8" w:space="0" w:color="auto"/>
              <w:right w:val="single" w:sz="8" w:space="0" w:color="auto"/>
            </w:tcBorders>
            <w:shd w:val="clear" w:color="auto" w:fill="auto"/>
            <w:noWrap/>
            <w:vAlign w:val="center"/>
          </w:tcPr>
          <w:p w14:paraId="6DFEC089"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88 117</w:t>
            </w:r>
          </w:p>
        </w:tc>
        <w:tc>
          <w:tcPr>
            <w:tcW w:w="709" w:type="dxa"/>
            <w:tcBorders>
              <w:top w:val="nil"/>
              <w:left w:val="nil"/>
              <w:bottom w:val="single" w:sz="8" w:space="0" w:color="auto"/>
              <w:right w:val="single" w:sz="8" w:space="0" w:color="auto"/>
            </w:tcBorders>
            <w:shd w:val="clear" w:color="auto" w:fill="auto"/>
            <w:noWrap/>
            <w:vAlign w:val="center"/>
          </w:tcPr>
          <w:p w14:paraId="612D49D8"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62 764</w:t>
            </w:r>
          </w:p>
        </w:tc>
        <w:tc>
          <w:tcPr>
            <w:tcW w:w="709" w:type="dxa"/>
            <w:tcBorders>
              <w:top w:val="nil"/>
              <w:left w:val="nil"/>
              <w:bottom w:val="single" w:sz="8" w:space="0" w:color="auto"/>
              <w:right w:val="single" w:sz="8" w:space="0" w:color="auto"/>
            </w:tcBorders>
            <w:shd w:val="clear" w:color="auto" w:fill="auto"/>
            <w:noWrap/>
            <w:vAlign w:val="center"/>
          </w:tcPr>
          <w:p w14:paraId="2176C9E6" w14:textId="77777777" w:rsidR="0024416E" w:rsidRPr="00A459B8" w:rsidRDefault="0024416E" w:rsidP="00A26D06">
            <w:pPr>
              <w:jc w:val="right"/>
              <w:rPr>
                <w:color w:val="000000"/>
                <w:sz w:val="16"/>
                <w:szCs w:val="16"/>
              </w:rPr>
            </w:pPr>
            <w:r w:rsidRPr="00A459B8">
              <w:rPr>
                <w:rFonts w:eastAsia="Calibri"/>
                <w:color w:val="000000"/>
                <w:sz w:val="16"/>
                <w:szCs w:val="16"/>
                <w:lang w:eastAsia="en-US"/>
              </w:rPr>
              <w:t>60 759</w:t>
            </w:r>
          </w:p>
        </w:tc>
        <w:tc>
          <w:tcPr>
            <w:tcW w:w="745" w:type="dxa"/>
            <w:tcBorders>
              <w:top w:val="nil"/>
              <w:left w:val="nil"/>
              <w:bottom w:val="single" w:sz="8" w:space="0" w:color="auto"/>
              <w:right w:val="single" w:sz="8" w:space="0" w:color="auto"/>
            </w:tcBorders>
            <w:shd w:val="clear" w:color="auto" w:fill="auto"/>
            <w:vAlign w:val="center"/>
          </w:tcPr>
          <w:p w14:paraId="652C3BA4" w14:textId="77777777" w:rsidR="0024416E" w:rsidRPr="00A459B8" w:rsidRDefault="0024416E" w:rsidP="00A26D06">
            <w:pPr>
              <w:jc w:val="right"/>
              <w:rPr>
                <w:color w:val="000000"/>
                <w:sz w:val="16"/>
                <w:szCs w:val="16"/>
              </w:rPr>
            </w:pPr>
            <w:r w:rsidRPr="00A459B8">
              <w:rPr>
                <w:color w:val="000000"/>
                <w:sz w:val="16"/>
                <w:szCs w:val="16"/>
              </w:rPr>
              <w:t>71 625</w:t>
            </w:r>
          </w:p>
        </w:tc>
        <w:tc>
          <w:tcPr>
            <w:tcW w:w="721" w:type="dxa"/>
            <w:tcBorders>
              <w:top w:val="nil"/>
              <w:left w:val="nil"/>
              <w:bottom w:val="single" w:sz="8" w:space="0" w:color="auto"/>
              <w:right w:val="single" w:sz="8" w:space="0" w:color="auto"/>
            </w:tcBorders>
            <w:shd w:val="clear" w:color="auto" w:fill="auto"/>
            <w:vAlign w:val="center"/>
          </w:tcPr>
          <w:p w14:paraId="6CF90088" w14:textId="77777777" w:rsidR="0024416E" w:rsidRPr="00A459B8" w:rsidRDefault="0024416E" w:rsidP="00A26D06">
            <w:pPr>
              <w:jc w:val="right"/>
              <w:rPr>
                <w:color w:val="000000"/>
                <w:sz w:val="16"/>
                <w:szCs w:val="16"/>
              </w:rPr>
            </w:pPr>
            <w:r w:rsidRPr="00A459B8">
              <w:rPr>
                <w:color w:val="000000"/>
                <w:sz w:val="16"/>
                <w:szCs w:val="16"/>
              </w:rPr>
              <w:t>51 633</w:t>
            </w:r>
          </w:p>
        </w:tc>
        <w:tc>
          <w:tcPr>
            <w:tcW w:w="802" w:type="dxa"/>
            <w:tcBorders>
              <w:top w:val="nil"/>
              <w:left w:val="nil"/>
              <w:bottom w:val="single" w:sz="8" w:space="0" w:color="auto"/>
              <w:right w:val="single" w:sz="8" w:space="0" w:color="auto"/>
            </w:tcBorders>
            <w:vAlign w:val="center"/>
          </w:tcPr>
          <w:p w14:paraId="27964836" w14:textId="77777777" w:rsidR="0024416E" w:rsidRPr="00A459B8" w:rsidRDefault="0024416E" w:rsidP="00A26D06">
            <w:pPr>
              <w:jc w:val="center"/>
              <w:rPr>
                <w:rFonts w:eastAsia="Calibri"/>
                <w:color w:val="000000"/>
                <w:sz w:val="16"/>
                <w:szCs w:val="16"/>
                <w:lang w:eastAsia="en-US"/>
              </w:rPr>
            </w:pPr>
            <w:r w:rsidRPr="00A459B8">
              <w:rPr>
                <w:rFonts w:eastAsia="Calibri"/>
                <w:color w:val="000000"/>
                <w:sz w:val="16"/>
                <w:szCs w:val="16"/>
                <w:lang w:eastAsia="en-US"/>
              </w:rPr>
              <w:t>63 779</w:t>
            </w:r>
          </w:p>
        </w:tc>
      </w:tr>
    </w:tbl>
    <w:p w14:paraId="491D236C" w14:textId="77777777" w:rsidR="0024416E" w:rsidRPr="00A459B8" w:rsidRDefault="0024416E" w:rsidP="0024416E">
      <w:pPr>
        <w:spacing w:before="20" w:after="20"/>
        <w:contextualSpacing/>
        <w:rPr>
          <w:rFonts w:eastAsia="Calibri"/>
          <w:strike/>
          <w:sz w:val="24"/>
          <w:szCs w:val="24"/>
          <w:lang w:eastAsia="en-US"/>
        </w:rPr>
      </w:pPr>
      <w:r w:rsidRPr="00A459B8">
        <w:rPr>
          <w:rFonts w:eastAsia="Calibri"/>
          <w:sz w:val="24"/>
          <w:szCs w:val="24"/>
          <w:lang w:eastAsia="en-US"/>
        </w:rPr>
        <w:t xml:space="preserve">Zdroj: ŠÚSR (2017) - SLOVSTAT </w:t>
      </w:r>
    </w:p>
    <w:p w14:paraId="7DE4CEE8" w14:textId="77777777" w:rsidR="0024416E" w:rsidRPr="00A459B8" w:rsidRDefault="0024416E" w:rsidP="0024416E">
      <w:pPr>
        <w:spacing w:before="20" w:after="20"/>
        <w:contextualSpacing/>
        <w:rPr>
          <w:rFonts w:ascii="Arial Narrow" w:hAnsi="Arial Narrow"/>
          <w:i/>
          <w:iCs/>
          <w:sz w:val="18"/>
          <w:szCs w:val="18"/>
          <w:lang w:eastAsia="en-US"/>
        </w:rPr>
      </w:pPr>
    </w:p>
    <w:p w14:paraId="4DE290F8" w14:textId="77777777" w:rsidR="0024416E" w:rsidRPr="00A459B8" w:rsidRDefault="0024416E" w:rsidP="0024416E">
      <w:pPr>
        <w:keepNext/>
        <w:rPr>
          <w:rFonts w:eastAsia="Calibri"/>
          <w:sz w:val="24"/>
          <w:szCs w:val="24"/>
          <w:lang w:eastAsia="en-US"/>
        </w:rPr>
      </w:pPr>
      <w:r w:rsidRPr="00A459B8">
        <w:rPr>
          <w:rFonts w:eastAsia="Calibri"/>
          <w:sz w:val="24"/>
          <w:szCs w:val="24"/>
          <w:lang w:eastAsia="en-US"/>
        </w:rPr>
        <w:t>Obrázok č. 1: Konečná energetická spotreba v rokoch 2005-2015 podľa sektorov (TJ)</w:t>
      </w:r>
    </w:p>
    <w:p w14:paraId="07E04926" w14:textId="77777777" w:rsidR="0024416E" w:rsidRPr="00A459B8" w:rsidRDefault="0024416E" w:rsidP="0024416E">
      <w:pPr>
        <w:spacing w:after="120"/>
        <w:jc w:val="center"/>
        <w:rPr>
          <w:rFonts w:ascii="Calibri" w:eastAsia="Calibri" w:hAnsi="Calibri"/>
          <w:sz w:val="22"/>
          <w:szCs w:val="22"/>
          <w:lang w:eastAsia="en-US"/>
        </w:rPr>
      </w:pPr>
      <w:r w:rsidRPr="00A459B8">
        <w:rPr>
          <w:rFonts w:ascii="Calibri" w:eastAsia="Calibri" w:hAnsi="Calibri"/>
          <w:noProof/>
          <w:sz w:val="22"/>
          <w:szCs w:val="22"/>
        </w:rPr>
        <w:drawing>
          <wp:inline distT="0" distB="0" distL="0" distR="0" wp14:anchorId="26BDF6C0" wp14:editId="60AFDFEA">
            <wp:extent cx="4581525" cy="275272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4262DC1F" w14:textId="77777777" w:rsidR="0024416E" w:rsidRPr="00A459B8" w:rsidRDefault="0024416E" w:rsidP="00075A67">
      <w:pPr>
        <w:contextualSpacing/>
        <w:jc w:val="both"/>
        <w:rPr>
          <w:rFonts w:eastAsia="Calibri"/>
          <w:sz w:val="24"/>
          <w:szCs w:val="24"/>
          <w:lang w:eastAsia="en-US"/>
        </w:rPr>
      </w:pPr>
      <w:r w:rsidRPr="00A459B8">
        <w:rPr>
          <w:rFonts w:eastAsia="Calibri"/>
          <w:sz w:val="24"/>
          <w:szCs w:val="24"/>
          <w:lang w:eastAsia="en-US"/>
        </w:rPr>
        <w:t xml:space="preserve">Zdroj: ŠÚSR (2017) </w:t>
      </w:r>
    </w:p>
    <w:p w14:paraId="65A35645" w14:textId="77777777" w:rsidR="0024416E" w:rsidRPr="00A459B8" w:rsidRDefault="0024416E" w:rsidP="0024416E">
      <w:pPr>
        <w:rPr>
          <w:rFonts w:eastAsia="Calibri"/>
          <w:sz w:val="24"/>
          <w:szCs w:val="24"/>
          <w:lang w:eastAsia="en-US"/>
        </w:rPr>
      </w:pPr>
    </w:p>
    <w:p w14:paraId="46317A12" w14:textId="77777777" w:rsidR="0024416E" w:rsidRPr="00A459B8" w:rsidRDefault="0024416E" w:rsidP="0024416E">
      <w:pPr>
        <w:keepNext/>
        <w:rPr>
          <w:rFonts w:eastAsia="Calibri"/>
          <w:sz w:val="24"/>
          <w:szCs w:val="24"/>
          <w:lang w:eastAsia="en-US"/>
        </w:rPr>
      </w:pPr>
    </w:p>
    <w:p w14:paraId="7324D8AE" w14:textId="77777777" w:rsidR="0024416E" w:rsidRPr="00A459B8" w:rsidRDefault="0024416E" w:rsidP="0024416E">
      <w:pPr>
        <w:keepNext/>
        <w:rPr>
          <w:rFonts w:eastAsia="Calibri"/>
          <w:sz w:val="24"/>
          <w:szCs w:val="24"/>
          <w:lang w:eastAsia="en-US"/>
        </w:rPr>
      </w:pPr>
      <w:r w:rsidRPr="00A459B8">
        <w:rPr>
          <w:rFonts w:eastAsia="Calibri"/>
          <w:sz w:val="24"/>
          <w:szCs w:val="24"/>
          <w:lang w:eastAsia="en-US"/>
        </w:rPr>
        <w:t>Obrázok č. 2: Konečná energetická spotreba v SR podľa sektorov</w:t>
      </w:r>
      <w:r>
        <w:rPr>
          <w:rFonts w:eastAsia="Calibri"/>
          <w:sz w:val="24"/>
          <w:szCs w:val="24"/>
          <w:lang w:eastAsia="en-US"/>
        </w:rPr>
        <w:t xml:space="preserve"> v rokoch</w:t>
      </w:r>
      <w:r w:rsidRPr="00A459B8">
        <w:rPr>
          <w:rFonts w:eastAsia="Calibri"/>
          <w:sz w:val="24"/>
          <w:szCs w:val="24"/>
          <w:lang w:eastAsia="en-US"/>
        </w:rPr>
        <w:t xml:space="preserve"> 2005 a 2015 (%)</w:t>
      </w:r>
    </w:p>
    <w:tbl>
      <w:tblPr>
        <w:tblW w:w="0" w:type="auto"/>
        <w:tblLook w:val="04A0" w:firstRow="1" w:lastRow="0" w:firstColumn="1" w:lastColumn="0" w:noHBand="0" w:noVBand="1"/>
      </w:tblPr>
      <w:tblGrid>
        <w:gridCol w:w="4530"/>
        <w:gridCol w:w="4542"/>
      </w:tblGrid>
      <w:tr w:rsidR="0024416E" w:rsidRPr="00F73205" w14:paraId="3EF24BD3" w14:textId="77777777" w:rsidTr="00A26D06">
        <w:tc>
          <w:tcPr>
            <w:tcW w:w="4530" w:type="dxa"/>
            <w:shd w:val="clear" w:color="auto" w:fill="auto"/>
          </w:tcPr>
          <w:p w14:paraId="67998ABD" w14:textId="77777777" w:rsidR="0024416E" w:rsidRPr="00A459B8" w:rsidRDefault="0024416E" w:rsidP="00A26D06">
            <w:pPr>
              <w:keepNext/>
              <w:widowControl w:val="0"/>
              <w:spacing w:line="360" w:lineRule="auto"/>
            </w:pPr>
            <w:r w:rsidRPr="000059AF">
              <w:rPr>
                <w:noProof/>
              </w:rPr>
              <w:drawing>
                <wp:inline distT="0" distB="0" distL="0" distR="0" wp14:anchorId="562E0EBD" wp14:editId="3FF856BB">
                  <wp:extent cx="2705100" cy="16287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1628775"/>
                          </a:xfrm>
                          <a:prstGeom prst="rect">
                            <a:avLst/>
                          </a:prstGeom>
                          <a:noFill/>
                          <a:ln>
                            <a:noFill/>
                          </a:ln>
                        </pic:spPr>
                      </pic:pic>
                    </a:graphicData>
                  </a:graphic>
                </wp:inline>
              </w:drawing>
            </w:r>
          </w:p>
        </w:tc>
        <w:tc>
          <w:tcPr>
            <w:tcW w:w="4542" w:type="dxa"/>
            <w:shd w:val="clear" w:color="auto" w:fill="auto"/>
          </w:tcPr>
          <w:p w14:paraId="086C547F" w14:textId="77777777" w:rsidR="0024416E" w:rsidRPr="00F73205" w:rsidRDefault="0024416E" w:rsidP="00A26D06">
            <w:pPr>
              <w:widowControl w:val="0"/>
              <w:spacing w:before="20" w:after="20" w:line="360" w:lineRule="auto"/>
              <w:contextualSpacing/>
              <w:rPr>
                <w:rFonts w:ascii="Calibri" w:hAnsi="Calibri"/>
              </w:rPr>
            </w:pPr>
            <w:r w:rsidRPr="00F73205">
              <w:rPr>
                <w:rFonts w:ascii="Calibri" w:hAnsi="Calibri"/>
                <w:noProof/>
              </w:rPr>
              <w:drawing>
                <wp:inline distT="0" distB="0" distL="0" distR="0" wp14:anchorId="35241741" wp14:editId="449CF1DA">
                  <wp:extent cx="2695575" cy="161925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575" cy="1619250"/>
                          </a:xfrm>
                          <a:prstGeom prst="rect">
                            <a:avLst/>
                          </a:prstGeom>
                          <a:noFill/>
                          <a:ln>
                            <a:noFill/>
                          </a:ln>
                        </pic:spPr>
                      </pic:pic>
                    </a:graphicData>
                  </a:graphic>
                </wp:inline>
              </w:drawing>
            </w:r>
          </w:p>
        </w:tc>
      </w:tr>
    </w:tbl>
    <w:p w14:paraId="7053C6A0" w14:textId="77777777" w:rsidR="0024416E" w:rsidRPr="00A459B8" w:rsidRDefault="0024416E" w:rsidP="0024416E">
      <w:pPr>
        <w:rPr>
          <w:rFonts w:eastAsia="Calibri"/>
          <w:sz w:val="24"/>
          <w:szCs w:val="24"/>
          <w:lang w:eastAsia="en-US"/>
        </w:rPr>
      </w:pPr>
      <w:r w:rsidRPr="00A459B8">
        <w:rPr>
          <w:rFonts w:eastAsia="Calibri"/>
          <w:sz w:val="24"/>
          <w:szCs w:val="24"/>
          <w:lang w:eastAsia="en-US"/>
        </w:rPr>
        <w:t xml:space="preserve">Zdroj: ŠÚSR (2017) </w:t>
      </w:r>
    </w:p>
    <w:p w14:paraId="58F7D452" w14:textId="77777777" w:rsidR="0024416E" w:rsidRPr="00A459B8" w:rsidRDefault="0024416E" w:rsidP="0024416E">
      <w:pPr>
        <w:spacing w:after="200"/>
        <w:jc w:val="both"/>
        <w:rPr>
          <w:rFonts w:ascii="Calibri" w:eastAsia="Calibri" w:hAnsi="Calibri"/>
          <w:b/>
          <w:sz w:val="22"/>
          <w:szCs w:val="22"/>
          <w:lang w:eastAsia="en-US"/>
        </w:rPr>
      </w:pPr>
    </w:p>
    <w:p w14:paraId="369932B8" w14:textId="77777777" w:rsidR="0024416E" w:rsidRPr="00075A67" w:rsidRDefault="0024416E" w:rsidP="00075A67">
      <w:pPr>
        <w:jc w:val="both"/>
        <w:rPr>
          <w:rFonts w:eastAsia="Calibri"/>
          <w:b/>
          <w:sz w:val="24"/>
          <w:szCs w:val="24"/>
          <w:lang w:eastAsia="en-US"/>
        </w:rPr>
      </w:pPr>
      <w:r w:rsidRPr="00075A67">
        <w:rPr>
          <w:rFonts w:eastAsia="Calibri"/>
          <w:b/>
          <w:sz w:val="24"/>
          <w:szCs w:val="24"/>
          <w:lang w:eastAsia="en-US"/>
        </w:rPr>
        <w:t xml:space="preserve">Priemysel: </w:t>
      </w:r>
    </w:p>
    <w:p w14:paraId="2E3B8A05" w14:textId="77777777" w:rsidR="0024416E" w:rsidRDefault="0024416E" w:rsidP="00075A67">
      <w:pPr>
        <w:jc w:val="both"/>
        <w:rPr>
          <w:rFonts w:eastAsia="Calibri"/>
          <w:sz w:val="24"/>
          <w:szCs w:val="24"/>
          <w:lang w:eastAsia="en-US"/>
        </w:rPr>
      </w:pPr>
      <w:r w:rsidRPr="00A459B8">
        <w:rPr>
          <w:rFonts w:eastAsia="Calibri"/>
          <w:sz w:val="24"/>
          <w:szCs w:val="24"/>
          <w:lang w:eastAsia="en-US"/>
        </w:rPr>
        <w:t xml:space="preserve">Sektor priemyslu je najväčším spotrebiteľom energie. Spotreba energie v priemysle sa postupne znižuje od roku 2004 až do roku 2007, kedy bol zaznamenaný mierny nárast spotreby. Po roku 2008 došlo k výraznému zníženiu spotreby energie, pričom odvtedy sa jej úroveň výrazne nezvýšila. Konečná energetická spotreba v priemysle bola v roku 2015 na úrovni 139 PJ, čo predstavuje 37 % celkovej konečnej energetickej spotreby SR. Medziročne vykázal sektor priemyslu v roku 2015 nárast spotreby energie o takmer 3,0 %. </w:t>
      </w:r>
    </w:p>
    <w:p w14:paraId="3D2ABF1A" w14:textId="77777777" w:rsidR="00075A67" w:rsidRPr="00A459B8" w:rsidRDefault="00075A67" w:rsidP="00075A67">
      <w:pPr>
        <w:jc w:val="both"/>
        <w:rPr>
          <w:rFonts w:eastAsia="Calibri"/>
          <w:sz w:val="24"/>
          <w:szCs w:val="24"/>
          <w:lang w:eastAsia="en-US"/>
        </w:rPr>
      </w:pPr>
    </w:p>
    <w:p w14:paraId="2BF227C1" w14:textId="77777777" w:rsidR="0024416E" w:rsidRPr="00075A67" w:rsidRDefault="0024416E" w:rsidP="00075A67">
      <w:pPr>
        <w:jc w:val="both"/>
        <w:rPr>
          <w:rFonts w:eastAsia="Calibri"/>
          <w:b/>
          <w:sz w:val="24"/>
          <w:szCs w:val="24"/>
          <w:lang w:eastAsia="en-US"/>
        </w:rPr>
      </w:pPr>
      <w:r w:rsidRPr="00075A67">
        <w:rPr>
          <w:rFonts w:eastAsia="Calibri"/>
          <w:b/>
          <w:sz w:val="24"/>
          <w:szCs w:val="24"/>
          <w:lang w:eastAsia="en-US"/>
        </w:rPr>
        <w:t xml:space="preserve">Domácnosti: </w:t>
      </w:r>
    </w:p>
    <w:p w14:paraId="03EBF2C1" w14:textId="77777777" w:rsidR="0024416E" w:rsidRDefault="0024416E" w:rsidP="00075A67">
      <w:pPr>
        <w:jc w:val="both"/>
        <w:rPr>
          <w:rFonts w:eastAsia="Calibri"/>
          <w:sz w:val="24"/>
          <w:szCs w:val="24"/>
          <w:lang w:eastAsia="en-US"/>
        </w:rPr>
      </w:pPr>
      <w:r w:rsidRPr="00A459B8">
        <w:rPr>
          <w:rFonts w:eastAsia="Calibri"/>
          <w:sz w:val="24"/>
          <w:szCs w:val="24"/>
          <w:lang w:eastAsia="en-US"/>
        </w:rPr>
        <w:t>Sektor domácností vykazuje najväčší pokles absolútnej hodnoty spotreby energie v porovnaní s ostatnými sektormi národného hospodárstva v období 2003 – 2007. Po tomto období výrazného poklesu spotreba energie znovu mierne rastie a v posledných rokoch spotreba zaznamenala malé výkyvy smerom nahor i nadol s mierne klesajúcim trendom. Spotreba energie v domácnostiach medziročne mierne vzrástla (o 1,8</w:t>
      </w:r>
      <w:r>
        <w:rPr>
          <w:rFonts w:eastAsia="Calibri"/>
          <w:sz w:val="24"/>
          <w:szCs w:val="24"/>
          <w:lang w:eastAsia="en-US"/>
        </w:rPr>
        <w:t xml:space="preserve"> </w:t>
      </w:r>
      <w:r w:rsidRPr="00A459B8">
        <w:rPr>
          <w:rFonts w:eastAsia="Calibri"/>
          <w:sz w:val="24"/>
          <w:szCs w:val="24"/>
          <w:lang w:eastAsia="en-US"/>
        </w:rPr>
        <w:t xml:space="preserve">%).  </w:t>
      </w:r>
    </w:p>
    <w:p w14:paraId="0DCC8F36" w14:textId="77777777" w:rsidR="00075A67" w:rsidRPr="00A459B8" w:rsidRDefault="00075A67" w:rsidP="00075A67">
      <w:pPr>
        <w:jc w:val="both"/>
        <w:rPr>
          <w:rFonts w:eastAsia="Calibri"/>
          <w:sz w:val="24"/>
          <w:szCs w:val="24"/>
          <w:lang w:eastAsia="en-US"/>
        </w:rPr>
      </w:pPr>
    </w:p>
    <w:p w14:paraId="7B9ECDD3" w14:textId="77777777" w:rsidR="0024416E" w:rsidRPr="00075A67" w:rsidRDefault="0024416E" w:rsidP="00075A67">
      <w:pPr>
        <w:jc w:val="both"/>
        <w:rPr>
          <w:rFonts w:eastAsia="Calibri"/>
          <w:b/>
          <w:sz w:val="24"/>
          <w:szCs w:val="24"/>
          <w:lang w:eastAsia="en-US"/>
        </w:rPr>
      </w:pPr>
      <w:r w:rsidRPr="00075A67">
        <w:rPr>
          <w:rFonts w:eastAsia="Calibri"/>
          <w:b/>
          <w:sz w:val="24"/>
          <w:szCs w:val="24"/>
          <w:lang w:eastAsia="en-US"/>
        </w:rPr>
        <w:t xml:space="preserve">Doprava: </w:t>
      </w:r>
    </w:p>
    <w:p w14:paraId="164B153C" w14:textId="77777777" w:rsidR="0024416E" w:rsidRPr="00A459B8" w:rsidRDefault="0024416E" w:rsidP="00075A67">
      <w:pPr>
        <w:jc w:val="both"/>
        <w:rPr>
          <w:rFonts w:eastAsia="Calibri"/>
          <w:sz w:val="24"/>
          <w:szCs w:val="24"/>
          <w:lang w:eastAsia="en-US"/>
        </w:rPr>
      </w:pPr>
      <w:r w:rsidRPr="00A459B8">
        <w:rPr>
          <w:rFonts w:eastAsia="Calibri"/>
          <w:sz w:val="24"/>
          <w:szCs w:val="24"/>
          <w:lang w:eastAsia="en-US"/>
        </w:rPr>
        <w:t>Sektor dopravy bol jediným sektorom národného hospodárstva, v ktorom spotreba energie v  období rokov 2005-2015 rástla, a to až o</w:t>
      </w:r>
      <w:r>
        <w:rPr>
          <w:rFonts w:eastAsia="Calibri"/>
          <w:sz w:val="24"/>
          <w:szCs w:val="24"/>
          <w:lang w:eastAsia="en-US"/>
        </w:rPr>
        <w:t> </w:t>
      </w:r>
      <w:r w:rsidRPr="00A459B8">
        <w:rPr>
          <w:rFonts w:eastAsia="Calibri"/>
          <w:sz w:val="24"/>
          <w:szCs w:val="24"/>
          <w:lang w:eastAsia="en-US"/>
        </w:rPr>
        <w:t>21</w:t>
      </w:r>
      <w:r>
        <w:rPr>
          <w:rFonts w:eastAsia="Calibri"/>
          <w:sz w:val="24"/>
          <w:szCs w:val="24"/>
          <w:lang w:eastAsia="en-US"/>
        </w:rPr>
        <w:t xml:space="preserve"> </w:t>
      </w:r>
      <w:r w:rsidRPr="00A459B8">
        <w:rPr>
          <w:rFonts w:eastAsia="Calibri"/>
          <w:sz w:val="24"/>
          <w:szCs w:val="24"/>
          <w:lang w:eastAsia="en-US"/>
        </w:rPr>
        <w:t xml:space="preserve">%. Spotreba energie najvýraznejšie rástla v rokoch 2005-2010, pričom následne úroveň spotreby energie kulminovala. V roku 2015 bola na úrovni zhruba 91 PJ, čo oproti roku 2014 znamená iba mierny nárast (0,1 %).  </w:t>
      </w:r>
    </w:p>
    <w:p w14:paraId="597A62C1" w14:textId="77777777" w:rsidR="00075A67" w:rsidRDefault="00075A67" w:rsidP="00075A67">
      <w:pPr>
        <w:jc w:val="both"/>
        <w:rPr>
          <w:rFonts w:eastAsia="Calibri"/>
          <w:sz w:val="24"/>
          <w:szCs w:val="24"/>
          <w:lang w:eastAsia="en-US"/>
        </w:rPr>
      </w:pPr>
    </w:p>
    <w:p w14:paraId="472B7CA6" w14:textId="77777777" w:rsidR="0024416E" w:rsidRDefault="0024416E" w:rsidP="00075A67">
      <w:pPr>
        <w:jc w:val="both"/>
        <w:rPr>
          <w:rFonts w:eastAsia="Calibri"/>
          <w:sz w:val="24"/>
          <w:szCs w:val="24"/>
          <w:lang w:eastAsia="en-US"/>
        </w:rPr>
      </w:pPr>
      <w:r w:rsidRPr="00A459B8">
        <w:rPr>
          <w:rFonts w:eastAsia="Calibri"/>
          <w:sz w:val="24"/>
          <w:szCs w:val="24"/>
          <w:lang w:eastAsia="en-US"/>
        </w:rPr>
        <w:t>Medzi hlavné faktory dlhodobého nárastu spotreby energie v doprave v sledovanom období patria: stále rastúci počet evidovaných motorových vozidiel, a s tým súvisiaci zvyšujúci sa počet prepravených osôb individuálnou automobilovou dopravou (rast prepravného výkonu IAD a pokles výkonov VOD), ako aj nárast výkonov cestnej nákladnej dopravy presunom prepravy tovarov z energetický menej náročných dopravných módov na cestnú dopravu. V posledných 5 rokoch sa však podarilo spotrebu energie v doprave stabilizovať.</w:t>
      </w:r>
    </w:p>
    <w:p w14:paraId="6A59D3C7" w14:textId="77777777" w:rsidR="00075A67" w:rsidRPr="00A459B8" w:rsidRDefault="00075A67" w:rsidP="00075A67">
      <w:pPr>
        <w:jc w:val="both"/>
        <w:rPr>
          <w:rFonts w:eastAsia="Calibri"/>
          <w:sz w:val="24"/>
          <w:szCs w:val="24"/>
          <w:lang w:eastAsia="en-US"/>
        </w:rPr>
      </w:pPr>
    </w:p>
    <w:p w14:paraId="131E7394" w14:textId="77777777" w:rsidR="0024416E" w:rsidRPr="00075A67" w:rsidRDefault="0024416E" w:rsidP="00075A67">
      <w:pPr>
        <w:jc w:val="both"/>
        <w:rPr>
          <w:rFonts w:eastAsia="Calibri"/>
          <w:b/>
          <w:sz w:val="24"/>
          <w:szCs w:val="24"/>
          <w:lang w:eastAsia="en-US"/>
        </w:rPr>
      </w:pPr>
      <w:r w:rsidRPr="00075A67">
        <w:rPr>
          <w:rFonts w:eastAsia="Calibri"/>
          <w:b/>
          <w:sz w:val="24"/>
          <w:szCs w:val="24"/>
          <w:lang w:eastAsia="en-US"/>
        </w:rPr>
        <w:t xml:space="preserve">Pôdohospodárstvo: </w:t>
      </w:r>
    </w:p>
    <w:p w14:paraId="1244B907" w14:textId="77777777" w:rsidR="0024416E" w:rsidRDefault="0024416E" w:rsidP="00075A67">
      <w:pPr>
        <w:jc w:val="both"/>
        <w:rPr>
          <w:rFonts w:eastAsia="Calibri"/>
          <w:sz w:val="24"/>
          <w:szCs w:val="24"/>
          <w:lang w:eastAsia="en-US"/>
        </w:rPr>
      </w:pPr>
      <w:r w:rsidRPr="00A459B8">
        <w:rPr>
          <w:rFonts w:eastAsia="Calibri"/>
          <w:sz w:val="24"/>
          <w:szCs w:val="24"/>
          <w:lang w:eastAsia="en-US"/>
        </w:rPr>
        <w:t>Spotreba energie v sektore Pôdohospodárstvo nevykazuje také výrazné výkyvy ako v iných sektoroch. Napriek tomu v strednodobom horizonte zaznamenal tento sektor zníženie spotreby energie o</w:t>
      </w:r>
      <w:r>
        <w:rPr>
          <w:rFonts w:eastAsia="Calibri"/>
          <w:sz w:val="24"/>
          <w:szCs w:val="24"/>
          <w:lang w:eastAsia="en-US"/>
        </w:rPr>
        <w:t> </w:t>
      </w:r>
      <w:r w:rsidRPr="00A459B8">
        <w:rPr>
          <w:rFonts w:eastAsia="Calibri"/>
          <w:sz w:val="24"/>
          <w:szCs w:val="24"/>
          <w:lang w:eastAsia="en-US"/>
        </w:rPr>
        <w:t>17</w:t>
      </w:r>
      <w:r>
        <w:rPr>
          <w:rFonts w:eastAsia="Calibri"/>
          <w:sz w:val="24"/>
          <w:szCs w:val="24"/>
          <w:lang w:eastAsia="en-US"/>
        </w:rPr>
        <w:t xml:space="preserve"> </w:t>
      </w:r>
      <w:r w:rsidRPr="00A459B8">
        <w:rPr>
          <w:rFonts w:eastAsia="Calibri"/>
          <w:sz w:val="24"/>
          <w:szCs w:val="24"/>
          <w:lang w:eastAsia="en-US"/>
        </w:rPr>
        <w:t xml:space="preserve">% (2004-2014). V roku 2014 však sektor zaznamenal medziročný nárast o 4,8 %. </w:t>
      </w:r>
    </w:p>
    <w:p w14:paraId="717B0739" w14:textId="77777777" w:rsidR="00075A67" w:rsidRPr="00A459B8" w:rsidRDefault="00075A67" w:rsidP="00075A67">
      <w:pPr>
        <w:jc w:val="both"/>
        <w:rPr>
          <w:rFonts w:eastAsia="Calibri"/>
          <w:sz w:val="24"/>
          <w:szCs w:val="24"/>
          <w:lang w:eastAsia="en-US"/>
        </w:rPr>
      </w:pPr>
    </w:p>
    <w:p w14:paraId="17D11311" w14:textId="77777777" w:rsidR="0024416E" w:rsidRPr="00075A67" w:rsidRDefault="0024416E" w:rsidP="00075A67">
      <w:pPr>
        <w:jc w:val="both"/>
        <w:rPr>
          <w:rFonts w:eastAsia="Calibri"/>
          <w:b/>
          <w:sz w:val="24"/>
          <w:szCs w:val="24"/>
          <w:lang w:eastAsia="en-US"/>
        </w:rPr>
      </w:pPr>
      <w:r w:rsidRPr="00075A67">
        <w:rPr>
          <w:rFonts w:eastAsia="Calibri"/>
          <w:b/>
          <w:sz w:val="24"/>
          <w:szCs w:val="24"/>
          <w:lang w:eastAsia="en-US"/>
        </w:rPr>
        <w:t xml:space="preserve">Obchod a služby: </w:t>
      </w:r>
    </w:p>
    <w:p w14:paraId="4AD5224E" w14:textId="77777777" w:rsidR="0024416E" w:rsidRPr="00A459B8" w:rsidRDefault="0024416E" w:rsidP="00075A67">
      <w:pPr>
        <w:jc w:val="both"/>
        <w:rPr>
          <w:rFonts w:eastAsia="Calibri"/>
          <w:sz w:val="24"/>
          <w:szCs w:val="24"/>
          <w:lang w:eastAsia="en-US"/>
        </w:rPr>
      </w:pPr>
      <w:r w:rsidRPr="00A459B8">
        <w:rPr>
          <w:rFonts w:eastAsia="Calibri"/>
          <w:sz w:val="24"/>
          <w:szCs w:val="24"/>
          <w:lang w:eastAsia="en-US"/>
        </w:rPr>
        <w:t>Celková spotreba energie v sektore Obchod a služby v období 2005-2015 kolíše, pričom priemerná ročná spotreba energie v danom období je 71 PJ. V roku 2015 spotreba energie zaznamenala výrazný pokles vo výške zhruba 23,5</w:t>
      </w:r>
      <w:r>
        <w:rPr>
          <w:rFonts w:eastAsia="Calibri"/>
          <w:sz w:val="24"/>
          <w:szCs w:val="24"/>
          <w:lang w:eastAsia="en-US"/>
        </w:rPr>
        <w:t xml:space="preserve"> </w:t>
      </w:r>
      <w:r w:rsidRPr="00A459B8">
        <w:rPr>
          <w:rFonts w:eastAsia="Calibri"/>
          <w:sz w:val="24"/>
          <w:szCs w:val="24"/>
          <w:lang w:eastAsia="en-US"/>
        </w:rPr>
        <w:t xml:space="preserve">% oproti predchádzajúcemu roku. Túto odchýlku možno vysvetliť </w:t>
      </w:r>
      <w:r w:rsidRPr="00A459B8">
        <w:rPr>
          <w:rFonts w:eastAsia="Calibri"/>
          <w:sz w:val="24"/>
          <w:szCs w:val="24"/>
          <w:lang w:eastAsia="en-US"/>
        </w:rPr>
        <w:lastRenderedPageBreak/>
        <w:t>rozdeľovaním a spájaním podnikov, zmenou ich zaradenia do odvetví a z toho vyplývajúcimi zmenami v tom, kde je v bilancii zaradená ich spotreba, ako aj spôsobom výpočtu, ktorý ŠÚSR používa pre túto položku.</w:t>
      </w:r>
      <w:r w:rsidRPr="00075A67">
        <w:rPr>
          <w:rFonts w:eastAsia="Calibri"/>
          <w:sz w:val="24"/>
          <w:szCs w:val="24"/>
          <w:lang w:eastAsia="en-US"/>
        </w:rPr>
        <w:footnoteReference w:id="1"/>
      </w:r>
      <w:r w:rsidRPr="00A459B8">
        <w:rPr>
          <w:rFonts w:eastAsia="Calibri"/>
          <w:sz w:val="24"/>
          <w:szCs w:val="24"/>
          <w:lang w:eastAsia="en-US"/>
        </w:rPr>
        <w:t xml:space="preserve"> </w:t>
      </w:r>
    </w:p>
    <w:p w14:paraId="6D91EDD7" w14:textId="77777777" w:rsidR="0024416E" w:rsidRPr="00A26D06" w:rsidRDefault="0024416E" w:rsidP="0024416E">
      <w:pPr>
        <w:keepNext/>
        <w:keepLines/>
        <w:spacing w:before="480" w:line="276" w:lineRule="auto"/>
        <w:outlineLvl w:val="0"/>
        <w:rPr>
          <w:rFonts w:ascii="Cambria" w:hAnsi="Cambria"/>
          <w:b/>
          <w:bCs/>
          <w:sz w:val="28"/>
          <w:szCs w:val="28"/>
          <w:lang w:eastAsia="en-US"/>
        </w:rPr>
      </w:pPr>
      <w:bookmarkStart w:id="4" w:name="_Toc475385084"/>
      <w:r w:rsidRPr="00A26D06">
        <w:rPr>
          <w:rFonts w:ascii="Cambria" w:hAnsi="Cambria"/>
          <w:b/>
          <w:bCs/>
          <w:sz w:val="28"/>
          <w:szCs w:val="28"/>
          <w:lang w:eastAsia="en-US"/>
        </w:rPr>
        <w:t>3. Aktualizované informácie o najdôležitejších legislatívnych a nelegislatívnych opatreniach v roku 2016</w:t>
      </w:r>
      <w:bookmarkEnd w:id="4"/>
    </w:p>
    <w:p w14:paraId="125E3357" w14:textId="77777777" w:rsidR="00075A67" w:rsidRDefault="00075A67" w:rsidP="00075A67">
      <w:pPr>
        <w:jc w:val="both"/>
        <w:rPr>
          <w:rFonts w:eastAsia="Calibri"/>
          <w:sz w:val="24"/>
          <w:szCs w:val="24"/>
          <w:lang w:eastAsia="en-US"/>
        </w:rPr>
      </w:pPr>
    </w:p>
    <w:p w14:paraId="42E4492D" w14:textId="77777777" w:rsidR="0024416E" w:rsidRDefault="0024416E" w:rsidP="00075A67">
      <w:pPr>
        <w:jc w:val="both"/>
        <w:rPr>
          <w:rFonts w:eastAsia="Calibri"/>
          <w:sz w:val="24"/>
          <w:szCs w:val="24"/>
          <w:lang w:eastAsia="en-US"/>
        </w:rPr>
      </w:pPr>
      <w:r w:rsidRPr="00A459B8">
        <w:rPr>
          <w:rFonts w:eastAsia="Calibri"/>
          <w:sz w:val="24"/>
          <w:szCs w:val="24"/>
          <w:lang w:eastAsia="en-US"/>
        </w:rPr>
        <w:t>Kapitola sa venuje legislatívnym a nelegislatívnym opatreniam realizovaným v r</w:t>
      </w:r>
      <w:r>
        <w:rPr>
          <w:rFonts w:eastAsia="Calibri"/>
          <w:sz w:val="24"/>
          <w:szCs w:val="24"/>
          <w:lang w:eastAsia="en-US"/>
        </w:rPr>
        <w:t>oku</w:t>
      </w:r>
      <w:r w:rsidRPr="00A459B8">
        <w:rPr>
          <w:rFonts w:eastAsia="Calibri"/>
          <w:sz w:val="24"/>
          <w:szCs w:val="24"/>
          <w:lang w:eastAsia="en-US"/>
        </w:rPr>
        <w:t xml:space="preserve"> 2016, ktoré prispievajú k plneniu národných cieľov energetickej efektívnosti do roku 2020. </w:t>
      </w:r>
    </w:p>
    <w:p w14:paraId="4AD82282" w14:textId="77777777" w:rsidR="00075A67" w:rsidRPr="00A459B8" w:rsidRDefault="00075A67" w:rsidP="00075A67">
      <w:pPr>
        <w:jc w:val="both"/>
        <w:rPr>
          <w:rFonts w:eastAsia="Calibri"/>
          <w:sz w:val="24"/>
          <w:szCs w:val="24"/>
          <w:lang w:eastAsia="en-US"/>
        </w:rPr>
      </w:pPr>
    </w:p>
    <w:p w14:paraId="60B0A2ED" w14:textId="77777777" w:rsidR="0024416E" w:rsidRPr="00A26D06" w:rsidRDefault="0024416E" w:rsidP="0024416E">
      <w:pPr>
        <w:keepNext/>
        <w:keepLines/>
        <w:spacing w:before="200" w:line="276" w:lineRule="auto"/>
        <w:outlineLvl w:val="1"/>
        <w:rPr>
          <w:rFonts w:ascii="Cambria" w:hAnsi="Cambria"/>
          <w:b/>
          <w:bCs/>
          <w:sz w:val="26"/>
          <w:szCs w:val="26"/>
          <w:lang w:eastAsia="en-US"/>
        </w:rPr>
      </w:pPr>
      <w:bookmarkStart w:id="5" w:name="_Toc475385085"/>
      <w:r w:rsidRPr="00A26D06">
        <w:rPr>
          <w:rFonts w:ascii="Cambria" w:hAnsi="Cambria"/>
          <w:b/>
          <w:bCs/>
          <w:sz w:val="26"/>
          <w:szCs w:val="26"/>
          <w:lang w:eastAsia="en-US"/>
        </w:rPr>
        <w:t>3.1 Legislatívne opatrenia</w:t>
      </w:r>
      <w:bookmarkEnd w:id="5"/>
      <w:r w:rsidRPr="00A26D06">
        <w:rPr>
          <w:rFonts w:ascii="Cambria" w:hAnsi="Cambria"/>
          <w:b/>
          <w:bCs/>
          <w:sz w:val="26"/>
          <w:szCs w:val="26"/>
          <w:lang w:eastAsia="en-US"/>
        </w:rPr>
        <w:t xml:space="preserve"> </w:t>
      </w:r>
    </w:p>
    <w:p w14:paraId="736745CC" w14:textId="77777777" w:rsidR="00075A67" w:rsidRDefault="00075A67" w:rsidP="00075A67">
      <w:pPr>
        <w:jc w:val="both"/>
        <w:rPr>
          <w:rFonts w:eastAsia="Calibri"/>
          <w:sz w:val="24"/>
          <w:szCs w:val="24"/>
          <w:lang w:eastAsia="en-US"/>
        </w:rPr>
      </w:pPr>
    </w:p>
    <w:p w14:paraId="5BED8BEF" w14:textId="77777777" w:rsidR="0024416E" w:rsidRPr="00075A67" w:rsidRDefault="0024416E" w:rsidP="00075A67">
      <w:pPr>
        <w:jc w:val="both"/>
        <w:rPr>
          <w:rFonts w:eastAsia="Calibri"/>
          <w:sz w:val="24"/>
          <w:szCs w:val="24"/>
          <w:lang w:eastAsia="en-US"/>
        </w:rPr>
      </w:pPr>
      <w:r w:rsidRPr="00075A67">
        <w:rPr>
          <w:rFonts w:eastAsia="Calibri"/>
          <w:sz w:val="24"/>
          <w:szCs w:val="24"/>
          <w:lang w:eastAsia="en-US"/>
        </w:rPr>
        <w:t xml:space="preserve">V roku 2016 boli prijaté viaceré všeobecne platné právne predpisy k rámcovému zákonu č. 321/2014 Z. z. o energetickej efektívnosti a o zmene a doplnení niektorých zákonov, ako aj iné všeobecne platné právne predpisy, a to hlavne:  </w:t>
      </w:r>
    </w:p>
    <w:p w14:paraId="431E2E29" w14:textId="77777777" w:rsidR="0024416E" w:rsidRPr="00075A67" w:rsidRDefault="0024416E" w:rsidP="00075A67">
      <w:pPr>
        <w:pStyle w:val="Odsekzoznamu"/>
        <w:numPr>
          <w:ilvl w:val="0"/>
          <w:numId w:val="12"/>
        </w:numPr>
        <w:spacing w:after="0" w:line="240" w:lineRule="auto"/>
        <w:ind w:left="714" w:hanging="357"/>
        <w:jc w:val="both"/>
        <w:rPr>
          <w:rFonts w:ascii="Times New Roman" w:hAnsi="Times New Roman"/>
          <w:sz w:val="24"/>
          <w:szCs w:val="24"/>
        </w:rPr>
      </w:pPr>
      <w:r w:rsidRPr="00075A67">
        <w:rPr>
          <w:rFonts w:ascii="Times New Roman" w:hAnsi="Times New Roman"/>
          <w:sz w:val="24"/>
          <w:szCs w:val="24"/>
        </w:rPr>
        <w:t>vyhláška MH SR č. 192/2016 Z. z. o monitorovaní energetickej náročnosti verejných budov</w:t>
      </w:r>
    </w:p>
    <w:p w14:paraId="77DDA8AB" w14:textId="77777777" w:rsidR="0024416E" w:rsidRPr="00075A67" w:rsidRDefault="0024416E" w:rsidP="00075A67">
      <w:pPr>
        <w:pStyle w:val="Odsekzoznamu"/>
        <w:numPr>
          <w:ilvl w:val="0"/>
          <w:numId w:val="12"/>
        </w:numPr>
        <w:spacing w:after="0" w:line="240" w:lineRule="auto"/>
        <w:ind w:left="714" w:hanging="357"/>
        <w:jc w:val="both"/>
        <w:rPr>
          <w:rFonts w:ascii="Times New Roman" w:hAnsi="Times New Roman"/>
          <w:sz w:val="24"/>
          <w:szCs w:val="24"/>
        </w:rPr>
      </w:pPr>
      <w:r w:rsidRPr="00075A67">
        <w:rPr>
          <w:rFonts w:ascii="Times New Roman" w:hAnsi="Times New Roman"/>
          <w:sz w:val="24"/>
          <w:szCs w:val="24"/>
        </w:rPr>
        <w:t xml:space="preserve">vyhláška MH SR č. 13/2016 Z. z., ktorou sa ustanovujú podrobnosti o súbore údajov poskytovaných do monitorovacieho systému energetickej efektívnosti, o zásadách  a pravidlách monitorovacieho systému, o spôsobe monitorovania údajov a spracovaní informácií. </w:t>
      </w:r>
    </w:p>
    <w:p w14:paraId="0D9C96CB" w14:textId="77777777" w:rsidR="0024416E" w:rsidRDefault="0024416E" w:rsidP="0024416E">
      <w:pPr>
        <w:spacing w:after="200" w:line="276" w:lineRule="auto"/>
        <w:contextualSpacing/>
        <w:jc w:val="both"/>
        <w:rPr>
          <w:rFonts w:eastAsia="Calibri"/>
          <w:sz w:val="24"/>
          <w:szCs w:val="24"/>
          <w:lang w:eastAsia="en-US"/>
        </w:rPr>
      </w:pPr>
    </w:p>
    <w:p w14:paraId="4B51A829" w14:textId="77777777" w:rsidR="0024416E" w:rsidRPr="0034117B" w:rsidRDefault="0024416E" w:rsidP="00075A67">
      <w:pPr>
        <w:jc w:val="both"/>
        <w:rPr>
          <w:rFonts w:eastAsia="Calibri"/>
          <w:sz w:val="24"/>
          <w:szCs w:val="24"/>
          <w:lang w:eastAsia="en-US"/>
        </w:rPr>
      </w:pPr>
      <w:r w:rsidRPr="0034117B">
        <w:rPr>
          <w:rFonts w:eastAsia="Calibri"/>
          <w:sz w:val="24"/>
          <w:szCs w:val="24"/>
          <w:lang w:eastAsia="en-US"/>
        </w:rPr>
        <w:t xml:space="preserve">V priebehu roka 2016 boli na úrovni EÚ prijaté nasledujúce sekundárne legislatívne predpisy v oblasti ekodizajnu a energetického štítkovania: </w:t>
      </w:r>
    </w:p>
    <w:p w14:paraId="16AD1280" w14:textId="77777777" w:rsidR="0024416E" w:rsidRPr="00075A67" w:rsidRDefault="0024416E" w:rsidP="00075A67">
      <w:pPr>
        <w:pStyle w:val="Odsekzoznamu"/>
        <w:numPr>
          <w:ilvl w:val="0"/>
          <w:numId w:val="12"/>
        </w:numPr>
        <w:spacing w:after="0" w:line="240" w:lineRule="auto"/>
        <w:ind w:left="714" w:hanging="357"/>
        <w:jc w:val="both"/>
        <w:rPr>
          <w:rFonts w:ascii="Times New Roman" w:hAnsi="Times New Roman"/>
          <w:sz w:val="24"/>
          <w:szCs w:val="24"/>
        </w:rPr>
      </w:pPr>
      <w:r w:rsidRPr="00075A67">
        <w:rPr>
          <w:rFonts w:ascii="Times New Roman" w:hAnsi="Times New Roman"/>
          <w:sz w:val="24"/>
          <w:szCs w:val="24"/>
        </w:rPr>
        <w:t>Nariadenie Komisie (EÚ) 2016/2282 z 30. novembra 2016, ktorým sa menia nariadenia (ES) č. 1275/2008, (ES) č. 107/2009, (ES) č. 278/2009, (ES) č. 640/2009, (ES) č. 641/2009, (ES) č. 642/2009, (ES) č. 643/2009, (EÚ) č. 1015/2010, (EÚ) č. 1016/2010, (EÚ) č. 327/2011, (EÚ) č. 206/2012, (EÚ) č. 547/2012, (EÚ) č. 932/2012, (EÚ) č. 617/2013, (EÚ) č. 666/2013, (EÚ) č. 813/2013, (EÚ) č. 814/2013, (EÚ) č. 66/2014, (EÚ) č. 548/2014, (EÚ) č. 1253/2014, (EÚ) 2015/1095, (EÚ) 2015/1185, (EÚ) 2015/1188, (EÚ) 2015/1189 a (EÚ) 2016/2281 so zreteľom na používanie tolerancií pri overovacích postupoch (ekodizajn),</w:t>
      </w:r>
    </w:p>
    <w:p w14:paraId="08AB77AB" w14:textId="77777777" w:rsidR="0024416E" w:rsidRPr="00075A67" w:rsidRDefault="0024416E" w:rsidP="00075A67">
      <w:pPr>
        <w:pStyle w:val="Odsekzoznamu"/>
        <w:numPr>
          <w:ilvl w:val="0"/>
          <w:numId w:val="12"/>
        </w:numPr>
        <w:spacing w:after="0" w:line="240" w:lineRule="auto"/>
        <w:ind w:left="714" w:hanging="357"/>
        <w:jc w:val="both"/>
        <w:rPr>
          <w:rFonts w:ascii="Times New Roman" w:hAnsi="Times New Roman"/>
          <w:sz w:val="24"/>
          <w:szCs w:val="24"/>
        </w:rPr>
      </w:pPr>
      <w:r w:rsidRPr="00075A67">
        <w:rPr>
          <w:rFonts w:ascii="Times New Roman" w:hAnsi="Times New Roman"/>
          <w:sz w:val="24"/>
          <w:szCs w:val="24"/>
        </w:rPr>
        <w:t>Nariadenie Komisie (EÚ) 2016/2281 z 30. novembra 2016, ktorým sa vykonáva smernica Európskeho parlamentu a Rady 2009/125/ES o vytvorení rámca na stanovenie požiadaviek na ekodizajn energeticky významných výrobkov, pokiaľ ide o požiadavky na ekodizajn výrobkov na ohrievanie vzduchu, chladiacich výrobkov, vysokoteplotných priemyselných chladičov a ventilátorových konvektorov,</w:t>
      </w:r>
    </w:p>
    <w:p w14:paraId="351A9351" w14:textId="77777777" w:rsidR="00075A67" w:rsidRPr="00075A67" w:rsidRDefault="0024416E" w:rsidP="00075A67">
      <w:pPr>
        <w:pStyle w:val="Odsekzoznamu"/>
        <w:numPr>
          <w:ilvl w:val="0"/>
          <w:numId w:val="12"/>
        </w:numPr>
        <w:spacing w:after="0" w:line="240" w:lineRule="auto"/>
        <w:ind w:left="714" w:hanging="357"/>
        <w:jc w:val="both"/>
        <w:rPr>
          <w:rFonts w:ascii="Times New Roman" w:hAnsi="Times New Roman"/>
          <w:sz w:val="24"/>
          <w:szCs w:val="24"/>
        </w:rPr>
      </w:pPr>
      <w:r w:rsidRPr="00075A67">
        <w:rPr>
          <w:rFonts w:ascii="Times New Roman" w:hAnsi="Times New Roman"/>
          <w:sz w:val="24"/>
          <w:szCs w:val="24"/>
        </w:rPr>
        <w:t>Delegované nariadenie Komisie (EÚ) 2017/254 z 30. novembra 2016, ktorým sa menia delegované nariadenia (EÚ) č. 1059/2010, (EÚ) č. 1060/2010, (EÚ) č. 1061/2010, (EÚ) č. 1062/2010, (EÚ) č. 626/2011, (EÚ) č. 392/2012, (EÚ) č. 874/2012, (EÚ) č. 665/2013, (EÚ) č. 811/2013, (EÚ) č. 812/2013, (EÚ) č. 65/2014, (EÚ) č. 1254/2014, (EÚ) 2015/1094, (EÚ) 2015/1186 a (EÚ) 2015/1187, pokiaľ ide o používanie tolerancií pri postupoch overovania (štítkovanie).</w:t>
      </w:r>
    </w:p>
    <w:p w14:paraId="57926D1B" w14:textId="77777777" w:rsidR="0024416E" w:rsidRPr="00A26D06" w:rsidRDefault="0024416E" w:rsidP="0024416E">
      <w:pPr>
        <w:keepNext/>
        <w:keepLines/>
        <w:spacing w:before="200" w:line="276" w:lineRule="auto"/>
        <w:outlineLvl w:val="1"/>
        <w:rPr>
          <w:rFonts w:ascii="Cambria" w:hAnsi="Cambria"/>
          <w:b/>
          <w:bCs/>
          <w:sz w:val="26"/>
          <w:szCs w:val="26"/>
          <w:lang w:eastAsia="en-US"/>
        </w:rPr>
      </w:pPr>
      <w:bookmarkStart w:id="6" w:name="_Toc475385086"/>
      <w:r w:rsidRPr="00A26D06">
        <w:rPr>
          <w:rFonts w:ascii="Cambria" w:hAnsi="Cambria"/>
          <w:b/>
          <w:bCs/>
          <w:sz w:val="26"/>
          <w:szCs w:val="26"/>
          <w:lang w:eastAsia="en-US"/>
        </w:rPr>
        <w:t>3.2 Nelegislatívne opatrenia</w:t>
      </w:r>
      <w:bookmarkEnd w:id="6"/>
      <w:r w:rsidRPr="00A26D06">
        <w:rPr>
          <w:rFonts w:ascii="Cambria" w:hAnsi="Cambria"/>
          <w:b/>
          <w:bCs/>
          <w:sz w:val="26"/>
          <w:szCs w:val="26"/>
          <w:lang w:eastAsia="en-US"/>
        </w:rPr>
        <w:t xml:space="preserve"> </w:t>
      </w:r>
    </w:p>
    <w:p w14:paraId="2770871E" w14:textId="77777777" w:rsidR="0024416E" w:rsidRPr="00A459B8" w:rsidRDefault="0024416E" w:rsidP="00075A67">
      <w:pPr>
        <w:jc w:val="both"/>
        <w:rPr>
          <w:rFonts w:eastAsia="Calibri"/>
          <w:sz w:val="24"/>
          <w:szCs w:val="24"/>
          <w:lang w:eastAsia="en-US"/>
        </w:rPr>
      </w:pPr>
      <w:r w:rsidRPr="00A459B8">
        <w:rPr>
          <w:rFonts w:eastAsia="Calibri"/>
          <w:sz w:val="24"/>
          <w:szCs w:val="24"/>
          <w:lang w:eastAsia="en-US"/>
        </w:rPr>
        <w:t xml:space="preserve">V roku 2016 boli realizované projekty zamerané na energetickú efektívnosť najmä v rámci nasledujúcich opatrení: </w:t>
      </w:r>
    </w:p>
    <w:p w14:paraId="22FC495D" w14:textId="77777777" w:rsidR="0024416E" w:rsidRPr="00A459B8" w:rsidRDefault="0024416E" w:rsidP="00075A67">
      <w:pPr>
        <w:numPr>
          <w:ilvl w:val="0"/>
          <w:numId w:val="3"/>
        </w:numPr>
        <w:contextualSpacing/>
        <w:jc w:val="both"/>
        <w:rPr>
          <w:rFonts w:eastAsia="Calibri"/>
          <w:sz w:val="24"/>
          <w:szCs w:val="24"/>
          <w:lang w:eastAsia="en-US"/>
        </w:rPr>
      </w:pPr>
      <w:r w:rsidRPr="00A459B8">
        <w:rPr>
          <w:rFonts w:eastAsia="Calibri"/>
          <w:sz w:val="24"/>
          <w:szCs w:val="24"/>
          <w:lang w:eastAsia="en-US"/>
        </w:rPr>
        <w:lastRenderedPageBreak/>
        <w:t>ŠFRB - Zatepľovanie bytovej budovy – zamerané na zlepšovanie tepelno-technických vlastností bytových budov,</w:t>
      </w:r>
    </w:p>
    <w:p w14:paraId="439748DB" w14:textId="77777777" w:rsidR="0024416E" w:rsidRPr="00A459B8" w:rsidRDefault="0024416E" w:rsidP="00075A67">
      <w:pPr>
        <w:numPr>
          <w:ilvl w:val="0"/>
          <w:numId w:val="3"/>
        </w:numPr>
        <w:contextualSpacing/>
        <w:jc w:val="both"/>
        <w:rPr>
          <w:rFonts w:eastAsia="Calibri"/>
          <w:sz w:val="24"/>
          <w:szCs w:val="24"/>
          <w:lang w:eastAsia="en-US"/>
        </w:rPr>
      </w:pPr>
      <w:r w:rsidRPr="00A459B8">
        <w:rPr>
          <w:rFonts w:eastAsia="Calibri"/>
          <w:sz w:val="24"/>
          <w:szCs w:val="24"/>
          <w:lang w:eastAsia="en-US"/>
        </w:rPr>
        <w:t>Zatepľovanie rodinných budov,</w:t>
      </w:r>
    </w:p>
    <w:p w14:paraId="1DD2CBC2" w14:textId="77777777" w:rsidR="0024416E" w:rsidRPr="00A459B8" w:rsidRDefault="0024416E" w:rsidP="00075A67">
      <w:pPr>
        <w:numPr>
          <w:ilvl w:val="0"/>
          <w:numId w:val="3"/>
        </w:numPr>
        <w:contextualSpacing/>
        <w:jc w:val="both"/>
        <w:rPr>
          <w:rFonts w:eastAsia="Calibri"/>
          <w:sz w:val="24"/>
          <w:szCs w:val="24"/>
          <w:lang w:eastAsia="en-US"/>
        </w:rPr>
      </w:pPr>
      <w:r w:rsidRPr="00A459B8">
        <w:rPr>
          <w:rFonts w:eastAsia="Calibri"/>
          <w:sz w:val="24"/>
          <w:szCs w:val="24"/>
          <w:lang w:eastAsia="en-US"/>
        </w:rPr>
        <w:t>Zelený program Slovseff III.</w:t>
      </w:r>
      <w:r w:rsidRPr="00A459B8">
        <w:rPr>
          <w:rFonts w:eastAsia="Calibri"/>
          <w:sz w:val="24"/>
          <w:szCs w:val="24"/>
          <w:lang w:eastAsia="en-US"/>
        </w:rPr>
        <w:tab/>
        <w:t>- zameraný na zlepšovanie energetickej efektívnosti v priemysle a zlepšovanie tepelno-technických vlastností bytových domov,</w:t>
      </w:r>
    </w:p>
    <w:p w14:paraId="3ADF8EEB" w14:textId="77777777" w:rsidR="0024416E" w:rsidRDefault="0024416E" w:rsidP="00075A67">
      <w:pPr>
        <w:numPr>
          <w:ilvl w:val="0"/>
          <w:numId w:val="3"/>
        </w:numPr>
        <w:contextualSpacing/>
        <w:jc w:val="both"/>
        <w:rPr>
          <w:rFonts w:eastAsia="Calibri"/>
          <w:sz w:val="24"/>
          <w:szCs w:val="24"/>
          <w:lang w:eastAsia="en-US"/>
        </w:rPr>
      </w:pPr>
      <w:r w:rsidRPr="00A459B8">
        <w:rPr>
          <w:rFonts w:eastAsia="Calibri"/>
          <w:sz w:val="24"/>
          <w:szCs w:val="24"/>
          <w:lang w:eastAsia="en-US"/>
        </w:rPr>
        <w:t>Environmentálny fond  - Činnosť L1 - zameraný na zlepšovanie tepelno-technických vlastností verejných budov.</w:t>
      </w:r>
    </w:p>
    <w:p w14:paraId="2D7AA51D" w14:textId="77777777" w:rsidR="00075A67" w:rsidRPr="00A459B8" w:rsidRDefault="00075A67" w:rsidP="00075A67">
      <w:pPr>
        <w:ind w:left="360"/>
        <w:contextualSpacing/>
        <w:jc w:val="both"/>
        <w:rPr>
          <w:rFonts w:eastAsia="Calibri"/>
          <w:sz w:val="24"/>
          <w:szCs w:val="24"/>
          <w:lang w:eastAsia="en-US"/>
        </w:rPr>
      </w:pPr>
    </w:p>
    <w:p w14:paraId="551D17E9" w14:textId="77777777" w:rsidR="0024416E" w:rsidRDefault="0024416E" w:rsidP="00075A67">
      <w:pPr>
        <w:jc w:val="both"/>
        <w:rPr>
          <w:rFonts w:eastAsia="Calibri"/>
          <w:sz w:val="24"/>
          <w:szCs w:val="24"/>
          <w:lang w:eastAsia="en-US"/>
        </w:rPr>
      </w:pPr>
      <w:r w:rsidRPr="00A459B8">
        <w:rPr>
          <w:rFonts w:eastAsia="Calibri"/>
          <w:sz w:val="24"/>
          <w:szCs w:val="24"/>
          <w:lang w:eastAsia="en-US"/>
        </w:rPr>
        <w:t>V roku 2016 sa ukončila výzva v rámci Špecifický cieľ 4.3.1. Zníženie spotreby energie pri prevádzke verejných budov a pripravovala sa ďalšia výzva. Výzvu pripravuje SIEA, ktorá je sprostredkovateľský orgán pre Operačný program Kvalita životného prostredia (OP KŽP), ktorý riadi MŽP SR. Vyhlásenie výzvy je plánované na 1. kvartál 2017, pričom predpokladaná výška vyčlenených finančných prostriedkov zo zdrojov Európskej únie je 120 mil. E</w:t>
      </w:r>
      <w:r>
        <w:rPr>
          <w:rFonts w:eastAsia="Calibri"/>
          <w:sz w:val="24"/>
          <w:szCs w:val="24"/>
          <w:lang w:eastAsia="en-US"/>
        </w:rPr>
        <w:t>ur</w:t>
      </w:r>
      <w:r w:rsidRPr="00A459B8">
        <w:rPr>
          <w:rFonts w:eastAsia="Calibri"/>
          <w:sz w:val="24"/>
          <w:szCs w:val="24"/>
          <w:lang w:eastAsia="en-US"/>
        </w:rPr>
        <w:t>.</w:t>
      </w:r>
    </w:p>
    <w:p w14:paraId="582B1F55" w14:textId="77777777" w:rsidR="00075A67" w:rsidRPr="00A459B8" w:rsidRDefault="00075A67" w:rsidP="00075A67">
      <w:pPr>
        <w:jc w:val="both"/>
        <w:rPr>
          <w:rFonts w:eastAsia="Calibri"/>
          <w:sz w:val="24"/>
          <w:szCs w:val="24"/>
          <w:lang w:eastAsia="en-US"/>
        </w:rPr>
      </w:pPr>
    </w:p>
    <w:p w14:paraId="095DE9FB" w14:textId="77777777" w:rsidR="0024416E" w:rsidRPr="00A459B8" w:rsidRDefault="0024416E" w:rsidP="00075A67">
      <w:pPr>
        <w:jc w:val="both"/>
        <w:rPr>
          <w:rFonts w:eastAsia="Calibri"/>
          <w:sz w:val="24"/>
          <w:szCs w:val="24"/>
          <w:lang w:eastAsia="en-US"/>
        </w:rPr>
      </w:pPr>
      <w:r w:rsidRPr="00A459B8">
        <w:rPr>
          <w:rFonts w:eastAsia="Calibri"/>
          <w:sz w:val="24"/>
          <w:szCs w:val="24"/>
          <w:lang w:eastAsia="en-US"/>
        </w:rPr>
        <w:t xml:space="preserve">Okrem toho sa v roku 2016 pripravil aj podporný mechanizmus na vykonanie energetických auditov MSP v Bratislavskom kraji (ostatné kraje budú podporené prostredníctvom OP KŽP). Na vykonanie energetických auditov MSP bolo vyčlenených 300 000 </w:t>
      </w:r>
      <w:r>
        <w:rPr>
          <w:rFonts w:eastAsia="Calibri"/>
          <w:sz w:val="24"/>
          <w:szCs w:val="24"/>
          <w:lang w:eastAsia="en-US"/>
        </w:rPr>
        <w:t>E</w:t>
      </w:r>
      <w:r w:rsidRPr="00A459B8">
        <w:rPr>
          <w:rFonts w:eastAsia="Calibri"/>
          <w:sz w:val="24"/>
          <w:szCs w:val="24"/>
          <w:lang w:eastAsia="en-US"/>
        </w:rPr>
        <w:t>ur. Podporný mechanizmus bude implementovaný v roku 2017.</w:t>
      </w:r>
    </w:p>
    <w:p w14:paraId="72E5FD73" w14:textId="77777777" w:rsidR="0024416E" w:rsidRPr="00A26D06" w:rsidRDefault="0024416E" w:rsidP="0024416E">
      <w:pPr>
        <w:keepNext/>
        <w:keepLines/>
        <w:spacing w:before="480" w:line="276" w:lineRule="auto"/>
        <w:outlineLvl w:val="0"/>
        <w:rPr>
          <w:rFonts w:ascii="Cambria" w:hAnsi="Cambria"/>
          <w:b/>
          <w:bCs/>
          <w:sz w:val="28"/>
          <w:szCs w:val="28"/>
          <w:lang w:eastAsia="en-US"/>
        </w:rPr>
      </w:pPr>
      <w:bookmarkStart w:id="7" w:name="_Toc475385087"/>
      <w:r w:rsidRPr="00A26D06">
        <w:rPr>
          <w:rFonts w:ascii="Cambria" w:hAnsi="Cambria"/>
          <w:b/>
          <w:bCs/>
          <w:sz w:val="28"/>
          <w:szCs w:val="28"/>
          <w:lang w:eastAsia="en-US"/>
        </w:rPr>
        <w:t>4. Informácie o obnove budov v pôsobnosti ústredných orgánov štátnej správy</w:t>
      </w:r>
      <w:bookmarkEnd w:id="7"/>
      <w:r w:rsidRPr="00A26D06">
        <w:rPr>
          <w:rFonts w:ascii="Cambria" w:hAnsi="Cambria"/>
          <w:b/>
          <w:bCs/>
          <w:sz w:val="28"/>
          <w:szCs w:val="28"/>
          <w:lang w:eastAsia="en-US"/>
        </w:rPr>
        <w:t xml:space="preserve"> </w:t>
      </w:r>
    </w:p>
    <w:p w14:paraId="7C39189D" w14:textId="77777777" w:rsidR="0024416E" w:rsidRDefault="0024416E" w:rsidP="00075A67">
      <w:pPr>
        <w:jc w:val="both"/>
        <w:rPr>
          <w:rFonts w:eastAsia="Calibri"/>
          <w:sz w:val="24"/>
          <w:szCs w:val="24"/>
          <w:lang w:eastAsia="en-US"/>
        </w:rPr>
      </w:pPr>
      <w:r w:rsidRPr="00A459B8">
        <w:rPr>
          <w:rFonts w:eastAsia="Calibri"/>
          <w:sz w:val="24"/>
          <w:szCs w:val="24"/>
          <w:lang w:eastAsia="en-US"/>
        </w:rPr>
        <w:t>Podľa smernice 2012/27/EÚ každý členský štát musí zabezpečiť, aby sa od 1. januára 2014 každoročne obnovovali 3 % z celkovej podlahovej plochy vykurovaných a/alebo chladených budov, ktoré vlastnia a využívajú ústredné orgány štátnej správy, tak aby dosiahli aspoň minimálne požiadavky na energetickú hospodárnosť budov (čl. 5 ods. 1 smernice). Tento cieľ možno plniť aj alternatívnym spôsobom (čl. 5 ods. 6 smernice), ktorým sa do roku 2020 dosiahne rovnaký objem úspor energie ako základným prístupom podľa čl. 5 ods. 1 smernice.</w:t>
      </w:r>
    </w:p>
    <w:p w14:paraId="35723858" w14:textId="77777777" w:rsidR="00075A67" w:rsidRPr="00A459B8" w:rsidRDefault="00075A67" w:rsidP="00075A67">
      <w:pPr>
        <w:jc w:val="both"/>
        <w:rPr>
          <w:rFonts w:eastAsia="Calibri"/>
          <w:sz w:val="24"/>
          <w:szCs w:val="24"/>
          <w:lang w:eastAsia="en-US"/>
        </w:rPr>
      </w:pPr>
    </w:p>
    <w:p w14:paraId="79E864CD" w14:textId="77777777" w:rsidR="0024416E" w:rsidRPr="00A459B8" w:rsidRDefault="0024416E" w:rsidP="0024416E">
      <w:pPr>
        <w:spacing w:after="200"/>
        <w:jc w:val="both"/>
        <w:rPr>
          <w:rFonts w:eastAsia="Calibri"/>
          <w:b/>
          <w:sz w:val="24"/>
          <w:szCs w:val="24"/>
          <w:lang w:eastAsia="en-US"/>
        </w:rPr>
      </w:pPr>
      <w:r w:rsidRPr="00A459B8">
        <w:rPr>
          <w:rFonts w:eastAsia="Calibri"/>
          <w:b/>
          <w:sz w:val="24"/>
          <w:szCs w:val="24"/>
          <w:lang w:eastAsia="en-US"/>
        </w:rPr>
        <w:t>4.1. Celková podlahová plocha budov s celkovou podlahovou plochou viac ako 250 m</w:t>
      </w:r>
      <w:r w:rsidRPr="00A459B8">
        <w:rPr>
          <w:rFonts w:eastAsia="Calibri"/>
          <w:b/>
          <w:sz w:val="24"/>
          <w:szCs w:val="24"/>
          <w:vertAlign w:val="superscript"/>
          <w:lang w:eastAsia="en-US"/>
        </w:rPr>
        <w:t>2</w:t>
      </w:r>
      <w:r w:rsidRPr="00A459B8">
        <w:rPr>
          <w:rFonts w:eastAsia="Calibri"/>
          <w:b/>
          <w:sz w:val="24"/>
          <w:szCs w:val="24"/>
          <w:lang w:eastAsia="en-US"/>
        </w:rPr>
        <w:t xml:space="preserve"> vo vlastníctve a v užívaní ústredných orgánov štátnej správy, ktoré nespĺňajú národné minimálne požiadavky energetickej hospodárnosti - za rok 2016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3"/>
        <w:gridCol w:w="1571"/>
      </w:tblGrid>
      <w:tr w:rsidR="0024416E" w:rsidRPr="00F73205" w14:paraId="19B0247F" w14:textId="77777777" w:rsidTr="00A26D06">
        <w:tc>
          <w:tcPr>
            <w:tcW w:w="7383" w:type="dxa"/>
            <w:shd w:val="clear" w:color="auto" w:fill="auto"/>
          </w:tcPr>
          <w:p w14:paraId="63700EB2" w14:textId="77777777" w:rsidR="0024416E" w:rsidRPr="00F73205" w:rsidRDefault="0024416E" w:rsidP="00A26D06">
            <w:pPr>
              <w:widowControl w:val="0"/>
              <w:spacing w:line="360" w:lineRule="auto"/>
              <w:jc w:val="both"/>
              <w:rPr>
                <w:b/>
              </w:rPr>
            </w:pPr>
            <w:r w:rsidRPr="00F73205">
              <w:rPr>
                <w:b/>
              </w:rPr>
              <w:t>Indikátor</w:t>
            </w:r>
          </w:p>
        </w:tc>
        <w:tc>
          <w:tcPr>
            <w:tcW w:w="1571" w:type="dxa"/>
            <w:shd w:val="clear" w:color="auto" w:fill="auto"/>
          </w:tcPr>
          <w:p w14:paraId="5CF0B72D" w14:textId="77777777" w:rsidR="0024416E" w:rsidRPr="00F73205" w:rsidRDefault="0024416E" w:rsidP="00A26D06">
            <w:pPr>
              <w:widowControl w:val="0"/>
              <w:spacing w:line="360" w:lineRule="auto"/>
              <w:jc w:val="center"/>
              <w:rPr>
                <w:b/>
              </w:rPr>
            </w:pPr>
            <w:r w:rsidRPr="00F73205">
              <w:rPr>
                <w:b/>
              </w:rPr>
              <w:t>2016</w:t>
            </w:r>
          </w:p>
        </w:tc>
      </w:tr>
      <w:tr w:rsidR="0024416E" w:rsidRPr="00F73205" w14:paraId="70077A60" w14:textId="77777777" w:rsidTr="00A26D06">
        <w:tc>
          <w:tcPr>
            <w:tcW w:w="7383" w:type="dxa"/>
            <w:shd w:val="clear" w:color="auto" w:fill="auto"/>
          </w:tcPr>
          <w:p w14:paraId="1574EC3D" w14:textId="77777777" w:rsidR="0024416E" w:rsidRPr="00F73205" w:rsidRDefault="0024416E" w:rsidP="00A26D06">
            <w:pPr>
              <w:widowControl w:val="0"/>
              <w:spacing w:line="360" w:lineRule="auto"/>
              <w:jc w:val="both"/>
              <w:rPr>
                <w:b/>
              </w:rPr>
            </w:pPr>
            <w:r w:rsidRPr="00A459B8">
              <w:t>Celková podlahová plocha budov ÚOŠS, ktoré nespĺňajú národné minimálne požiadavky na energetickú hospodárnosť budov (EHB)</w:t>
            </w:r>
          </w:p>
        </w:tc>
        <w:tc>
          <w:tcPr>
            <w:tcW w:w="1571" w:type="dxa"/>
            <w:shd w:val="clear" w:color="auto" w:fill="auto"/>
            <w:vAlign w:val="center"/>
          </w:tcPr>
          <w:p w14:paraId="41979A4E" w14:textId="77777777" w:rsidR="0024416E" w:rsidRPr="00F73205" w:rsidRDefault="0024416E" w:rsidP="00A26D06">
            <w:pPr>
              <w:widowControl w:val="0"/>
              <w:spacing w:line="360" w:lineRule="auto"/>
              <w:jc w:val="center"/>
              <w:rPr>
                <w:b/>
              </w:rPr>
            </w:pPr>
            <w:r>
              <w:t xml:space="preserve">413 451 </w:t>
            </w:r>
            <w:r w:rsidRPr="00A459B8">
              <w:t>m</w:t>
            </w:r>
            <w:r w:rsidRPr="00F73205">
              <w:rPr>
                <w:vertAlign w:val="superscript"/>
              </w:rPr>
              <w:t>2</w:t>
            </w:r>
          </w:p>
        </w:tc>
      </w:tr>
    </w:tbl>
    <w:p w14:paraId="69EE9F1F" w14:textId="77777777" w:rsidR="0024416E" w:rsidRPr="00A459B8" w:rsidRDefault="0024416E" w:rsidP="0024416E">
      <w:pPr>
        <w:spacing w:after="200"/>
        <w:jc w:val="both"/>
        <w:rPr>
          <w:rFonts w:eastAsia="Calibri"/>
          <w:sz w:val="24"/>
          <w:szCs w:val="24"/>
          <w:lang w:eastAsia="en-US"/>
        </w:rPr>
      </w:pPr>
      <w:r w:rsidRPr="00A459B8">
        <w:rPr>
          <w:rFonts w:eastAsia="Calibri"/>
          <w:sz w:val="24"/>
          <w:szCs w:val="24"/>
          <w:lang w:eastAsia="en-US"/>
        </w:rPr>
        <w:t>Zdroj: MDV SR (2016)</w:t>
      </w:r>
    </w:p>
    <w:p w14:paraId="025B57FC" w14:textId="77777777" w:rsidR="0024416E" w:rsidRPr="00A459B8" w:rsidRDefault="0024416E" w:rsidP="0024416E">
      <w:pPr>
        <w:spacing w:after="200"/>
        <w:jc w:val="both"/>
        <w:rPr>
          <w:rFonts w:eastAsia="Calibri"/>
          <w:b/>
          <w:sz w:val="24"/>
          <w:szCs w:val="24"/>
          <w:lang w:eastAsia="en-US"/>
        </w:rPr>
      </w:pPr>
      <w:r w:rsidRPr="00A459B8">
        <w:rPr>
          <w:rFonts w:eastAsia="Calibri"/>
          <w:b/>
          <w:sz w:val="24"/>
          <w:szCs w:val="24"/>
          <w:lang w:eastAsia="en-US"/>
        </w:rPr>
        <w:t>4.2. Celková podlahová plocha vykurovaných a chladených budov s celkovou podlahovou plochou viac ako 250 m</w:t>
      </w:r>
      <w:r w:rsidRPr="00A459B8">
        <w:rPr>
          <w:rFonts w:eastAsia="Calibri"/>
          <w:b/>
          <w:sz w:val="24"/>
          <w:szCs w:val="24"/>
          <w:vertAlign w:val="superscript"/>
          <w:lang w:eastAsia="en-US"/>
        </w:rPr>
        <w:t>2</w:t>
      </w:r>
      <w:r w:rsidRPr="00A459B8">
        <w:rPr>
          <w:rFonts w:eastAsia="Calibri"/>
          <w:b/>
          <w:sz w:val="24"/>
          <w:szCs w:val="24"/>
          <w:lang w:eastAsia="en-US"/>
        </w:rPr>
        <w:t xml:space="preserve"> vo vlastníctve a v užívaní ústredných orgánov štátnej správy, ktorá bola obnovená na aspoň národné minimálne požiadavky na energetickú hospodárnosť budov - za rok 2016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3"/>
        <w:gridCol w:w="1571"/>
      </w:tblGrid>
      <w:tr w:rsidR="0024416E" w:rsidRPr="00F73205" w14:paraId="24136850" w14:textId="77777777" w:rsidTr="00A26D06">
        <w:tc>
          <w:tcPr>
            <w:tcW w:w="7383" w:type="dxa"/>
            <w:shd w:val="clear" w:color="auto" w:fill="auto"/>
          </w:tcPr>
          <w:p w14:paraId="054B0B5C" w14:textId="77777777" w:rsidR="0024416E" w:rsidRPr="00F73205" w:rsidRDefault="0024416E" w:rsidP="00A26D06">
            <w:pPr>
              <w:widowControl w:val="0"/>
              <w:spacing w:line="360" w:lineRule="auto"/>
              <w:jc w:val="both"/>
              <w:rPr>
                <w:b/>
              </w:rPr>
            </w:pPr>
            <w:r w:rsidRPr="00F73205">
              <w:rPr>
                <w:b/>
              </w:rPr>
              <w:t>Indikátor</w:t>
            </w:r>
          </w:p>
        </w:tc>
        <w:tc>
          <w:tcPr>
            <w:tcW w:w="1571" w:type="dxa"/>
            <w:shd w:val="clear" w:color="auto" w:fill="auto"/>
          </w:tcPr>
          <w:p w14:paraId="2AFF6D5E" w14:textId="77777777" w:rsidR="0024416E" w:rsidRPr="00F73205" w:rsidRDefault="0024416E" w:rsidP="00A26D06">
            <w:pPr>
              <w:widowControl w:val="0"/>
              <w:spacing w:line="360" w:lineRule="auto"/>
              <w:jc w:val="center"/>
              <w:rPr>
                <w:b/>
              </w:rPr>
            </w:pPr>
            <w:r w:rsidRPr="00F73205">
              <w:rPr>
                <w:b/>
              </w:rPr>
              <w:t>2016</w:t>
            </w:r>
          </w:p>
        </w:tc>
      </w:tr>
      <w:tr w:rsidR="0024416E" w:rsidRPr="00F73205" w14:paraId="31823B59" w14:textId="77777777" w:rsidTr="00A26D06">
        <w:tc>
          <w:tcPr>
            <w:tcW w:w="7383" w:type="dxa"/>
            <w:shd w:val="clear" w:color="auto" w:fill="auto"/>
          </w:tcPr>
          <w:p w14:paraId="17957FFF" w14:textId="77777777" w:rsidR="0024416E" w:rsidRPr="00F73205" w:rsidRDefault="0024416E" w:rsidP="00A26D06">
            <w:pPr>
              <w:widowControl w:val="0"/>
              <w:spacing w:line="360" w:lineRule="auto"/>
              <w:jc w:val="both"/>
              <w:rPr>
                <w:color w:val="000000"/>
              </w:rPr>
            </w:pPr>
            <w:r w:rsidRPr="00A459B8">
              <w:t>Celková podlahová plocha budov ÚOŠS, ktorá bola obnovená na aspoň národné minimálne požiadavky na energetickú hospodárnosť budov</w:t>
            </w:r>
          </w:p>
        </w:tc>
        <w:tc>
          <w:tcPr>
            <w:tcW w:w="1571" w:type="dxa"/>
            <w:shd w:val="clear" w:color="auto" w:fill="auto"/>
            <w:vAlign w:val="center"/>
          </w:tcPr>
          <w:p w14:paraId="5D5C1AEF" w14:textId="77777777" w:rsidR="0024416E" w:rsidRPr="00A459B8" w:rsidRDefault="0024416E" w:rsidP="00A26D06">
            <w:pPr>
              <w:widowControl w:val="0"/>
              <w:spacing w:line="360" w:lineRule="auto"/>
              <w:jc w:val="right"/>
            </w:pPr>
            <w:r w:rsidRPr="00A459B8">
              <w:t>m</w:t>
            </w:r>
            <w:r w:rsidRPr="00F73205">
              <w:rPr>
                <w:vertAlign w:val="superscript"/>
              </w:rPr>
              <w:t>2</w:t>
            </w:r>
          </w:p>
        </w:tc>
      </w:tr>
    </w:tbl>
    <w:p w14:paraId="6C2B9281" w14:textId="77777777" w:rsidR="0024416E" w:rsidRPr="00A459B8" w:rsidRDefault="0024416E" w:rsidP="0024416E">
      <w:pPr>
        <w:spacing w:after="200"/>
        <w:jc w:val="both"/>
        <w:rPr>
          <w:rFonts w:eastAsia="Calibri"/>
          <w:sz w:val="24"/>
          <w:szCs w:val="24"/>
          <w:lang w:eastAsia="en-US"/>
        </w:rPr>
      </w:pPr>
      <w:r w:rsidRPr="00A459B8">
        <w:rPr>
          <w:rFonts w:eastAsia="Calibri"/>
          <w:sz w:val="24"/>
          <w:szCs w:val="24"/>
          <w:lang w:eastAsia="en-US"/>
        </w:rPr>
        <w:t>Zdroj: SIEA (2017), údaje za rok 2016 vyhodnotené k 31.03.2017.</w:t>
      </w:r>
      <w:bookmarkStart w:id="8" w:name="_Ref475364323"/>
      <w:r w:rsidRPr="00A459B8">
        <w:rPr>
          <w:rFonts w:eastAsia="Calibri"/>
          <w:sz w:val="24"/>
          <w:szCs w:val="24"/>
          <w:vertAlign w:val="superscript"/>
          <w:lang w:eastAsia="en-US"/>
        </w:rPr>
        <w:footnoteReference w:id="2"/>
      </w:r>
      <w:bookmarkEnd w:id="8"/>
    </w:p>
    <w:p w14:paraId="5EA06283" w14:textId="77777777" w:rsidR="0024416E" w:rsidRPr="00A459B8" w:rsidRDefault="0024416E" w:rsidP="0024416E">
      <w:pPr>
        <w:spacing w:after="200"/>
        <w:jc w:val="both"/>
        <w:rPr>
          <w:rFonts w:eastAsia="Calibri"/>
          <w:b/>
          <w:sz w:val="24"/>
          <w:szCs w:val="24"/>
          <w:lang w:eastAsia="en-US"/>
        </w:rPr>
      </w:pPr>
      <w:r w:rsidRPr="00A459B8">
        <w:rPr>
          <w:rFonts w:eastAsia="Calibri"/>
          <w:b/>
          <w:sz w:val="24"/>
          <w:szCs w:val="24"/>
          <w:lang w:eastAsia="en-US"/>
        </w:rPr>
        <w:lastRenderedPageBreak/>
        <w:t>4.3. Objem úspor energie dosiahnutý v relevantných budovách za rok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572"/>
      </w:tblGrid>
      <w:tr w:rsidR="0024416E" w:rsidRPr="00F73205" w14:paraId="26943227" w14:textId="77777777" w:rsidTr="00A26D06">
        <w:tc>
          <w:tcPr>
            <w:tcW w:w="7490" w:type="dxa"/>
            <w:shd w:val="clear" w:color="auto" w:fill="auto"/>
          </w:tcPr>
          <w:p w14:paraId="49F01AF9" w14:textId="77777777" w:rsidR="0024416E" w:rsidRPr="00F73205" w:rsidRDefault="0024416E" w:rsidP="00A26D06">
            <w:pPr>
              <w:widowControl w:val="0"/>
              <w:spacing w:line="360" w:lineRule="auto"/>
              <w:jc w:val="both"/>
              <w:rPr>
                <w:b/>
              </w:rPr>
            </w:pPr>
            <w:r w:rsidRPr="00F73205">
              <w:rPr>
                <w:b/>
              </w:rPr>
              <w:t>Indikátor</w:t>
            </w:r>
          </w:p>
        </w:tc>
        <w:tc>
          <w:tcPr>
            <w:tcW w:w="1572" w:type="dxa"/>
            <w:shd w:val="clear" w:color="auto" w:fill="auto"/>
          </w:tcPr>
          <w:p w14:paraId="1B47A511" w14:textId="77777777" w:rsidR="0024416E" w:rsidRPr="00F73205" w:rsidRDefault="0024416E" w:rsidP="00A26D06">
            <w:pPr>
              <w:widowControl w:val="0"/>
              <w:spacing w:line="360" w:lineRule="auto"/>
              <w:jc w:val="center"/>
              <w:rPr>
                <w:b/>
              </w:rPr>
            </w:pPr>
            <w:r w:rsidRPr="00F73205">
              <w:rPr>
                <w:b/>
              </w:rPr>
              <w:t>2016</w:t>
            </w:r>
          </w:p>
        </w:tc>
      </w:tr>
      <w:tr w:rsidR="0024416E" w:rsidRPr="00F73205" w14:paraId="0CAFEAEC" w14:textId="77777777" w:rsidTr="00A26D06">
        <w:tc>
          <w:tcPr>
            <w:tcW w:w="7490" w:type="dxa"/>
            <w:shd w:val="clear" w:color="auto" w:fill="auto"/>
          </w:tcPr>
          <w:p w14:paraId="1E54C5C1" w14:textId="77777777" w:rsidR="0024416E" w:rsidRPr="00A459B8" w:rsidRDefault="0024416E" w:rsidP="00A26D06">
            <w:pPr>
              <w:widowControl w:val="0"/>
              <w:spacing w:line="360" w:lineRule="auto"/>
              <w:jc w:val="both"/>
            </w:pPr>
            <w:r w:rsidRPr="00A459B8">
              <w:t>Objem úspor energie v budovách vlastnených a užívaných ÚOŠS</w:t>
            </w:r>
          </w:p>
        </w:tc>
        <w:tc>
          <w:tcPr>
            <w:tcW w:w="1572" w:type="dxa"/>
            <w:shd w:val="clear" w:color="auto" w:fill="auto"/>
            <w:vAlign w:val="center"/>
          </w:tcPr>
          <w:p w14:paraId="353350CF" w14:textId="77777777" w:rsidR="0024416E" w:rsidRPr="00A459B8" w:rsidRDefault="0024416E" w:rsidP="00A26D06">
            <w:pPr>
              <w:widowControl w:val="0"/>
              <w:spacing w:line="360" w:lineRule="auto"/>
              <w:jc w:val="right"/>
            </w:pPr>
            <w:r w:rsidRPr="00A459B8">
              <w:t xml:space="preserve"> GWh</w:t>
            </w:r>
          </w:p>
        </w:tc>
      </w:tr>
    </w:tbl>
    <w:p w14:paraId="53D40B6B" w14:textId="77777777" w:rsidR="0024416E" w:rsidRPr="00A459B8" w:rsidRDefault="0024416E" w:rsidP="0024416E">
      <w:pPr>
        <w:spacing w:after="200"/>
        <w:jc w:val="both"/>
        <w:rPr>
          <w:rFonts w:eastAsia="Calibri"/>
          <w:sz w:val="24"/>
          <w:szCs w:val="24"/>
          <w:lang w:eastAsia="en-US"/>
        </w:rPr>
      </w:pPr>
      <w:r w:rsidRPr="00A459B8">
        <w:rPr>
          <w:rFonts w:eastAsia="Calibri"/>
          <w:sz w:val="24"/>
          <w:szCs w:val="24"/>
          <w:lang w:eastAsia="en-US"/>
        </w:rPr>
        <w:t>Zdroj: SIEA (2017), údaje za rok 2016 vyhodnotené k 31.03.2017.</w:t>
      </w:r>
      <w:r w:rsidRPr="00A459B8">
        <w:rPr>
          <w:rFonts w:eastAsia="Calibri"/>
          <w:sz w:val="24"/>
          <w:szCs w:val="24"/>
          <w:vertAlign w:val="superscript"/>
          <w:lang w:eastAsia="en-US"/>
        </w:rPr>
        <w:fldChar w:fldCharType="begin"/>
      </w:r>
      <w:r w:rsidRPr="00A459B8">
        <w:rPr>
          <w:rFonts w:eastAsia="Calibri"/>
          <w:sz w:val="24"/>
          <w:szCs w:val="24"/>
          <w:vertAlign w:val="superscript"/>
          <w:lang w:eastAsia="en-US"/>
        </w:rPr>
        <w:instrText xml:space="preserve"> NOTEREF _Ref475364323 \h  \* MERGEFORMAT </w:instrText>
      </w:r>
      <w:r w:rsidRPr="00A459B8">
        <w:rPr>
          <w:rFonts w:eastAsia="Calibri"/>
          <w:sz w:val="24"/>
          <w:szCs w:val="24"/>
          <w:vertAlign w:val="superscript"/>
          <w:lang w:eastAsia="en-US"/>
        </w:rPr>
      </w:r>
      <w:r w:rsidRPr="00A459B8">
        <w:rPr>
          <w:rFonts w:eastAsia="Calibri"/>
          <w:sz w:val="24"/>
          <w:szCs w:val="24"/>
          <w:vertAlign w:val="superscript"/>
          <w:lang w:eastAsia="en-US"/>
        </w:rPr>
        <w:fldChar w:fldCharType="separate"/>
      </w:r>
      <w:r w:rsidR="00885CEA">
        <w:rPr>
          <w:rFonts w:eastAsia="Calibri"/>
          <w:sz w:val="24"/>
          <w:szCs w:val="24"/>
          <w:vertAlign w:val="superscript"/>
          <w:lang w:eastAsia="en-US"/>
        </w:rPr>
        <w:t>2</w:t>
      </w:r>
      <w:r w:rsidRPr="00A459B8">
        <w:rPr>
          <w:rFonts w:eastAsia="Calibri"/>
          <w:sz w:val="24"/>
          <w:szCs w:val="24"/>
          <w:vertAlign w:val="superscript"/>
          <w:lang w:eastAsia="en-US"/>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572"/>
      </w:tblGrid>
      <w:tr w:rsidR="0024416E" w:rsidRPr="00F73205" w14:paraId="2ED53692" w14:textId="77777777" w:rsidTr="00A26D06">
        <w:tc>
          <w:tcPr>
            <w:tcW w:w="7490" w:type="dxa"/>
            <w:shd w:val="clear" w:color="auto" w:fill="auto"/>
          </w:tcPr>
          <w:p w14:paraId="08C6DDBE" w14:textId="77777777" w:rsidR="0024416E" w:rsidRPr="00F73205" w:rsidRDefault="0024416E" w:rsidP="00A26D06">
            <w:pPr>
              <w:widowControl w:val="0"/>
              <w:spacing w:line="360" w:lineRule="auto"/>
              <w:jc w:val="both"/>
              <w:rPr>
                <w:b/>
              </w:rPr>
            </w:pPr>
            <w:r w:rsidRPr="00F73205">
              <w:rPr>
                <w:b/>
              </w:rPr>
              <w:t>Indikátor</w:t>
            </w:r>
          </w:p>
        </w:tc>
        <w:tc>
          <w:tcPr>
            <w:tcW w:w="1572" w:type="dxa"/>
            <w:shd w:val="clear" w:color="auto" w:fill="auto"/>
          </w:tcPr>
          <w:p w14:paraId="50357BA5" w14:textId="77777777" w:rsidR="0024416E" w:rsidRPr="00F73205" w:rsidRDefault="0024416E" w:rsidP="00A26D06">
            <w:pPr>
              <w:widowControl w:val="0"/>
              <w:spacing w:line="360" w:lineRule="auto"/>
              <w:jc w:val="center"/>
              <w:rPr>
                <w:b/>
              </w:rPr>
            </w:pPr>
            <w:r w:rsidRPr="00F73205">
              <w:rPr>
                <w:b/>
              </w:rPr>
              <w:t>2016</w:t>
            </w:r>
          </w:p>
        </w:tc>
      </w:tr>
      <w:tr w:rsidR="0024416E" w:rsidRPr="00F73205" w14:paraId="2DC4B875" w14:textId="77777777" w:rsidTr="00A26D06">
        <w:tc>
          <w:tcPr>
            <w:tcW w:w="7490" w:type="dxa"/>
            <w:shd w:val="clear" w:color="auto" w:fill="auto"/>
          </w:tcPr>
          <w:p w14:paraId="449B3969" w14:textId="77777777" w:rsidR="0024416E" w:rsidRPr="00A459B8" w:rsidRDefault="0024416E" w:rsidP="00A26D06">
            <w:pPr>
              <w:widowControl w:val="0"/>
              <w:spacing w:line="360" w:lineRule="auto"/>
              <w:jc w:val="both"/>
            </w:pPr>
            <w:r w:rsidRPr="00A459B8">
              <w:t>Objem úspor energie v budovách vlastnených a užívaných ústrednými orgánmi štátnej správy aspoň na minimálne požiadavky EHB</w:t>
            </w:r>
          </w:p>
        </w:tc>
        <w:tc>
          <w:tcPr>
            <w:tcW w:w="1572" w:type="dxa"/>
            <w:shd w:val="clear" w:color="auto" w:fill="auto"/>
            <w:vAlign w:val="center"/>
          </w:tcPr>
          <w:p w14:paraId="11F637BB" w14:textId="77777777" w:rsidR="0024416E" w:rsidRPr="00A459B8" w:rsidRDefault="0024416E" w:rsidP="00A26D06">
            <w:pPr>
              <w:widowControl w:val="0"/>
              <w:spacing w:line="360" w:lineRule="auto"/>
              <w:jc w:val="right"/>
            </w:pPr>
            <w:r w:rsidRPr="00A459B8">
              <w:t xml:space="preserve"> GWh</w:t>
            </w:r>
          </w:p>
        </w:tc>
      </w:tr>
    </w:tbl>
    <w:p w14:paraId="6EE52AD5" w14:textId="77777777" w:rsidR="0024416E" w:rsidRPr="00A459B8" w:rsidRDefault="0024416E" w:rsidP="0024416E">
      <w:pPr>
        <w:spacing w:after="200"/>
        <w:jc w:val="both"/>
        <w:rPr>
          <w:rFonts w:eastAsia="Calibri"/>
          <w:sz w:val="24"/>
          <w:szCs w:val="24"/>
          <w:lang w:eastAsia="en-US"/>
        </w:rPr>
      </w:pPr>
      <w:r w:rsidRPr="00A459B8">
        <w:rPr>
          <w:rFonts w:eastAsia="Calibri"/>
          <w:sz w:val="24"/>
          <w:szCs w:val="24"/>
          <w:lang w:eastAsia="en-US"/>
        </w:rPr>
        <w:t>Zdroj: SIEA (2017), údaje za rok 2016 vyhodnotené k 31.03.2017.</w:t>
      </w:r>
      <w:r w:rsidRPr="00A459B8">
        <w:rPr>
          <w:rFonts w:eastAsia="Calibri"/>
          <w:sz w:val="24"/>
          <w:szCs w:val="24"/>
          <w:vertAlign w:val="superscript"/>
          <w:lang w:eastAsia="en-US"/>
        </w:rPr>
        <w:fldChar w:fldCharType="begin"/>
      </w:r>
      <w:r w:rsidRPr="00A459B8">
        <w:rPr>
          <w:rFonts w:eastAsia="Calibri"/>
          <w:sz w:val="24"/>
          <w:szCs w:val="24"/>
          <w:vertAlign w:val="superscript"/>
          <w:lang w:eastAsia="en-US"/>
        </w:rPr>
        <w:instrText xml:space="preserve"> NOTEREF _Ref475364323 \h  \* MERGEFORMAT </w:instrText>
      </w:r>
      <w:r w:rsidRPr="00A459B8">
        <w:rPr>
          <w:rFonts w:eastAsia="Calibri"/>
          <w:sz w:val="24"/>
          <w:szCs w:val="24"/>
          <w:vertAlign w:val="superscript"/>
          <w:lang w:eastAsia="en-US"/>
        </w:rPr>
      </w:r>
      <w:r w:rsidRPr="00A459B8">
        <w:rPr>
          <w:rFonts w:eastAsia="Calibri"/>
          <w:sz w:val="24"/>
          <w:szCs w:val="24"/>
          <w:vertAlign w:val="superscript"/>
          <w:lang w:eastAsia="en-US"/>
        </w:rPr>
        <w:fldChar w:fldCharType="separate"/>
      </w:r>
      <w:r w:rsidR="00885CEA">
        <w:rPr>
          <w:rFonts w:eastAsia="Calibri"/>
          <w:sz w:val="24"/>
          <w:szCs w:val="24"/>
          <w:vertAlign w:val="superscript"/>
          <w:lang w:eastAsia="en-US"/>
        </w:rPr>
        <w:t>2</w:t>
      </w:r>
      <w:r w:rsidRPr="00A459B8">
        <w:rPr>
          <w:rFonts w:eastAsia="Calibri"/>
          <w:sz w:val="24"/>
          <w:szCs w:val="24"/>
          <w:vertAlign w:val="superscript"/>
          <w:lang w:eastAsia="en-US"/>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572"/>
      </w:tblGrid>
      <w:tr w:rsidR="0024416E" w:rsidRPr="00F73205" w14:paraId="22122538" w14:textId="77777777" w:rsidTr="00A26D06">
        <w:tc>
          <w:tcPr>
            <w:tcW w:w="7490" w:type="dxa"/>
            <w:shd w:val="clear" w:color="auto" w:fill="auto"/>
          </w:tcPr>
          <w:p w14:paraId="68A90E69" w14:textId="77777777" w:rsidR="0024416E" w:rsidRPr="00F73205" w:rsidRDefault="0024416E" w:rsidP="00A26D06">
            <w:pPr>
              <w:widowControl w:val="0"/>
              <w:spacing w:line="360" w:lineRule="auto"/>
              <w:jc w:val="both"/>
              <w:rPr>
                <w:b/>
              </w:rPr>
            </w:pPr>
            <w:r w:rsidRPr="00F73205">
              <w:rPr>
                <w:b/>
              </w:rPr>
              <w:t>Indikátor</w:t>
            </w:r>
          </w:p>
        </w:tc>
        <w:tc>
          <w:tcPr>
            <w:tcW w:w="1572" w:type="dxa"/>
            <w:shd w:val="clear" w:color="auto" w:fill="auto"/>
          </w:tcPr>
          <w:p w14:paraId="389AB4AD" w14:textId="77777777" w:rsidR="0024416E" w:rsidRPr="00F73205" w:rsidRDefault="0024416E" w:rsidP="00A26D06">
            <w:pPr>
              <w:widowControl w:val="0"/>
              <w:spacing w:line="360" w:lineRule="auto"/>
              <w:jc w:val="center"/>
              <w:rPr>
                <w:b/>
              </w:rPr>
            </w:pPr>
            <w:r w:rsidRPr="00F73205">
              <w:rPr>
                <w:b/>
              </w:rPr>
              <w:t>2016</w:t>
            </w:r>
          </w:p>
        </w:tc>
      </w:tr>
      <w:tr w:rsidR="0024416E" w:rsidRPr="00F73205" w14:paraId="302EB23D" w14:textId="77777777" w:rsidTr="00A26D06">
        <w:tc>
          <w:tcPr>
            <w:tcW w:w="7490" w:type="dxa"/>
            <w:shd w:val="clear" w:color="auto" w:fill="auto"/>
          </w:tcPr>
          <w:p w14:paraId="2D2A9D0D" w14:textId="77777777" w:rsidR="0024416E" w:rsidRPr="00A459B8" w:rsidRDefault="0024416E" w:rsidP="00A26D06">
            <w:pPr>
              <w:widowControl w:val="0"/>
              <w:spacing w:line="360" w:lineRule="auto"/>
              <w:jc w:val="both"/>
            </w:pPr>
            <w:r w:rsidRPr="00A459B8">
              <w:t>Objem úspor energie v budovách vlastnených a užívaných ústrednými orgánmi štátnej správy pre alternatívny spôsob (čl. 5 ods. 6)</w:t>
            </w:r>
          </w:p>
        </w:tc>
        <w:tc>
          <w:tcPr>
            <w:tcW w:w="1572" w:type="dxa"/>
            <w:shd w:val="clear" w:color="auto" w:fill="auto"/>
            <w:vAlign w:val="center"/>
          </w:tcPr>
          <w:p w14:paraId="56D7CF0B" w14:textId="77777777" w:rsidR="0024416E" w:rsidRPr="00A459B8" w:rsidRDefault="0024416E" w:rsidP="00A26D06">
            <w:pPr>
              <w:widowControl w:val="0"/>
              <w:spacing w:line="360" w:lineRule="auto"/>
              <w:jc w:val="right"/>
            </w:pPr>
            <w:r w:rsidRPr="00A459B8">
              <w:t>23,02 GWh</w:t>
            </w:r>
          </w:p>
        </w:tc>
      </w:tr>
    </w:tbl>
    <w:p w14:paraId="0A788E74" w14:textId="77777777" w:rsidR="0024416E" w:rsidRPr="00A459B8" w:rsidRDefault="0024416E" w:rsidP="0024416E">
      <w:pPr>
        <w:spacing w:after="200"/>
        <w:jc w:val="both"/>
        <w:rPr>
          <w:rFonts w:eastAsia="Calibri"/>
          <w:sz w:val="24"/>
          <w:szCs w:val="24"/>
          <w:lang w:eastAsia="en-US"/>
        </w:rPr>
      </w:pPr>
      <w:r w:rsidRPr="00A459B8">
        <w:rPr>
          <w:rFonts w:eastAsia="Calibri"/>
          <w:sz w:val="24"/>
          <w:szCs w:val="24"/>
          <w:lang w:eastAsia="en-US"/>
        </w:rPr>
        <w:t>Zdroj: SIEA (2017) údaje za rok 2016 vyhodnotené k 31.01.2017.</w:t>
      </w:r>
      <w:r w:rsidRPr="00A459B8">
        <w:rPr>
          <w:rFonts w:eastAsia="Calibri"/>
          <w:sz w:val="24"/>
          <w:szCs w:val="24"/>
          <w:vertAlign w:val="superscript"/>
          <w:lang w:eastAsia="en-US"/>
        </w:rPr>
        <w:footnoteReference w:id="3"/>
      </w:r>
    </w:p>
    <w:p w14:paraId="4DFDA5C5" w14:textId="77777777" w:rsidR="0024416E" w:rsidRDefault="0024416E" w:rsidP="00075A67">
      <w:pPr>
        <w:jc w:val="both"/>
        <w:rPr>
          <w:rFonts w:eastAsia="Calibri"/>
          <w:sz w:val="24"/>
          <w:szCs w:val="24"/>
          <w:lang w:eastAsia="en-US"/>
        </w:rPr>
      </w:pPr>
      <w:r w:rsidRPr="00A459B8">
        <w:rPr>
          <w:rFonts w:eastAsia="Calibri"/>
          <w:sz w:val="24"/>
          <w:szCs w:val="24"/>
          <w:lang w:eastAsia="en-US"/>
        </w:rPr>
        <w:t>V oblasti úspor energie v rámci budov si SR zvolila alternatívny prístup k naplneniu cieľa čl. 5 ods. 1 smernice 2012/27/EÚ v súlade s čl. 5 ods. 6 smernice. V rámci zvoleného alternatívneho spôsobu bol stanovený cieľ úspor energie 52,17 GWh/rok</w:t>
      </w:r>
      <w:bookmarkStart w:id="9" w:name="_Ref447717141"/>
      <w:r w:rsidRPr="00A459B8">
        <w:rPr>
          <w:rFonts w:eastAsia="Calibri"/>
          <w:sz w:val="24"/>
          <w:szCs w:val="24"/>
          <w:lang w:eastAsia="en-US"/>
        </w:rPr>
        <w:t>.</w:t>
      </w:r>
      <w:r w:rsidRPr="00A459B8">
        <w:rPr>
          <w:rFonts w:eastAsia="Calibri"/>
          <w:sz w:val="24"/>
          <w:szCs w:val="24"/>
          <w:vertAlign w:val="superscript"/>
          <w:lang w:eastAsia="en-US"/>
        </w:rPr>
        <w:footnoteReference w:id="4"/>
      </w:r>
      <w:bookmarkEnd w:id="9"/>
      <w:r w:rsidRPr="00A459B8">
        <w:rPr>
          <w:rFonts w:eastAsia="Calibri"/>
          <w:sz w:val="24"/>
          <w:szCs w:val="24"/>
          <w:lang w:eastAsia="en-US"/>
        </w:rPr>
        <w:t xml:space="preserve"> K termínu prípravy ročnej správy bolo možné</w:t>
      </w:r>
      <w:r w:rsidRPr="00A459B8" w:rsidDel="00EC2C02">
        <w:rPr>
          <w:rFonts w:eastAsia="Calibri"/>
          <w:sz w:val="24"/>
          <w:szCs w:val="24"/>
          <w:lang w:eastAsia="en-US"/>
        </w:rPr>
        <w:t xml:space="preserve"> </w:t>
      </w:r>
      <w:r w:rsidRPr="00A459B8">
        <w:rPr>
          <w:rFonts w:eastAsia="Calibri"/>
          <w:sz w:val="24"/>
          <w:szCs w:val="24"/>
          <w:lang w:eastAsia="en-US"/>
        </w:rPr>
        <w:t>na základe vyhodnotených údajov vyhodnotiť úspory energie dosiahnuté obnovou budov v pôsobnosti ústredných orgánov štátnej správy realizovanej v roku 2016 vo výške 23,02 GWh, čo predstavuje zhruba 44</w:t>
      </w:r>
      <w:r>
        <w:rPr>
          <w:rFonts w:eastAsia="Calibri"/>
          <w:sz w:val="24"/>
          <w:szCs w:val="24"/>
          <w:lang w:eastAsia="en-US"/>
        </w:rPr>
        <w:t xml:space="preserve"> </w:t>
      </w:r>
      <w:r w:rsidRPr="00A459B8">
        <w:rPr>
          <w:rFonts w:eastAsia="Calibri"/>
          <w:sz w:val="24"/>
          <w:szCs w:val="24"/>
          <w:lang w:eastAsia="en-US"/>
        </w:rPr>
        <w:t xml:space="preserve">% z cieľa úspor energie budov (52,17 GWh/rok). Údaje boli identifikované monitorovaním úspor energie po jednotlivých budovách metódou zdola-nahor na </w:t>
      </w:r>
      <w:r>
        <w:rPr>
          <w:rFonts w:eastAsia="Calibri"/>
          <w:sz w:val="24"/>
          <w:szCs w:val="24"/>
          <w:lang w:eastAsia="en-US"/>
        </w:rPr>
        <w:t xml:space="preserve">základe databázy certifikátov </w:t>
      </w:r>
      <w:r w:rsidRPr="00A459B8">
        <w:rPr>
          <w:rFonts w:eastAsia="Calibri"/>
          <w:sz w:val="24"/>
          <w:szCs w:val="24"/>
          <w:lang w:eastAsia="en-US"/>
        </w:rPr>
        <w:t>INFOREG.</w:t>
      </w:r>
    </w:p>
    <w:p w14:paraId="16CD6829" w14:textId="77777777" w:rsidR="00075A67" w:rsidRPr="00A459B8" w:rsidRDefault="00075A67" w:rsidP="00075A67">
      <w:pPr>
        <w:jc w:val="both"/>
        <w:rPr>
          <w:rFonts w:eastAsia="Calibri"/>
          <w:sz w:val="24"/>
          <w:szCs w:val="24"/>
          <w:lang w:eastAsia="en-US"/>
        </w:rPr>
      </w:pPr>
    </w:p>
    <w:p w14:paraId="6121AE75" w14:textId="77777777" w:rsidR="0024416E" w:rsidRDefault="0024416E" w:rsidP="00075A67">
      <w:pPr>
        <w:jc w:val="both"/>
        <w:rPr>
          <w:rFonts w:eastAsia="Calibri"/>
          <w:b/>
          <w:sz w:val="24"/>
          <w:szCs w:val="24"/>
          <w:lang w:eastAsia="en-US"/>
        </w:rPr>
      </w:pPr>
      <w:r w:rsidRPr="00A459B8">
        <w:rPr>
          <w:rFonts w:eastAsia="Calibri"/>
          <w:b/>
          <w:sz w:val="24"/>
          <w:szCs w:val="24"/>
          <w:lang w:eastAsia="en-US"/>
        </w:rPr>
        <w:t>Iné informácie ohľadom sektora budov podľa zákona č. 321/2014 Z. z.</w:t>
      </w:r>
    </w:p>
    <w:p w14:paraId="642E95DE" w14:textId="77777777" w:rsidR="00075A67" w:rsidRPr="00A459B8" w:rsidRDefault="00075A67" w:rsidP="00075A67">
      <w:pPr>
        <w:jc w:val="both"/>
        <w:rPr>
          <w:rFonts w:eastAsia="Calibri"/>
          <w:b/>
          <w:sz w:val="24"/>
          <w:szCs w:val="24"/>
          <w:lang w:eastAsia="en-US"/>
        </w:rPr>
      </w:pPr>
    </w:p>
    <w:p w14:paraId="6A385DE8" w14:textId="77777777" w:rsidR="0024416E" w:rsidRPr="00A459B8" w:rsidRDefault="0024416E" w:rsidP="00075A67">
      <w:pPr>
        <w:jc w:val="both"/>
        <w:rPr>
          <w:rFonts w:eastAsia="Calibri"/>
          <w:sz w:val="24"/>
          <w:szCs w:val="24"/>
          <w:lang w:eastAsia="en-US"/>
        </w:rPr>
      </w:pPr>
      <w:r w:rsidRPr="00A459B8">
        <w:rPr>
          <w:rFonts w:eastAsia="Calibri"/>
          <w:sz w:val="24"/>
          <w:szCs w:val="24"/>
          <w:lang w:eastAsia="en-US"/>
        </w:rPr>
        <w:t>Prehľad budov podľa § 9 ods. 1 písm. a) zákona č. 321/2014 Z. z. je uverejnený v Stratégii obnovy fondu bytových a nebytových budov v Slovenskej republike (schválená uznesením vlády SR</w:t>
      </w:r>
      <w:r w:rsidRPr="00A459B8" w:rsidDel="00514156">
        <w:rPr>
          <w:rFonts w:eastAsia="Calibri"/>
          <w:sz w:val="24"/>
          <w:szCs w:val="24"/>
          <w:lang w:eastAsia="en-US"/>
        </w:rPr>
        <w:t xml:space="preserve"> </w:t>
      </w:r>
      <w:r w:rsidRPr="00A459B8">
        <w:rPr>
          <w:rFonts w:eastAsia="Calibri"/>
          <w:sz w:val="24"/>
          <w:szCs w:val="24"/>
          <w:lang w:eastAsia="en-US"/>
        </w:rPr>
        <w:t>č. 347/2014). Ročný cieľ úspor energie budov (podľa § 10 ods. 3 písm. a) bol uverejnený v Notifikačnej správe k alternatívnemu prístupu podľa článku 5 smernice (...)</w:t>
      </w:r>
      <w:r w:rsidRPr="00A459B8">
        <w:rPr>
          <w:rFonts w:eastAsia="Calibri"/>
          <w:sz w:val="24"/>
          <w:szCs w:val="24"/>
          <w:vertAlign w:val="superscript"/>
          <w:lang w:eastAsia="en-US"/>
        </w:rPr>
        <w:fldChar w:fldCharType="begin"/>
      </w:r>
      <w:r w:rsidRPr="00A459B8">
        <w:rPr>
          <w:rFonts w:eastAsia="Calibri"/>
          <w:sz w:val="24"/>
          <w:szCs w:val="24"/>
          <w:vertAlign w:val="superscript"/>
          <w:lang w:eastAsia="en-US"/>
        </w:rPr>
        <w:instrText xml:space="preserve"> NOTEREF _Ref447717141 \h  \* MERGEFORMAT </w:instrText>
      </w:r>
      <w:r w:rsidRPr="00A459B8">
        <w:rPr>
          <w:rFonts w:eastAsia="Calibri"/>
          <w:sz w:val="24"/>
          <w:szCs w:val="24"/>
          <w:vertAlign w:val="superscript"/>
          <w:lang w:eastAsia="en-US"/>
        </w:rPr>
      </w:r>
      <w:r w:rsidRPr="00A459B8">
        <w:rPr>
          <w:rFonts w:eastAsia="Calibri"/>
          <w:sz w:val="24"/>
          <w:szCs w:val="24"/>
          <w:vertAlign w:val="superscript"/>
          <w:lang w:eastAsia="en-US"/>
        </w:rPr>
        <w:fldChar w:fldCharType="separate"/>
      </w:r>
      <w:r w:rsidR="00885CEA">
        <w:rPr>
          <w:rFonts w:eastAsia="Calibri"/>
          <w:sz w:val="24"/>
          <w:szCs w:val="24"/>
          <w:vertAlign w:val="superscript"/>
          <w:lang w:eastAsia="en-US"/>
        </w:rPr>
        <w:t>4</w:t>
      </w:r>
      <w:r w:rsidRPr="00A459B8">
        <w:rPr>
          <w:rFonts w:eastAsia="Calibri"/>
          <w:sz w:val="24"/>
          <w:szCs w:val="24"/>
          <w:vertAlign w:val="superscript"/>
          <w:lang w:eastAsia="en-US"/>
        </w:rPr>
        <w:fldChar w:fldCharType="end"/>
      </w:r>
      <w:r w:rsidRPr="00A459B8">
        <w:rPr>
          <w:rFonts w:eastAsia="Calibri"/>
          <w:sz w:val="24"/>
          <w:szCs w:val="24"/>
          <w:lang w:eastAsia="en-US"/>
        </w:rPr>
        <w:t xml:space="preserve">, ako aj v Pláne obnovy budov (schválený uznesením vlády SR č. 386/2015). Zoznam budov určených na obnovu v nasledujúcom roku (podľa § 10 ods. 3 písm. c) bude súčasťou Plánu obnovy relevantných budov na rok 2018. Zoznam relevantných budov (podľa § 10 ods. 6) je uvedený na webstránke </w:t>
      </w:r>
      <w:r>
        <w:rPr>
          <w:rFonts w:eastAsia="Calibri"/>
          <w:sz w:val="24"/>
          <w:szCs w:val="24"/>
          <w:lang w:eastAsia="en-US"/>
        </w:rPr>
        <w:t xml:space="preserve">MDV </w:t>
      </w:r>
      <w:r w:rsidRPr="00A459B8">
        <w:rPr>
          <w:rFonts w:eastAsia="Calibri"/>
          <w:sz w:val="24"/>
          <w:szCs w:val="24"/>
          <w:lang w:eastAsia="en-US"/>
        </w:rPr>
        <w:t xml:space="preserve"> SR </w:t>
      </w:r>
      <w:hyperlink r:id="rId10" w:history="1">
        <w:r w:rsidRPr="00A459B8">
          <w:rPr>
            <w:rFonts w:eastAsia="Calibri"/>
            <w:color w:val="0000FF"/>
            <w:sz w:val="24"/>
            <w:szCs w:val="24"/>
            <w:u w:val="single"/>
            <w:lang w:eastAsia="en-US"/>
          </w:rPr>
          <w:t>http://www.telecom.gov.sk/index/index.php?ids=170474</w:t>
        </w:r>
      </w:hyperlink>
      <w:r w:rsidRPr="00A459B8">
        <w:rPr>
          <w:rFonts w:eastAsia="Calibri"/>
          <w:sz w:val="24"/>
          <w:szCs w:val="24"/>
          <w:lang w:eastAsia="en-US"/>
        </w:rPr>
        <w:t>.</w:t>
      </w:r>
    </w:p>
    <w:p w14:paraId="0F777B94" w14:textId="77777777" w:rsidR="0024416E" w:rsidRPr="00A26D06" w:rsidRDefault="0024416E" w:rsidP="0024416E">
      <w:pPr>
        <w:keepNext/>
        <w:keepLines/>
        <w:spacing w:before="480" w:line="276" w:lineRule="auto"/>
        <w:outlineLvl w:val="0"/>
        <w:rPr>
          <w:rFonts w:ascii="Cambria" w:hAnsi="Cambria"/>
          <w:b/>
          <w:bCs/>
          <w:sz w:val="28"/>
          <w:szCs w:val="28"/>
          <w:lang w:eastAsia="en-US"/>
        </w:rPr>
      </w:pPr>
      <w:bookmarkStart w:id="10" w:name="_Toc475385088"/>
      <w:r w:rsidRPr="00A26D06">
        <w:rPr>
          <w:rFonts w:ascii="Cambria" w:hAnsi="Cambria"/>
          <w:b/>
          <w:bCs/>
          <w:sz w:val="28"/>
          <w:szCs w:val="28"/>
          <w:lang w:eastAsia="en-US"/>
        </w:rPr>
        <w:t>5. Úspory energie dosiahnuté prostredníctvom povinných schém energetickej efektívnosti, alebo alternatívnymi opatreniami</w:t>
      </w:r>
      <w:bookmarkEnd w:id="10"/>
    </w:p>
    <w:p w14:paraId="75CC9EA0" w14:textId="77777777" w:rsidR="0024416E" w:rsidRDefault="0024416E" w:rsidP="00075A67">
      <w:pPr>
        <w:jc w:val="both"/>
        <w:rPr>
          <w:rFonts w:eastAsia="Calibri"/>
          <w:sz w:val="24"/>
          <w:szCs w:val="24"/>
          <w:lang w:eastAsia="en-US"/>
        </w:rPr>
      </w:pPr>
      <w:r w:rsidRPr="00A459B8">
        <w:rPr>
          <w:rFonts w:eastAsia="Calibri"/>
          <w:sz w:val="24"/>
          <w:szCs w:val="24"/>
          <w:lang w:eastAsia="en-US"/>
        </w:rPr>
        <w:t>SR uplatňuje čl. 7 smernice implementáciou tzv. alternatívnych politických opatrení, a to najmä kvôli možnému vplyvu na rast koncových cien energie, ktorý by v konečnom dôsledku znamenal negatívny dopad na podnikateľské prostredie, čo by následne znamenalo zníženie konkurencieschopnosti ekonomiky ako aj možné zvyšovanie nezamestnanosti.</w:t>
      </w:r>
    </w:p>
    <w:p w14:paraId="45EE535D" w14:textId="77777777" w:rsidR="00DB4347" w:rsidRPr="00A459B8" w:rsidRDefault="00DB4347" w:rsidP="00075A67">
      <w:pPr>
        <w:jc w:val="both"/>
        <w:rPr>
          <w:rFonts w:eastAsia="Calibri"/>
          <w:sz w:val="24"/>
          <w:szCs w:val="24"/>
          <w:lang w:eastAsia="en-US"/>
        </w:rPr>
      </w:pPr>
    </w:p>
    <w:p w14:paraId="6300FEB5" w14:textId="77777777" w:rsidR="0024416E" w:rsidRPr="00A459B8" w:rsidRDefault="0024416E" w:rsidP="00075A67">
      <w:pPr>
        <w:jc w:val="both"/>
        <w:rPr>
          <w:rFonts w:eastAsia="Calibri"/>
          <w:sz w:val="24"/>
          <w:szCs w:val="24"/>
          <w:lang w:eastAsia="en-US"/>
        </w:rPr>
      </w:pPr>
      <w:r w:rsidRPr="00A459B8">
        <w:rPr>
          <w:rFonts w:eastAsia="Calibri"/>
          <w:sz w:val="24"/>
          <w:szCs w:val="24"/>
          <w:lang w:eastAsia="en-US"/>
        </w:rPr>
        <w:t xml:space="preserve">Vyhodnotenie plnenia jednotlivých opatrení podľa sektorov je uvedené v 3. kapitole </w:t>
      </w:r>
      <w:r>
        <w:rPr>
          <w:sz w:val="24"/>
          <w:szCs w:val="24"/>
        </w:rPr>
        <w:t>Akčného plánu energetickej efektívnosti na roky 2017-2019 s výhľadom do roku 2020</w:t>
      </w:r>
      <w:r w:rsidRPr="00A459B8">
        <w:rPr>
          <w:rFonts w:eastAsia="Calibri"/>
          <w:sz w:val="24"/>
          <w:szCs w:val="24"/>
          <w:lang w:eastAsia="en-US"/>
        </w:rPr>
        <w:t xml:space="preserve">. </w:t>
      </w:r>
    </w:p>
    <w:p w14:paraId="3838637C" w14:textId="77777777" w:rsidR="0024416E" w:rsidRPr="00A26D06" w:rsidRDefault="0024416E" w:rsidP="0024416E">
      <w:pPr>
        <w:keepNext/>
        <w:keepLines/>
        <w:spacing w:before="480" w:line="276" w:lineRule="auto"/>
        <w:outlineLvl w:val="0"/>
        <w:rPr>
          <w:rFonts w:ascii="Cambria" w:hAnsi="Cambria"/>
          <w:b/>
          <w:bCs/>
          <w:sz w:val="28"/>
          <w:szCs w:val="28"/>
          <w:lang w:eastAsia="en-US"/>
        </w:rPr>
      </w:pPr>
      <w:bookmarkStart w:id="11" w:name="_Toc475385089"/>
      <w:r w:rsidRPr="00A26D06">
        <w:rPr>
          <w:rFonts w:ascii="Cambria" w:hAnsi="Cambria"/>
          <w:b/>
          <w:bCs/>
          <w:sz w:val="28"/>
          <w:szCs w:val="28"/>
          <w:lang w:eastAsia="en-US"/>
        </w:rPr>
        <w:lastRenderedPageBreak/>
        <w:t>6. Vyhodnotenie plnenia národného cieľa energetickej efektívnosti</w:t>
      </w:r>
      <w:bookmarkEnd w:id="11"/>
    </w:p>
    <w:p w14:paraId="664D5DF1" w14:textId="77777777" w:rsidR="00DB4347" w:rsidRDefault="00DB4347" w:rsidP="00075A67">
      <w:pPr>
        <w:jc w:val="both"/>
        <w:rPr>
          <w:rFonts w:eastAsia="Calibri"/>
          <w:sz w:val="24"/>
          <w:szCs w:val="24"/>
          <w:lang w:eastAsia="en-US"/>
        </w:rPr>
      </w:pPr>
    </w:p>
    <w:p w14:paraId="4119D4D8" w14:textId="77777777" w:rsidR="0024416E" w:rsidRDefault="0024416E" w:rsidP="00075A67">
      <w:pPr>
        <w:jc w:val="both"/>
        <w:rPr>
          <w:rFonts w:eastAsia="Calibri"/>
          <w:sz w:val="24"/>
          <w:szCs w:val="24"/>
          <w:lang w:eastAsia="en-US"/>
        </w:rPr>
      </w:pPr>
      <w:r w:rsidRPr="00A459B8">
        <w:rPr>
          <w:rFonts w:eastAsia="Calibri"/>
          <w:sz w:val="24"/>
          <w:szCs w:val="24"/>
          <w:lang w:eastAsia="en-US"/>
        </w:rPr>
        <w:t>Na základe čl. 3 smernice 2012/27/EÚ a v súlade s §5 ods. 1 písm. c) zákona č. 321/2014 Z. z. bol stanovený národný cieľ energetickej efektívnosti pre rok 2020 (ďalej len „národný cieľ“) vo forme absolútnej hodnoty primárnej energetickej spotreby a konečnej energetickej spotreby.</w:t>
      </w:r>
      <w:r w:rsidR="005802FD">
        <w:rPr>
          <w:rFonts w:eastAsia="Calibri"/>
          <w:sz w:val="24"/>
          <w:szCs w:val="24"/>
          <w:lang w:eastAsia="en-US"/>
        </w:rPr>
        <w:t xml:space="preserve"> </w:t>
      </w:r>
    </w:p>
    <w:p w14:paraId="17074AB2" w14:textId="77777777" w:rsidR="005802FD" w:rsidRPr="00A459B8" w:rsidRDefault="005802FD" w:rsidP="00075A67">
      <w:pPr>
        <w:jc w:val="both"/>
        <w:rPr>
          <w:rFonts w:eastAsia="Calibri"/>
          <w:sz w:val="24"/>
          <w:szCs w:val="24"/>
          <w:lang w:eastAsia="en-US"/>
        </w:rPr>
      </w:pPr>
    </w:p>
    <w:p w14:paraId="0DC95B8B" w14:textId="77777777" w:rsidR="0024416E" w:rsidRDefault="0024416E" w:rsidP="00075A67">
      <w:pPr>
        <w:jc w:val="both"/>
        <w:rPr>
          <w:rFonts w:eastAsia="Calibri"/>
          <w:sz w:val="24"/>
          <w:szCs w:val="24"/>
          <w:lang w:eastAsia="en-US"/>
        </w:rPr>
      </w:pPr>
      <w:r w:rsidRPr="00A459B8">
        <w:rPr>
          <w:rFonts w:eastAsia="Calibri"/>
          <w:sz w:val="24"/>
          <w:szCs w:val="24"/>
          <w:lang w:eastAsia="en-US"/>
        </w:rPr>
        <w:t xml:space="preserve">Nakoľko štatistické údaje o úrovni konečnej energetickej spotreby a o úrovni primárnej energetickej spotreby v roku 2016 nie sú v súčasnosti k dispozícii, daný cieľ </w:t>
      </w:r>
      <w:r>
        <w:rPr>
          <w:rFonts w:eastAsia="Calibri"/>
          <w:sz w:val="24"/>
          <w:szCs w:val="24"/>
          <w:lang w:eastAsia="en-US"/>
        </w:rPr>
        <w:t xml:space="preserve">je </w:t>
      </w:r>
      <w:r w:rsidRPr="00A459B8">
        <w:rPr>
          <w:rFonts w:eastAsia="Calibri"/>
          <w:sz w:val="24"/>
          <w:szCs w:val="24"/>
          <w:lang w:eastAsia="en-US"/>
        </w:rPr>
        <w:t>možn</w:t>
      </w:r>
      <w:r>
        <w:rPr>
          <w:rFonts w:eastAsia="Calibri"/>
          <w:sz w:val="24"/>
          <w:szCs w:val="24"/>
          <w:lang w:eastAsia="en-US"/>
        </w:rPr>
        <w:t>é</w:t>
      </w:r>
      <w:r w:rsidRPr="00A459B8">
        <w:rPr>
          <w:rFonts w:eastAsia="Calibri"/>
          <w:sz w:val="24"/>
          <w:szCs w:val="24"/>
          <w:lang w:eastAsia="en-US"/>
        </w:rPr>
        <w:t xml:space="preserve"> vyhodnotiť k termínu 30.04.2017 iba v porovnaní so spotrebou energie v roku 2015 (pozri tabuľku č. 8).  </w:t>
      </w:r>
    </w:p>
    <w:p w14:paraId="00C9A4EA" w14:textId="77777777" w:rsidR="00075A67" w:rsidRPr="00A459B8" w:rsidRDefault="00075A67" w:rsidP="00075A67">
      <w:pPr>
        <w:jc w:val="both"/>
        <w:rPr>
          <w:rFonts w:eastAsia="Calibri"/>
          <w:sz w:val="24"/>
          <w:szCs w:val="24"/>
          <w:lang w:eastAsia="en-US"/>
        </w:rPr>
      </w:pPr>
    </w:p>
    <w:p w14:paraId="52C84813" w14:textId="77777777" w:rsidR="0024416E" w:rsidRPr="00A459B8" w:rsidRDefault="0024416E" w:rsidP="00075A67">
      <w:pPr>
        <w:keepNext/>
        <w:jc w:val="both"/>
        <w:rPr>
          <w:rFonts w:eastAsia="Calibri"/>
          <w:sz w:val="24"/>
          <w:szCs w:val="24"/>
          <w:lang w:eastAsia="en-US"/>
        </w:rPr>
      </w:pPr>
      <w:r w:rsidRPr="00A459B8">
        <w:rPr>
          <w:rFonts w:eastAsia="Calibri"/>
          <w:sz w:val="24"/>
          <w:szCs w:val="24"/>
          <w:lang w:eastAsia="en-US"/>
        </w:rPr>
        <w:t>Tabuľka č. 3: Národný indikatívny cieľ energetickej efektívnosti pre rok 2020 a jeho porovnanie s úrovňou spotreby energie za rok 2015</w:t>
      </w:r>
    </w:p>
    <w:tbl>
      <w:tblPr>
        <w:tblW w:w="8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1067"/>
        <w:gridCol w:w="1201"/>
        <w:gridCol w:w="851"/>
        <w:gridCol w:w="992"/>
        <w:gridCol w:w="851"/>
        <w:gridCol w:w="918"/>
      </w:tblGrid>
      <w:tr w:rsidR="0024416E" w:rsidRPr="00A459B8" w14:paraId="66DB05D4" w14:textId="77777777" w:rsidTr="00A26D06">
        <w:trPr>
          <w:trHeight w:val="330"/>
          <w:tblHeader/>
        </w:trPr>
        <w:tc>
          <w:tcPr>
            <w:tcW w:w="3119" w:type="dxa"/>
            <w:vMerge w:val="restart"/>
            <w:shd w:val="pct25" w:color="auto" w:fill="auto"/>
            <w:noWrap/>
            <w:vAlign w:val="center"/>
          </w:tcPr>
          <w:p w14:paraId="6881DB0A" w14:textId="77777777" w:rsidR="0024416E" w:rsidRPr="00A459B8" w:rsidRDefault="0024416E" w:rsidP="00A26D06">
            <w:pPr>
              <w:jc w:val="right"/>
              <w:rPr>
                <w:color w:val="000000"/>
                <w:szCs w:val="18"/>
              </w:rPr>
            </w:pPr>
          </w:p>
        </w:tc>
        <w:tc>
          <w:tcPr>
            <w:tcW w:w="5880" w:type="dxa"/>
            <w:gridSpan w:val="6"/>
            <w:shd w:val="pct25" w:color="auto" w:fill="auto"/>
          </w:tcPr>
          <w:p w14:paraId="58BD07A4" w14:textId="77777777" w:rsidR="0024416E" w:rsidRPr="00A459B8" w:rsidRDefault="0024416E" w:rsidP="00A26D06">
            <w:pPr>
              <w:jc w:val="center"/>
              <w:rPr>
                <w:b/>
                <w:color w:val="000000"/>
                <w:szCs w:val="18"/>
              </w:rPr>
            </w:pPr>
            <w:r w:rsidRPr="00A459B8">
              <w:rPr>
                <w:b/>
                <w:color w:val="000000"/>
                <w:szCs w:val="18"/>
              </w:rPr>
              <w:t>Porovnanie národného indikatívneho cieľa energetickej efektívnosti pre rok 2020  a súčasnej úrovne spotreby energie</w:t>
            </w:r>
          </w:p>
        </w:tc>
      </w:tr>
      <w:tr w:rsidR="0024416E" w:rsidRPr="00A459B8" w14:paraId="2062C21B" w14:textId="77777777" w:rsidTr="00A26D06">
        <w:trPr>
          <w:trHeight w:val="330"/>
          <w:tblHeader/>
        </w:trPr>
        <w:tc>
          <w:tcPr>
            <w:tcW w:w="3119" w:type="dxa"/>
            <w:vMerge/>
            <w:shd w:val="pct25" w:color="auto" w:fill="auto"/>
            <w:noWrap/>
            <w:vAlign w:val="center"/>
          </w:tcPr>
          <w:p w14:paraId="7B7B7B64" w14:textId="77777777" w:rsidR="0024416E" w:rsidRPr="00A459B8" w:rsidRDefault="0024416E" w:rsidP="00A26D06">
            <w:pPr>
              <w:jc w:val="right"/>
              <w:rPr>
                <w:color w:val="000000"/>
                <w:szCs w:val="18"/>
              </w:rPr>
            </w:pPr>
          </w:p>
        </w:tc>
        <w:tc>
          <w:tcPr>
            <w:tcW w:w="3119" w:type="dxa"/>
            <w:gridSpan w:val="3"/>
            <w:shd w:val="pct25" w:color="auto" w:fill="auto"/>
            <w:noWrap/>
            <w:vAlign w:val="center"/>
          </w:tcPr>
          <w:p w14:paraId="4B39A250" w14:textId="77777777" w:rsidR="0024416E" w:rsidRPr="00A459B8" w:rsidRDefault="0024416E" w:rsidP="00A26D06">
            <w:pPr>
              <w:jc w:val="center"/>
              <w:rPr>
                <w:b/>
                <w:color w:val="000000"/>
                <w:szCs w:val="18"/>
              </w:rPr>
            </w:pPr>
            <w:r w:rsidRPr="00A459B8">
              <w:rPr>
                <w:b/>
                <w:color w:val="000000"/>
                <w:szCs w:val="18"/>
              </w:rPr>
              <w:t>KES</w:t>
            </w:r>
          </w:p>
        </w:tc>
        <w:tc>
          <w:tcPr>
            <w:tcW w:w="2761" w:type="dxa"/>
            <w:gridSpan w:val="3"/>
            <w:shd w:val="pct25" w:color="auto" w:fill="auto"/>
            <w:vAlign w:val="center"/>
          </w:tcPr>
          <w:p w14:paraId="7D14C1FB" w14:textId="77777777" w:rsidR="0024416E" w:rsidRPr="00A459B8" w:rsidRDefault="0024416E" w:rsidP="00A26D06">
            <w:pPr>
              <w:jc w:val="center"/>
              <w:rPr>
                <w:b/>
                <w:color w:val="000000"/>
                <w:szCs w:val="18"/>
              </w:rPr>
            </w:pPr>
            <w:r w:rsidRPr="00A459B8">
              <w:rPr>
                <w:b/>
                <w:color w:val="000000"/>
                <w:szCs w:val="18"/>
              </w:rPr>
              <w:t>PES</w:t>
            </w:r>
          </w:p>
        </w:tc>
      </w:tr>
      <w:tr w:rsidR="0024416E" w:rsidRPr="00A459B8" w14:paraId="465053B5" w14:textId="77777777" w:rsidTr="00A26D06">
        <w:trPr>
          <w:trHeight w:val="330"/>
          <w:tblHeader/>
        </w:trPr>
        <w:tc>
          <w:tcPr>
            <w:tcW w:w="3119" w:type="dxa"/>
            <w:vMerge/>
            <w:shd w:val="pct25" w:color="auto" w:fill="auto"/>
            <w:noWrap/>
            <w:vAlign w:val="center"/>
            <w:hideMark/>
          </w:tcPr>
          <w:p w14:paraId="07BD4C78" w14:textId="77777777" w:rsidR="0024416E" w:rsidRPr="00A459B8" w:rsidRDefault="0024416E" w:rsidP="00A26D06">
            <w:pPr>
              <w:jc w:val="right"/>
              <w:rPr>
                <w:color w:val="000000"/>
                <w:szCs w:val="18"/>
              </w:rPr>
            </w:pPr>
          </w:p>
        </w:tc>
        <w:tc>
          <w:tcPr>
            <w:tcW w:w="1067" w:type="dxa"/>
            <w:shd w:val="pct25" w:color="auto" w:fill="auto"/>
            <w:noWrap/>
            <w:vAlign w:val="center"/>
          </w:tcPr>
          <w:p w14:paraId="042B5617" w14:textId="77777777" w:rsidR="0024416E" w:rsidRPr="00A459B8" w:rsidRDefault="0024416E" w:rsidP="00A26D06">
            <w:pPr>
              <w:jc w:val="center"/>
              <w:rPr>
                <w:b/>
                <w:color w:val="000000"/>
                <w:szCs w:val="18"/>
              </w:rPr>
            </w:pPr>
            <w:r w:rsidRPr="00A459B8">
              <w:rPr>
                <w:b/>
                <w:color w:val="000000"/>
                <w:szCs w:val="22"/>
              </w:rPr>
              <w:t>[TWh]</w:t>
            </w:r>
          </w:p>
        </w:tc>
        <w:tc>
          <w:tcPr>
            <w:tcW w:w="1201" w:type="dxa"/>
            <w:shd w:val="pct25" w:color="auto" w:fill="auto"/>
            <w:vAlign w:val="center"/>
          </w:tcPr>
          <w:p w14:paraId="0D925034" w14:textId="77777777" w:rsidR="0024416E" w:rsidRPr="00A459B8" w:rsidRDefault="0024416E" w:rsidP="00A26D06">
            <w:pPr>
              <w:jc w:val="center"/>
              <w:rPr>
                <w:b/>
                <w:color w:val="000000"/>
                <w:szCs w:val="18"/>
              </w:rPr>
            </w:pPr>
            <w:r w:rsidRPr="00A459B8">
              <w:rPr>
                <w:b/>
                <w:color w:val="000000"/>
                <w:szCs w:val="22"/>
              </w:rPr>
              <w:t>[PJ]</w:t>
            </w:r>
          </w:p>
        </w:tc>
        <w:tc>
          <w:tcPr>
            <w:tcW w:w="851" w:type="dxa"/>
            <w:shd w:val="pct25" w:color="auto" w:fill="auto"/>
            <w:vAlign w:val="center"/>
          </w:tcPr>
          <w:p w14:paraId="411B95EF" w14:textId="77777777" w:rsidR="0024416E" w:rsidRPr="00A459B8" w:rsidRDefault="0024416E" w:rsidP="00A26D06">
            <w:pPr>
              <w:jc w:val="center"/>
              <w:rPr>
                <w:b/>
                <w:color w:val="000000"/>
                <w:szCs w:val="22"/>
              </w:rPr>
            </w:pPr>
            <w:r w:rsidRPr="00A459B8">
              <w:rPr>
                <w:b/>
                <w:color w:val="000000"/>
                <w:szCs w:val="18"/>
                <w:lang w:val="en-US"/>
              </w:rPr>
              <w:t>[%]</w:t>
            </w:r>
          </w:p>
        </w:tc>
        <w:tc>
          <w:tcPr>
            <w:tcW w:w="992" w:type="dxa"/>
            <w:tcBorders>
              <w:bottom w:val="single" w:sz="4" w:space="0" w:color="auto"/>
            </w:tcBorders>
            <w:shd w:val="pct25" w:color="auto" w:fill="auto"/>
            <w:noWrap/>
            <w:vAlign w:val="center"/>
          </w:tcPr>
          <w:p w14:paraId="5A53D0C2" w14:textId="77777777" w:rsidR="0024416E" w:rsidRPr="00A459B8" w:rsidRDefault="0024416E" w:rsidP="00A26D06">
            <w:pPr>
              <w:jc w:val="center"/>
              <w:rPr>
                <w:b/>
                <w:color w:val="000000"/>
                <w:szCs w:val="18"/>
              </w:rPr>
            </w:pPr>
            <w:r w:rsidRPr="00A459B8">
              <w:rPr>
                <w:b/>
                <w:color w:val="000000"/>
                <w:szCs w:val="22"/>
              </w:rPr>
              <w:t>[TWh]</w:t>
            </w:r>
          </w:p>
        </w:tc>
        <w:tc>
          <w:tcPr>
            <w:tcW w:w="851" w:type="dxa"/>
            <w:tcBorders>
              <w:bottom w:val="single" w:sz="4" w:space="0" w:color="auto"/>
            </w:tcBorders>
            <w:shd w:val="pct25" w:color="auto" w:fill="auto"/>
            <w:vAlign w:val="center"/>
          </w:tcPr>
          <w:p w14:paraId="5C7C81A2" w14:textId="77777777" w:rsidR="0024416E" w:rsidRPr="00A459B8" w:rsidRDefault="0024416E" w:rsidP="00A26D06">
            <w:pPr>
              <w:jc w:val="center"/>
              <w:rPr>
                <w:b/>
                <w:color w:val="000000"/>
                <w:szCs w:val="18"/>
              </w:rPr>
            </w:pPr>
            <w:r w:rsidRPr="00A459B8">
              <w:rPr>
                <w:b/>
                <w:color w:val="000000"/>
                <w:szCs w:val="22"/>
              </w:rPr>
              <w:t>[PJ]</w:t>
            </w:r>
          </w:p>
        </w:tc>
        <w:tc>
          <w:tcPr>
            <w:tcW w:w="918" w:type="dxa"/>
            <w:shd w:val="pct25" w:color="auto" w:fill="auto"/>
            <w:noWrap/>
            <w:vAlign w:val="center"/>
          </w:tcPr>
          <w:p w14:paraId="2F8617EB" w14:textId="77777777" w:rsidR="0024416E" w:rsidRPr="00A459B8" w:rsidRDefault="0024416E" w:rsidP="00A26D06">
            <w:pPr>
              <w:jc w:val="center"/>
              <w:rPr>
                <w:b/>
                <w:color w:val="000000"/>
                <w:szCs w:val="18"/>
              </w:rPr>
            </w:pPr>
            <w:r w:rsidRPr="00A459B8">
              <w:rPr>
                <w:b/>
                <w:color w:val="000000"/>
                <w:szCs w:val="18"/>
                <w:lang w:val="en-US"/>
              </w:rPr>
              <w:t>[%]</w:t>
            </w:r>
          </w:p>
        </w:tc>
      </w:tr>
      <w:tr w:rsidR="0024416E" w:rsidRPr="00A459B8" w14:paraId="0C08DA80" w14:textId="77777777" w:rsidTr="00A26D06">
        <w:trPr>
          <w:trHeight w:val="330"/>
        </w:trPr>
        <w:tc>
          <w:tcPr>
            <w:tcW w:w="3119" w:type="dxa"/>
            <w:shd w:val="clear" w:color="auto" w:fill="auto"/>
            <w:noWrap/>
            <w:vAlign w:val="center"/>
          </w:tcPr>
          <w:p w14:paraId="12A82F95" w14:textId="77777777" w:rsidR="0024416E" w:rsidRPr="00A459B8" w:rsidRDefault="0024416E" w:rsidP="00A26D06">
            <w:pPr>
              <w:rPr>
                <w:b/>
                <w:color w:val="000000"/>
                <w:szCs w:val="18"/>
              </w:rPr>
            </w:pPr>
            <w:r w:rsidRPr="00A459B8">
              <w:rPr>
                <w:b/>
                <w:color w:val="000000"/>
                <w:szCs w:val="18"/>
              </w:rPr>
              <w:t>Národný indikatívny cieľ energetickej efektívnosti (úroveň energetickej spotreby v r. 2020)</w:t>
            </w:r>
          </w:p>
        </w:tc>
        <w:tc>
          <w:tcPr>
            <w:tcW w:w="1067" w:type="dxa"/>
            <w:shd w:val="clear" w:color="auto" w:fill="auto"/>
            <w:noWrap/>
            <w:vAlign w:val="center"/>
          </w:tcPr>
          <w:p w14:paraId="59361F06" w14:textId="77777777" w:rsidR="0024416E" w:rsidRPr="00A459B8" w:rsidRDefault="0024416E" w:rsidP="00A26D06">
            <w:pPr>
              <w:jc w:val="center"/>
              <w:rPr>
                <w:color w:val="000000"/>
                <w:sz w:val="18"/>
                <w:szCs w:val="18"/>
              </w:rPr>
            </w:pPr>
            <w:r w:rsidRPr="00A459B8">
              <w:rPr>
                <w:rFonts w:eastAsia="Calibri"/>
                <w:sz w:val="22"/>
                <w:szCs w:val="22"/>
                <w:lang w:eastAsia="en-US"/>
              </w:rPr>
              <w:t>105</w:t>
            </w:r>
          </w:p>
        </w:tc>
        <w:tc>
          <w:tcPr>
            <w:tcW w:w="1201" w:type="dxa"/>
            <w:shd w:val="clear" w:color="auto" w:fill="auto"/>
            <w:vAlign w:val="center"/>
          </w:tcPr>
          <w:p w14:paraId="0C51165B" w14:textId="77777777" w:rsidR="0024416E" w:rsidRPr="00A459B8" w:rsidRDefault="0024416E" w:rsidP="00A26D06">
            <w:pPr>
              <w:jc w:val="center"/>
              <w:rPr>
                <w:color w:val="000000"/>
                <w:sz w:val="18"/>
                <w:szCs w:val="18"/>
              </w:rPr>
            </w:pPr>
            <w:r w:rsidRPr="00A459B8">
              <w:rPr>
                <w:rFonts w:eastAsia="Calibri"/>
                <w:sz w:val="22"/>
                <w:szCs w:val="22"/>
                <w:lang w:eastAsia="en-US"/>
              </w:rPr>
              <w:t>387</w:t>
            </w:r>
          </w:p>
        </w:tc>
        <w:tc>
          <w:tcPr>
            <w:tcW w:w="851" w:type="dxa"/>
            <w:vAlign w:val="center"/>
          </w:tcPr>
          <w:p w14:paraId="1DD34720" w14:textId="77777777" w:rsidR="0024416E" w:rsidRPr="00A459B8" w:rsidRDefault="0024416E" w:rsidP="00A26D06">
            <w:pPr>
              <w:jc w:val="center"/>
              <w:rPr>
                <w:rFonts w:eastAsia="Calibri"/>
                <w:color w:val="000000"/>
                <w:sz w:val="18"/>
                <w:szCs w:val="22"/>
                <w:lang w:eastAsia="en-US"/>
              </w:rPr>
            </w:pPr>
            <w:r w:rsidRPr="00A459B8">
              <w:rPr>
                <w:rFonts w:eastAsia="Calibri"/>
                <w:sz w:val="22"/>
                <w:szCs w:val="22"/>
                <w:lang w:eastAsia="en-US"/>
              </w:rPr>
              <w:t>-</w:t>
            </w:r>
          </w:p>
        </w:tc>
        <w:tc>
          <w:tcPr>
            <w:tcW w:w="992" w:type="dxa"/>
            <w:shd w:val="clear" w:color="auto" w:fill="auto"/>
            <w:noWrap/>
            <w:vAlign w:val="center"/>
          </w:tcPr>
          <w:p w14:paraId="4D5C5497" w14:textId="77777777" w:rsidR="0024416E" w:rsidRPr="00A459B8" w:rsidRDefault="0024416E" w:rsidP="00A26D06">
            <w:pPr>
              <w:jc w:val="center"/>
              <w:rPr>
                <w:color w:val="000000"/>
                <w:sz w:val="18"/>
                <w:szCs w:val="18"/>
              </w:rPr>
            </w:pPr>
            <w:r w:rsidRPr="00A459B8">
              <w:rPr>
                <w:rFonts w:eastAsia="Calibri"/>
                <w:sz w:val="22"/>
                <w:szCs w:val="22"/>
                <w:lang w:eastAsia="en-US"/>
              </w:rPr>
              <w:t>191</w:t>
            </w:r>
          </w:p>
        </w:tc>
        <w:tc>
          <w:tcPr>
            <w:tcW w:w="851" w:type="dxa"/>
            <w:shd w:val="clear" w:color="auto" w:fill="auto"/>
            <w:vAlign w:val="center"/>
          </w:tcPr>
          <w:p w14:paraId="6A260702" w14:textId="77777777" w:rsidR="0024416E" w:rsidRPr="00A459B8" w:rsidRDefault="0024416E" w:rsidP="00A26D06">
            <w:pPr>
              <w:jc w:val="center"/>
              <w:rPr>
                <w:color w:val="000000"/>
                <w:sz w:val="18"/>
                <w:szCs w:val="18"/>
              </w:rPr>
            </w:pPr>
            <w:r w:rsidRPr="00A459B8">
              <w:rPr>
                <w:rFonts w:eastAsia="Calibri"/>
                <w:sz w:val="22"/>
                <w:szCs w:val="22"/>
                <w:lang w:eastAsia="en-US"/>
              </w:rPr>
              <w:t>686</w:t>
            </w:r>
          </w:p>
        </w:tc>
        <w:tc>
          <w:tcPr>
            <w:tcW w:w="918" w:type="dxa"/>
            <w:shd w:val="clear" w:color="auto" w:fill="auto"/>
            <w:noWrap/>
            <w:vAlign w:val="center"/>
          </w:tcPr>
          <w:p w14:paraId="4FE7D5FB" w14:textId="77777777" w:rsidR="0024416E" w:rsidRPr="00A459B8" w:rsidRDefault="0024416E" w:rsidP="00A26D06">
            <w:pPr>
              <w:jc w:val="center"/>
              <w:rPr>
                <w:color w:val="000000"/>
                <w:sz w:val="18"/>
                <w:szCs w:val="18"/>
              </w:rPr>
            </w:pPr>
            <w:r w:rsidRPr="00A459B8">
              <w:rPr>
                <w:rFonts w:eastAsia="Calibri"/>
                <w:sz w:val="22"/>
                <w:szCs w:val="22"/>
                <w:lang w:eastAsia="en-US"/>
              </w:rPr>
              <w:t>-</w:t>
            </w:r>
          </w:p>
        </w:tc>
      </w:tr>
      <w:tr w:rsidR="0024416E" w:rsidRPr="00A459B8" w14:paraId="5C35B96A" w14:textId="77777777" w:rsidTr="00A26D06">
        <w:trPr>
          <w:trHeight w:val="300"/>
        </w:trPr>
        <w:tc>
          <w:tcPr>
            <w:tcW w:w="3119" w:type="dxa"/>
            <w:shd w:val="clear" w:color="auto" w:fill="auto"/>
            <w:noWrap/>
            <w:vAlign w:val="center"/>
          </w:tcPr>
          <w:p w14:paraId="4AB30B95" w14:textId="77777777" w:rsidR="0024416E" w:rsidRPr="00A459B8" w:rsidRDefault="0024416E" w:rsidP="00A26D06">
            <w:pPr>
              <w:rPr>
                <w:b/>
                <w:color w:val="000000"/>
                <w:szCs w:val="18"/>
              </w:rPr>
            </w:pPr>
            <w:r w:rsidRPr="00A459B8">
              <w:rPr>
                <w:b/>
                <w:color w:val="000000"/>
                <w:szCs w:val="18"/>
              </w:rPr>
              <w:t>Úroveň energetickej spotreby (KES a PES) v r. 2015</w:t>
            </w:r>
          </w:p>
        </w:tc>
        <w:tc>
          <w:tcPr>
            <w:tcW w:w="1067" w:type="dxa"/>
            <w:shd w:val="clear" w:color="auto" w:fill="auto"/>
            <w:noWrap/>
            <w:vAlign w:val="center"/>
          </w:tcPr>
          <w:p w14:paraId="51D03DFA" w14:textId="77777777" w:rsidR="0024416E" w:rsidRPr="00A459B8" w:rsidRDefault="0024416E" w:rsidP="00A26D06">
            <w:pPr>
              <w:jc w:val="center"/>
              <w:rPr>
                <w:color w:val="000000"/>
                <w:sz w:val="18"/>
                <w:szCs w:val="18"/>
              </w:rPr>
            </w:pPr>
            <w:r w:rsidRPr="00A459B8">
              <w:rPr>
                <w:rFonts w:eastAsia="Calibri"/>
                <w:sz w:val="22"/>
                <w:szCs w:val="22"/>
                <w:lang w:eastAsia="en-US"/>
              </w:rPr>
              <w:t>106</w:t>
            </w:r>
          </w:p>
        </w:tc>
        <w:tc>
          <w:tcPr>
            <w:tcW w:w="1201" w:type="dxa"/>
            <w:shd w:val="clear" w:color="auto" w:fill="auto"/>
            <w:vAlign w:val="center"/>
          </w:tcPr>
          <w:p w14:paraId="3CE67A69" w14:textId="77777777" w:rsidR="0024416E" w:rsidRPr="00A459B8" w:rsidRDefault="0024416E" w:rsidP="00A26D06">
            <w:pPr>
              <w:jc w:val="center"/>
              <w:rPr>
                <w:color w:val="000000"/>
                <w:sz w:val="18"/>
                <w:szCs w:val="18"/>
              </w:rPr>
            </w:pPr>
            <w:r w:rsidRPr="00A459B8">
              <w:rPr>
                <w:rFonts w:eastAsia="Calibri"/>
                <w:sz w:val="22"/>
                <w:szCs w:val="22"/>
                <w:lang w:eastAsia="en-US"/>
              </w:rPr>
              <w:t>383</w:t>
            </w:r>
          </w:p>
        </w:tc>
        <w:tc>
          <w:tcPr>
            <w:tcW w:w="851" w:type="dxa"/>
            <w:vAlign w:val="center"/>
          </w:tcPr>
          <w:p w14:paraId="70F2D8C5" w14:textId="77777777" w:rsidR="0024416E" w:rsidRPr="00A459B8" w:rsidRDefault="0024416E" w:rsidP="00A26D06">
            <w:pPr>
              <w:jc w:val="center"/>
              <w:rPr>
                <w:rFonts w:eastAsia="Calibri"/>
                <w:sz w:val="18"/>
                <w:szCs w:val="22"/>
                <w:lang w:eastAsia="en-US"/>
              </w:rPr>
            </w:pPr>
            <w:r w:rsidRPr="00A459B8">
              <w:rPr>
                <w:rFonts w:eastAsia="Calibri"/>
                <w:sz w:val="22"/>
                <w:szCs w:val="22"/>
                <w:lang w:eastAsia="en-US"/>
              </w:rPr>
              <w:t>99%</w:t>
            </w:r>
          </w:p>
        </w:tc>
        <w:tc>
          <w:tcPr>
            <w:tcW w:w="992" w:type="dxa"/>
            <w:shd w:val="clear" w:color="auto" w:fill="auto"/>
            <w:noWrap/>
            <w:vAlign w:val="center"/>
          </w:tcPr>
          <w:p w14:paraId="2F72FA79" w14:textId="77777777" w:rsidR="0024416E" w:rsidRPr="00A459B8" w:rsidRDefault="0024416E" w:rsidP="00A26D06">
            <w:pPr>
              <w:jc w:val="center"/>
              <w:rPr>
                <w:color w:val="000000"/>
                <w:sz w:val="18"/>
                <w:szCs w:val="18"/>
              </w:rPr>
            </w:pPr>
            <w:r w:rsidRPr="00A459B8">
              <w:rPr>
                <w:rFonts w:eastAsia="Calibri"/>
                <w:sz w:val="22"/>
                <w:szCs w:val="22"/>
                <w:lang w:eastAsia="en-US"/>
              </w:rPr>
              <w:t>178</w:t>
            </w:r>
          </w:p>
        </w:tc>
        <w:tc>
          <w:tcPr>
            <w:tcW w:w="851" w:type="dxa"/>
            <w:shd w:val="clear" w:color="auto" w:fill="auto"/>
            <w:vAlign w:val="center"/>
          </w:tcPr>
          <w:p w14:paraId="68FFC600" w14:textId="77777777" w:rsidR="0024416E" w:rsidRPr="00A459B8" w:rsidRDefault="0024416E" w:rsidP="00A26D06">
            <w:pPr>
              <w:jc w:val="center"/>
              <w:rPr>
                <w:color w:val="000000"/>
                <w:sz w:val="18"/>
                <w:szCs w:val="18"/>
              </w:rPr>
            </w:pPr>
            <w:r w:rsidRPr="00A459B8">
              <w:rPr>
                <w:rFonts w:eastAsia="Calibri"/>
                <w:sz w:val="22"/>
                <w:szCs w:val="22"/>
                <w:lang w:eastAsia="en-US"/>
              </w:rPr>
              <w:t>640</w:t>
            </w:r>
          </w:p>
        </w:tc>
        <w:tc>
          <w:tcPr>
            <w:tcW w:w="918" w:type="dxa"/>
            <w:shd w:val="clear" w:color="auto" w:fill="auto"/>
            <w:noWrap/>
            <w:vAlign w:val="center"/>
          </w:tcPr>
          <w:p w14:paraId="375BEA3B" w14:textId="77777777" w:rsidR="0024416E" w:rsidRPr="00A459B8" w:rsidRDefault="0024416E" w:rsidP="00A26D06">
            <w:pPr>
              <w:jc w:val="center"/>
              <w:rPr>
                <w:color w:val="000000"/>
                <w:sz w:val="18"/>
                <w:szCs w:val="18"/>
              </w:rPr>
            </w:pPr>
            <w:r w:rsidRPr="00A459B8">
              <w:rPr>
                <w:rFonts w:eastAsia="Calibri"/>
                <w:sz w:val="22"/>
                <w:szCs w:val="22"/>
                <w:lang w:eastAsia="en-US"/>
              </w:rPr>
              <w:t>93%</w:t>
            </w:r>
          </w:p>
        </w:tc>
      </w:tr>
    </w:tbl>
    <w:p w14:paraId="14170B80" w14:textId="77777777" w:rsidR="0024416E" w:rsidRPr="00A459B8" w:rsidRDefault="0024416E" w:rsidP="0024416E">
      <w:pPr>
        <w:jc w:val="both"/>
        <w:rPr>
          <w:rFonts w:eastAsia="Calibri"/>
          <w:sz w:val="24"/>
          <w:szCs w:val="24"/>
          <w:lang w:eastAsia="en-US"/>
        </w:rPr>
      </w:pPr>
      <w:r w:rsidRPr="00A459B8">
        <w:rPr>
          <w:rFonts w:eastAsia="Calibri"/>
          <w:sz w:val="24"/>
          <w:szCs w:val="24"/>
          <w:lang w:eastAsia="en-US"/>
        </w:rPr>
        <w:t>Zdroj: MH SR (2016), ŠÚSR (2017)</w:t>
      </w:r>
    </w:p>
    <w:p w14:paraId="5320E7DE" w14:textId="77777777" w:rsidR="0024416E" w:rsidRPr="00A459B8" w:rsidRDefault="0024416E" w:rsidP="0024416E">
      <w:pPr>
        <w:jc w:val="both"/>
        <w:rPr>
          <w:rFonts w:ascii="Calibri" w:eastAsia="Calibri" w:hAnsi="Calibri"/>
          <w:sz w:val="22"/>
          <w:szCs w:val="22"/>
          <w:lang w:eastAsia="en-US"/>
        </w:rPr>
      </w:pPr>
    </w:p>
    <w:p w14:paraId="306C1C98" w14:textId="77777777" w:rsidR="0024416E" w:rsidRDefault="0024416E" w:rsidP="00C675CC">
      <w:pPr>
        <w:jc w:val="both"/>
        <w:rPr>
          <w:rFonts w:eastAsia="Calibri"/>
          <w:sz w:val="24"/>
          <w:szCs w:val="24"/>
          <w:lang w:eastAsia="en-US"/>
        </w:rPr>
      </w:pPr>
      <w:r w:rsidRPr="00A459B8">
        <w:rPr>
          <w:rFonts w:eastAsia="Calibri"/>
          <w:sz w:val="24"/>
          <w:szCs w:val="24"/>
          <w:lang w:eastAsia="en-US"/>
        </w:rPr>
        <w:t xml:space="preserve">Viac detailov je uvedených v 1. kapitole </w:t>
      </w:r>
      <w:r w:rsidRPr="00C675CC">
        <w:rPr>
          <w:rFonts w:eastAsia="Calibri"/>
          <w:sz w:val="24"/>
          <w:szCs w:val="24"/>
          <w:lang w:eastAsia="en-US"/>
        </w:rPr>
        <w:t>Akčného plánu energetickej efektívnosti na roky 2017-2019 s výhľadom do roku 2020</w:t>
      </w:r>
      <w:r w:rsidRPr="00A459B8">
        <w:rPr>
          <w:rFonts w:eastAsia="Calibri"/>
          <w:sz w:val="24"/>
          <w:szCs w:val="24"/>
          <w:lang w:eastAsia="en-US"/>
        </w:rPr>
        <w:t xml:space="preserve">. </w:t>
      </w:r>
    </w:p>
    <w:p w14:paraId="3E91D11B" w14:textId="77777777" w:rsidR="0024416E" w:rsidRDefault="0024416E" w:rsidP="0024416E">
      <w:pPr>
        <w:spacing w:after="200" w:line="276" w:lineRule="auto"/>
        <w:jc w:val="both"/>
        <w:rPr>
          <w:rFonts w:eastAsia="Calibri"/>
          <w:sz w:val="24"/>
          <w:szCs w:val="24"/>
          <w:lang w:eastAsia="en-US"/>
        </w:rPr>
      </w:pPr>
    </w:p>
    <w:p w14:paraId="7B0FC322" w14:textId="77777777" w:rsidR="00993D00" w:rsidRDefault="00993D00" w:rsidP="00DB4347"/>
    <w:sectPr w:rsidR="00993D00" w:rsidSect="008D4D66">
      <w:headerReference w:type="even" r:id="rId11"/>
      <w:footerReference w:type="even" r:id="rId12"/>
      <w:footerReference w:type="default" r:id="rId13"/>
      <w:footerReference w:type="first" r:id="rId14"/>
      <w:pgSz w:w="11906" w:h="16838"/>
      <w:pgMar w:top="1135" w:right="1134" w:bottom="993" w:left="1134"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B7E46" w14:textId="77777777" w:rsidR="007A3F70" w:rsidRDefault="007A3F70" w:rsidP="0024416E">
      <w:r>
        <w:separator/>
      </w:r>
    </w:p>
  </w:endnote>
  <w:endnote w:type="continuationSeparator" w:id="0">
    <w:p w14:paraId="28B444F0" w14:textId="77777777" w:rsidR="007A3F70" w:rsidRDefault="007A3F70" w:rsidP="0024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CF71" w14:textId="77777777" w:rsidR="0024416E" w:rsidRDefault="0024416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6EE920D4" w14:textId="77777777" w:rsidR="0024416E" w:rsidRDefault="0024416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9310" w14:textId="765A277F" w:rsidR="0024416E" w:rsidRPr="00DB4347" w:rsidRDefault="0024416E">
    <w:pPr>
      <w:pStyle w:val="Pta"/>
      <w:jc w:val="right"/>
      <w:rPr>
        <w:rFonts w:ascii="Times New Roman" w:hAnsi="Times New Roman"/>
      </w:rPr>
    </w:pPr>
    <w:r w:rsidRPr="00DB4347">
      <w:rPr>
        <w:rFonts w:ascii="Times New Roman" w:hAnsi="Times New Roman"/>
      </w:rPr>
      <w:fldChar w:fldCharType="begin"/>
    </w:r>
    <w:r w:rsidRPr="00DB4347">
      <w:rPr>
        <w:rFonts w:ascii="Times New Roman" w:hAnsi="Times New Roman"/>
      </w:rPr>
      <w:instrText>PAGE   \* MERGEFORMAT</w:instrText>
    </w:r>
    <w:r w:rsidRPr="00DB4347">
      <w:rPr>
        <w:rFonts w:ascii="Times New Roman" w:hAnsi="Times New Roman"/>
      </w:rPr>
      <w:fldChar w:fldCharType="separate"/>
    </w:r>
    <w:r w:rsidR="00797197">
      <w:rPr>
        <w:rFonts w:ascii="Times New Roman" w:hAnsi="Times New Roman"/>
        <w:noProof/>
      </w:rPr>
      <w:t>2</w:t>
    </w:r>
    <w:r w:rsidRPr="00DB4347">
      <w:rPr>
        <w:rFonts w:ascii="Times New Roman" w:hAnsi="Times New Roman"/>
      </w:rPr>
      <w:fldChar w:fldCharType="end"/>
    </w:r>
  </w:p>
  <w:p w14:paraId="2C699AE4" w14:textId="77777777" w:rsidR="0024416E" w:rsidRDefault="0024416E">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FC50" w14:textId="268248CA" w:rsidR="0024416E" w:rsidRDefault="0024416E">
    <w:pPr>
      <w:pStyle w:val="Pta"/>
      <w:jc w:val="right"/>
    </w:pPr>
    <w:r>
      <w:fldChar w:fldCharType="begin"/>
    </w:r>
    <w:r>
      <w:instrText>PAGE   \* MERGEFORMAT</w:instrText>
    </w:r>
    <w:r>
      <w:fldChar w:fldCharType="separate"/>
    </w:r>
    <w:r w:rsidR="00797197">
      <w:rPr>
        <w:noProof/>
      </w:rPr>
      <w:t>1</w:t>
    </w:r>
    <w:r>
      <w:fldChar w:fldCharType="end"/>
    </w:r>
  </w:p>
  <w:p w14:paraId="07804336" w14:textId="77777777" w:rsidR="0024416E" w:rsidRDefault="002441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A3367" w14:textId="77777777" w:rsidR="007A3F70" w:rsidRDefault="007A3F70" w:rsidP="0024416E">
      <w:r>
        <w:separator/>
      </w:r>
    </w:p>
  </w:footnote>
  <w:footnote w:type="continuationSeparator" w:id="0">
    <w:p w14:paraId="6F609AA7" w14:textId="77777777" w:rsidR="007A3F70" w:rsidRDefault="007A3F70" w:rsidP="0024416E">
      <w:r>
        <w:continuationSeparator/>
      </w:r>
    </w:p>
  </w:footnote>
  <w:footnote w:id="1">
    <w:p w14:paraId="2E401C58" w14:textId="77777777" w:rsidR="0024416E" w:rsidRPr="00272AA8" w:rsidRDefault="0024416E" w:rsidP="0024416E">
      <w:pPr>
        <w:pStyle w:val="Textpoznmkypodiarou"/>
        <w:rPr>
          <w:rFonts w:ascii="Times New Roman" w:hAnsi="Times New Roman"/>
        </w:rPr>
      </w:pPr>
      <w:r w:rsidRPr="00FB1CD2">
        <w:rPr>
          <w:rStyle w:val="Odkaznapoznmkupodiarou"/>
          <w:rFonts w:ascii="Times New Roman" w:hAnsi="Times New Roman"/>
        </w:rPr>
        <w:footnoteRef/>
      </w:r>
      <w:r w:rsidRPr="00FB1CD2">
        <w:rPr>
          <w:rFonts w:ascii="Times New Roman" w:hAnsi="Times New Roman"/>
        </w:rPr>
        <w:t xml:space="preserve"> </w:t>
      </w:r>
      <w:r w:rsidRPr="00272AA8">
        <w:rPr>
          <w:rFonts w:ascii="Times New Roman" w:hAnsi="Times New Roman"/>
        </w:rPr>
        <w:t xml:space="preserve">Energetická spotreba sa pre položku Obchod a služby samostatne nezisťuje, ale sa dopočítava zo všetkých ostatných údajov. Z tohto dôvodu sa tu prejavia aj odchýlky z iných odvetví.  </w:t>
      </w:r>
    </w:p>
  </w:footnote>
  <w:footnote w:id="2">
    <w:p w14:paraId="6C8C2133" w14:textId="77777777" w:rsidR="0024416E" w:rsidRPr="00FB1CD2" w:rsidRDefault="0024416E" w:rsidP="0024416E">
      <w:pPr>
        <w:pStyle w:val="Textpoznmkypodiarou"/>
        <w:jc w:val="both"/>
        <w:rPr>
          <w:rFonts w:ascii="Times New Roman" w:hAnsi="Times New Roman"/>
        </w:rPr>
      </w:pPr>
      <w:r w:rsidRPr="00FB1CD2">
        <w:rPr>
          <w:rStyle w:val="Odkaznapoznmkupodiarou"/>
          <w:rFonts w:ascii="Times New Roman" w:hAnsi="Times New Roman"/>
        </w:rPr>
        <w:footnoteRef/>
      </w:r>
      <w:r w:rsidRPr="00FB1CD2">
        <w:rPr>
          <w:rFonts w:ascii="Times New Roman" w:hAnsi="Times New Roman"/>
        </w:rPr>
        <w:t xml:space="preserve"> Údaje budú doplnené na základe údajov poskytnutých podľa § 10 ods. 8 zákona č. 321/2014 Z. z. o energetickej efektívnosti </w:t>
      </w:r>
    </w:p>
  </w:footnote>
  <w:footnote w:id="3">
    <w:p w14:paraId="56E29B6F" w14:textId="77777777" w:rsidR="0024416E" w:rsidRPr="00FB1CD2" w:rsidRDefault="0024416E" w:rsidP="0024416E">
      <w:pPr>
        <w:pStyle w:val="Textpoznmkypodiarou"/>
        <w:jc w:val="both"/>
        <w:rPr>
          <w:rFonts w:ascii="Times New Roman" w:hAnsi="Times New Roman"/>
        </w:rPr>
      </w:pPr>
      <w:r w:rsidRPr="00FB1CD2">
        <w:rPr>
          <w:rStyle w:val="Odkaznapoznmkupodiarou"/>
          <w:rFonts w:ascii="Times New Roman" w:hAnsi="Times New Roman"/>
        </w:rPr>
        <w:footnoteRef/>
      </w:r>
      <w:r w:rsidRPr="00FB1CD2">
        <w:rPr>
          <w:rFonts w:ascii="Times New Roman" w:hAnsi="Times New Roman"/>
        </w:rPr>
        <w:t xml:space="preserve"> Údaje budú aktualizované na základe údajov poskytnutých podľa § 10 ods. 8 zákona č. 321/2014 Z. z. o energetickej efektívnosti </w:t>
      </w:r>
    </w:p>
  </w:footnote>
  <w:footnote w:id="4">
    <w:p w14:paraId="4E71DF8B" w14:textId="77777777" w:rsidR="0024416E" w:rsidRPr="00272AA8" w:rsidRDefault="0024416E" w:rsidP="0024416E">
      <w:pPr>
        <w:pStyle w:val="Textpoznmkypodiarou"/>
        <w:jc w:val="both"/>
        <w:rPr>
          <w:rFonts w:ascii="Times New Roman" w:hAnsi="Times New Roman"/>
        </w:rPr>
      </w:pPr>
      <w:r w:rsidRPr="00FB1CD2">
        <w:rPr>
          <w:rStyle w:val="Odkaznapoznmkupodiarou"/>
          <w:rFonts w:ascii="Times New Roman" w:hAnsi="Times New Roman"/>
        </w:rPr>
        <w:footnoteRef/>
      </w:r>
      <w:r w:rsidRPr="00FB1CD2">
        <w:rPr>
          <w:rFonts w:ascii="Times New Roman" w:hAnsi="Times New Roman"/>
        </w:rPr>
        <w:t xml:space="preserve"> </w:t>
      </w:r>
      <w:r w:rsidRPr="00272AA8">
        <w:rPr>
          <w:rFonts w:ascii="Times New Roman" w:hAnsi="Times New Roman"/>
        </w:rPr>
        <w:t xml:space="preserve">Notifikačná správa k alternatívnemu prístupu podľa článku 5 smernice 2012/27/EÚ o energetickej  efektívnosti. Správa zaslaná Európskej komisii dňa 27.12.2013.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0796E" w14:textId="77777777" w:rsidR="0024416E" w:rsidRDefault="0024416E" w:rsidP="00BB7586">
    <w:pPr>
      <w:pStyle w:val="Hlavika"/>
      <w:jc w:val="right"/>
      <w:rPr>
        <w:sz w:val="24"/>
        <w:szCs w:val="24"/>
      </w:rPr>
    </w:pPr>
    <w:r>
      <w:rPr>
        <w:sz w:val="24"/>
        <w:szCs w:val="24"/>
      </w:rPr>
      <w:t>Príloha č. 2</w:t>
    </w:r>
  </w:p>
  <w:p w14:paraId="4C8F35D2" w14:textId="77777777" w:rsidR="0024416E" w:rsidRPr="00EB59C8" w:rsidRDefault="0024416E" w:rsidP="00BB7586">
    <w:pPr>
      <w:pStyle w:val="Hlavika"/>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01B"/>
    <w:multiLevelType w:val="hybridMultilevel"/>
    <w:tmpl w:val="94945F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F7554F"/>
    <w:multiLevelType w:val="hybridMultilevel"/>
    <w:tmpl w:val="EAB84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413839"/>
    <w:multiLevelType w:val="hybridMultilevel"/>
    <w:tmpl w:val="1102E3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786969"/>
    <w:multiLevelType w:val="hybridMultilevel"/>
    <w:tmpl w:val="B1F802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8442D4"/>
    <w:multiLevelType w:val="multilevel"/>
    <w:tmpl w:val="A08453AE"/>
    <w:lvl w:ilvl="0">
      <w:start w:val="1"/>
      <w:numFmt w:val="upperLetter"/>
      <w:pStyle w:val="Heading1orobas"/>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i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B925D5A"/>
    <w:multiLevelType w:val="hybridMultilevel"/>
    <w:tmpl w:val="5114DA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712312B"/>
    <w:multiLevelType w:val="hybridMultilevel"/>
    <w:tmpl w:val="09EAD5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CCB16EE"/>
    <w:multiLevelType w:val="hybridMultilevel"/>
    <w:tmpl w:val="344EFC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178093D"/>
    <w:multiLevelType w:val="hybridMultilevel"/>
    <w:tmpl w:val="FFB436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DC1E02"/>
    <w:multiLevelType w:val="hybridMultilevel"/>
    <w:tmpl w:val="8F1CB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 w15:restartNumberingAfterBreak="0">
    <w:nsid w:val="7E850BC1"/>
    <w:multiLevelType w:val="hybridMultilevel"/>
    <w:tmpl w:val="49CEE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0"/>
  </w:num>
  <w:num w:numId="5">
    <w:abstractNumId w:val="9"/>
  </w:num>
  <w:num w:numId="6">
    <w:abstractNumId w:val="5"/>
  </w:num>
  <w:num w:numId="7">
    <w:abstractNumId w:val="3"/>
  </w:num>
  <w:num w:numId="8">
    <w:abstractNumId w:val="7"/>
  </w:num>
  <w:num w:numId="9">
    <w:abstractNumId w:val="2"/>
  </w:num>
  <w:num w:numId="10">
    <w:abstractNumId w:val="8"/>
  </w:num>
  <w:num w:numId="11">
    <w:abstractNumId w:val="0"/>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6E"/>
    <w:rsid w:val="00075A67"/>
    <w:rsid w:val="0024416E"/>
    <w:rsid w:val="0027276B"/>
    <w:rsid w:val="00353128"/>
    <w:rsid w:val="004A39BC"/>
    <w:rsid w:val="005802FD"/>
    <w:rsid w:val="005D4D49"/>
    <w:rsid w:val="005F40CE"/>
    <w:rsid w:val="00690E45"/>
    <w:rsid w:val="006C2DBC"/>
    <w:rsid w:val="00797197"/>
    <w:rsid w:val="007A3F70"/>
    <w:rsid w:val="007B11CD"/>
    <w:rsid w:val="00885CEA"/>
    <w:rsid w:val="008978D6"/>
    <w:rsid w:val="008D4D66"/>
    <w:rsid w:val="00931A63"/>
    <w:rsid w:val="00993D00"/>
    <w:rsid w:val="00A65960"/>
    <w:rsid w:val="00BB4849"/>
    <w:rsid w:val="00BC53EA"/>
    <w:rsid w:val="00C675CC"/>
    <w:rsid w:val="00DB4347"/>
    <w:rsid w:val="00F114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1E96"/>
  <w15:chartTrackingRefBased/>
  <w15:docId w15:val="{9182D5D6-7BCB-4548-BFA2-A866E37E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416E"/>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24416E"/>
    <w:pPr>
      <w:keepNext/>
      <w:outlineLvl w:val="0"/>
    </w:pPr>
    <w:rPr>
      <w:sz w:val="24"/>
    </w:rPr>
  </w:style>
  <w:style w:type="paragraph" w:styleId="Nadpis2">
    <w:name w:val="heading 2"/>
    <w:basedOn w:val="Normlny"/>
    <w:next w:val="Normlny"/>
    <w:link w:val="Nadpis2Char"/>
    <w:uiPriority w:val="9"/>
    <w:qFormat/>
    <w:rsid w:val="0024416E"/>
    <w:pPr>
      <w:keepNext/>
      <w:jc w:val="center"/>
      <w:outlineLvl w:val="1"/>
    </w:pPr>
    <w:rPr>
      <w:sz w:val="24"/>
    </w:rPr>
  </w:style>
  <w:style w:type="paragraph" w:styleId="Nadpis3">
    <w:name w:val="heading 3"/>
    <w:basedOn w:val="Normlny"/>
    <w:next w:val="Normlny"/>
    <w:link w:val="Nadpis3Char"/>
    <w:uiPriority w:val="9"/>
    <w:unhideWhenUsed/>
    <w:qFormat/>
    <w:rsid w:val="0024416E"/>
    <w:pPr>
      <w:keepNext/>
      <w:spacing w:before="240" w:after="60"/>
      <w:outlineLvl w:val="2"/>
    </w:pPr>
    <w:rPr>
      <w:rFonts w:ascii="Calibri Light" w:hAnsi="Calibri Light"/>
      <w:b/>
      <w:bCs/>
      <w:sz w:val="26"/>
      <w:szCs w:val="26"/>
    </w:rPr>
  </w:style>
  <w:style w:type="paragraph" w:styleId="Nadpis4">
    <w:name w:val="heading 4"/>
    <w:basedOn w:val="Normlny"/>
    <w:next w:val="Normlny"/>
    <w:link w:val="Nadpis4Char"/>
    <w:uiPriority w:val="9"/>
    <w:unhideWhenUsed/>
    <w:qFormat/>
    <w:rsid w:val="0024416E"/>
    <w:pPr>
      <w:keepNext/>
      <w:spacing w:before="240" w:after="60"/>
      <w:outlineLvl w:val="3"/>
    </w:pPr>
    <w:rPr>
      <w:rFonts w:ascii="Calibri" w:hAnsi="Calibri"/>
      <w:b/>
      <w:bCs/>
      <w:sz w:val="28"/>
      <w:szCs w:val="28"/>
    </w:rPr>
  </w:style>
  <w:style w:type="paragraph" w:styleId="Nadpis7">
    <w:name w:val="heading 7"/>
    <w:basedOn w:val="Normlny"/>
    <w:next w:val="Normlny"/>
    <w:link w:val="Nadpis7Char"/>
    <w:uiPriority w:val="9"/>
    <w:qFormat/>
    <w:rsid w:val="0024416E"/>
    <w:pPr>
      <w:keepNext/>
      <w:ind w:firstLine="11"/>
      <w:outlineLvl w:val="6"/>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4416E"/>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
    <w:rsid w:val="0024416E"/>
    <w:rPr>
      <w:rFonts w:ascii="Times New Roman" w:eastAsia="Times New Roman" w:hAnsi="Times New Roman" w:cs="Times New Roman"/>
      <w:sz w:val="24"/>
      <w:szCs w:val="20"/>
      <w:lang w:eastAsia="sk-SK"/>
    </w:rPr>
  </w:style>
  <w:style w:type="character" w:customStyle="1" w:styleId="Nadpis3Char">
    <w:name w:val="Nadpis 3 Char"/>
    <w:basedOn w:val="Predvolenpsmoodseku"/>
    <w:link w:val="Nadpis3"/>
    <w:uiPriority w:val="9"/>
    <w:rsid w:val="0024416E"/>
    <w:rPr>
      <w:rFonts w:ascii="Calibri Light" w:eastAsia="Times New Roman" w:hAnsi="Calibri Light" w:cs="Times New Roman"/>
      <w:b/>
      <w:bCs/>
      <w:sz w:val="26"/>
      <w:szCs w:val="26"/>
      <w:lang w:eastAsia="sk-SK"/>
    </w:rPr>
  </w:style>
  <w:style w:type="character" w:customStyle="1" w:styleId="Nadpis4Char">
    <w:name w:val="Nadpis 4 Char"/>
    <w:basedOn w:val="Predvolenpsmoodseku"/>
    <w:link w:val="Nadpis4"/>
    <w:uiPriority w:val="9"/>
    <w:rsid w:val="0024416E"/>
    <w:rPr>
      <w:rFonts w:ascii="Calibri" w:eastAsia="Times New Roman" w:hAnsi="Calibri" w:cs="Times New Roman"/>
      <w:b/>
      <w:bCs/>
      <w:sz w:val="28"/>
      <w:szCs w:val="28"/>
      <w:lang w:eastAsia="sk-SK"/>
    </w:rPr>
  </w:style>
  <w:style w:type="character" w:customStyle="1" w:styleId="Nadpis7Char">
    <w:name w:val="Nadpis 7 Char"/>
    <w:basedOn w:val="Predvolenpsmoodseku"/>
    <w:link w:val="Nadpis7"/>
    <w:uiPriority w:val="9"/>
    <w:rsid w:val="0024416E"/>
    <w:rPr>
      <w:rFonts w:ascii="Times New Roman" w:eastAsia="Times New Roman" w:hAnsi="Times New Roman" w:cs="Times New Roman"/>
      <w:sz w:val="24"/>
      <w:szCs w:val="20"/>
      <w:lang w:eastAsia="sk-SK"/>
    </w:rPr>
  </w:style>
  <w:style w:type="paragraph" w:styleId="Nzov">
    <w:name w:val="Title"/>
    <w:basedOn w:val="Normlny"/>
    <w:link w:val="NzovChar"/>
    <w:uiPriority w:val="10"/>
    <w:qFormat/>
    <w:rsid w:val="0024416E"/>
    <w:pPr>
      <w:jc w:val="center"/>
    </w:pPr>
    <w:rPr>
      <w:sz w:val="28"/>
    </w:rPr>
  </w:style>
  <w:style w:type="character" w:customStyle="1" w:styleId="NzovChar">
    <w:name w:val="Názov Char"/>
    <w:basedOn w:val="Predvolenpsmoodseku"/>
    <w:link w:val="Nzov"/>
    <w:uiPriority w:val="10"/>
    <w:rsid w:val="0024416E"/>
    <w:rPr>
      <w:rFonts w:ascii="Times New Roman" w:eastAsia="Times New Roman" w:hAnsi="Times New Roman" w:cs="Times New Roman"/>
      <w:sz w:val="28"/>
      <w:szCs w:val="20"/>
      <w:lang w:eastAsia="sk-SK"/>
    </w:rPr>
  </w:style>
  <w:style w:type="paragraph" w:styleId="Zkladntext">
    <w:name w:val="Body Text"/>
    <w:basedOn w:val="Normlny"/>
    <w:link w:val="ZkladntextChar"/>
    <w:rsid w:val="0024416E"/>
    <w:rPr>
      <w:b/>
      <w:sz w:val="24"/>
    </w:rPr>
  </w:style>
  <w:style w:type="character" w:customStyle="1" w:styleId="ZkladntextChar">
    <w:name w:val="Základný text Char"/>
    <w:basedOn w:val="Predvolenpsmoodseku"/>
    <w:link w:val="Zkladntext"/>
    <w:rsid w:val="0024416E"/>
    <w:rPr>
      <w:rFonts w:ascii="Times New Roman" w:eastAsia="Times New Roman" w:hAnsi="Times New Roman" w:cs="Times New Roman"/>
      <w:b/>
      <w:sz w:val="24"/>
      <w:szCs w:val="20"/>
      <w:lang w:eastAsia="sk-SK"/>
    </w:rPr>
  </w:style>
  <w:style w:type="paragraph" w:styleId="Zkladntext2">
    <w:name w:val="Body Text 2"/>
    <w:basedOn w:val="Normlny"/>
    <w:link w:val="Zkladntext2Char"/>
    <w:semiHidden/>
    <w:rsid w:val="0024416E"/>
    <w:rPr>
      <w:sz w:val="24"/>
    </w:rPr>
  </w:style>
  <w:style w:type="character" w:customStyle="1" w:styleId="Zkladntext2Char">
    <w:name w:val="Základný text 2 Char"/>
    <w:basedOn w:val="Predvolenpsmoodseku"/>
    <w:link w:val="Zkladntext2"/>
    <w:semiHidden/>
    <w:rsid w:val="0024416E"/>
    <w:rPr>
      <w:rFonts w:ascii="Times New Roman" w:eastAsia="Times New Roman" w:hAnsi="Times New Roman" w:cs="Times New Roman"/>
      <w:sz w:val="24"/>
      <w:szCs w:val="20"/>
      <w:lang w:eastAsia="sk-SK"/>
    </w:rPr>
  </w:style>
  <w:style w:type="numbering" w:customStyle="1" w:styleId="Bezzoznamu1">
    <w:name w:val="Bez zoznamu1"/>
    <w:next w:val="Bezzoznamu"/>
    <w:uiPriority w:val="99"/>
    <w:semiHidden/>
    <w:unhideWhenUsed/>
    <w:rsid w:val="0024416E"/>
  </w:style>
  <w:style w:type="paragraph" w:styleId="Odsekzoznamu">
    <w:name w:val="List Paragraph"/>
    <w:basedOn w:val="Normlny"/>
    <w:uiPriority w:val="34"/>
    <w:qFormat/>
    <w:rsid w:val="0024416E"/>
    <w:pPr>
      <w:spacing w:after="200" w:line="276" w:lineRule="auto"/>
      <w:ind w:left="720"/>
      <w:contextualSpacing/>
    </w:pPr>
    <w:rPr>
      <w:rFonts w:ascii="Calibri" w:eastAsia="Calibri" w:hAnsi="Calibri"/>
      <w:sz w:val="22"/>
      <w:szCs w:val="22"/>
      <w:lang w:eastAsia="en-US"/>
    </w:rPr>
  </w:style>
  <w:style w:type="table" w:styleId="Mriekatabuky">
    <w:name w:val="Table Grid"/>
    <w:basedOn w:val="Normlnatabuka"/>
    <w:uiPriority w:val="59"/>
    <w:rsid w:val="0024416E"/>
    <w:pPr>
      <w:widowControl w:val="0"/>
      <w:spacing w:after="0" w:line="36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24416E"/>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uiPriority w:val="99"/>
    <w:semiHidden/>
    <w:unhideWhenUsed/>
    <w:rsid w:val="0024416E"/>
    <w:rPr>
      <w:rFonts w:ascii="Tahoma" w:eastAsia="Calibri" w:hAnsi="Tahoma" w:cs="Tahoma"/>
      <w:sz w:val="16"/>
      <w:szCs w:val="16"/>
      <w:lang w:eastAsia="en-US"/>
    </w:rPr>
  </w:style>
  <w:style w:type="character" w:customStyle="1" w:styleId="TextbublinyChar">
    <w:name w:val="Text bubliny Char"/>
    <w:basedOn w:val="Predvolenpsmoodseku"/>
    <w:link w:val="Textbubliny"/>
    <w:uiPriority w:val="99"/>
    <w:semiHidden/>
    <w:rsid w:val="0024416E"/>
    <w:rPr>
      <w:rFonts w:ascii="Tahoma" w:eastAsia="Calibri" w:hAnsi="Tahoma" w:cs="Tahoma"/>
      <w:sz w:val="16"/>
      <w:szCs w:val="16"/>
    </w:rPr>
  </w:style>
  <w:style w:type="character" w:styleId="Odkaznakomentr">
    <w:name w:val="annotation reference"/>
    <w:uiPriority w:val="99"/>
    <w:semiHidden/>
    <w:unhideWhenUsed/>
    <w:rsid w:val="0024416E"/>
    <w:rPr>
      <w:sz w:val="16"/>
      <w:szCs w:val="16"/>
    </w:rPr>
  </w:style>
  <w:style w:type="paragraph" w:styleId="Textkomentra">
    <w:name w:val="annotation text"/>
    <w:basedOn w:val="Normlny"/>
    <w:link w:val="TextkomentraChar"/>
    <w:uiPriority w:val="99"/>
    <w:unhideWhenUsed/>
    <w:rsid w:val="0024416E"/>
    <w:pPr>
      <w:spacing w:after="200"/>
    </w:pPr>
    <w:rPr>
      <w:rFonts w:ascii="Calibri" w:eastAsia="Calibri" w:hAnsi="Calibri"/>
      <w:lang w:eastAsia="en-US"/>
    </w:rPr>
  </w:style>
  <w:style w:type="character" w:customStyle="1" w:styleId="TextkomentraChar">
    <w:name w:val="Text komentára Char"/>
    <w:basedOn w:val="Predvolenpsmoodseku"/>
    <w:link w:val="Textkomentra"/>
    <w:uiPriority w:val="99"/>
    <w:rsid w:val="0024416E"/>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24416E"/>
    <w:rPr>
      <w:b/>
      <w:bCs/>
    </w:rPr>
  </w:style>
  <w:style w:type="character" w:customStyle="1" w:styleId="PredmetkomentraChar">
    <w:name w:val="Predmet komentára Char"/>
    <w:basedOn w:val="TextkomentraChar"/>
    <w:link w:val="Predmetkomentra"/>
    <w:uiPriority w:val="99"/>
    <w:semiHidden/>
    <w:rsid w:val="0024416E"/>
    <w:rPr>
      <w:rFonts w:ascii="Calibri" w:eastAsia="Calibri" w:hAnsi="Calibri" w:cs="Times New Roman"/>
      <w:b/>
      <w:bCs/>
      <w:sz w:val="20"/>
      <w:szCs w:val="20"/>
    </w:rPr>
  </w:style>
  <w:style w:type="paragraph" w:styleId="Hlavika">
    <w:name w:val="header"/>
    <w:basedOn w:val="Normlny"/>
    <w:link w:val="HlavikaChar"/>
    <w:uiPriority w:val="99"/>
    <w:unhideWhenUsed/>
    <w:rsid w:val="0024416E"/>
    <w:pPr>
      <w:tabs>
        <w:tab w:val="center" w:pos="4536"/>
        <w:tab w:val="right" w:pos="9072"/>
      </w:tabs>
    </w:pPr>
    <w:rPr>
      <w:rFonts w:ascii="Calibri" w:eastAsia="Calibri" w:hAnsi="Calibri"/>
      <w:sz w:val="22"/>
      <w:szCs w:val="22"/>
      <w:lang w:eastAsia="en-US"/>
    </w:rPr>
  </w:style>
  <w:style w:type="character" w:customStyle="1" w:styleId="HlavikaChar">
    <w:name w:val="Hlavička Char"/>
    <w:basedOn w:val="Predvolenpsmoodseku"/>
    <w:link w:val="Hlavika"/>
    <w:uiPriority w:val="99"/>
    <w:rsid w:val="0024416E"/>
    <w:rPr>
      <w:rFonts w:ascii="Calibri" w:eastAsia="Calibri" w:hAnsi="Calibri" w:cs="Times New Roman"/>
    </w:rPr>
  </w:style>
  <w:style w:type="paragraph" w:styleId="Pta">
    <w:name w:val="footer"/>
    <w:basedOn w:val="Normlny"/>
    <w:link w:val="PtaChar"/>
    <w:uiPriority w:val="99"/>
    <w:unhideWhenUsed/>
    <w:rsid w:val="0024416E"/>
    <w:pPr>
      <w:tabs>
        <w:tab w:val="center" w:pos="4536"/>
        <w:tab w:val="right" w:pos="9072"/>
      </w:tabs>
    </w:pPr>
    <w:rPr>
      <w:rFonts w:ascii="Calibri" w:eastAsia="Calibri" w:hAnsi="Calibri"/>
      <w:sz w:val="22"/>
      <w:szCs w:val="22"/>
      <w:lang w:eastAsia="en-US"/>
    </w:rPr>
  </w:style>
  <w:style w:type="character" w:customStyle="1" w:styleId="PtaChar">
    <w:name w:val="Päta Char"/>
    <w:basedOn w:val="Predvolenpsmoodseku"/>
    <w:link w:val="Pta"/>
    <w:uiPriority w:val="99"/>
    <w:rsid w:val="0024416E"/>
    <w:rPr>
      <w:rFonts w:ascii="Calibri" w:eastAsia="Calibri" w:hAnsi="Calibri" w:cs="Times New Roman"/>
    </w:rPr>
  </w:style>
  <w:style w:type="paragraph" w:styleId="Revzia">
    <w:name w:val="Revision"/>
    <w:hidden/>
    <w:uiPriority w:val="99"/>
    <w:semiHidden/>
    <w:rsid w:val="0024416E"/>
    <w:pPr>
      <w:spacing w:after="0" w:line="240" w:lineRule="auto"/>
    </w:pPr>
    <w:rPr>
      <w:rFonts w:ascii="Calibri" w:eastAsia="Calibri" w:hAnsi="Calibri" w:cs="Times New Roman"/>
    </w:rPr>
  </w:style>
  <w:style w:type="paragraph" w:customStyle="1" w:styleId="Default">
    <w:name w:val="Default"/>
    <w:basedOn w:val="Normlny"/>
    <w:rsid w:val="0024416E"/>
    <w:pPr>
      <w:autoSpaceDE w:val="0"/>
      <w:autoSpaceDN w:val="0"/>
    </w:pPr>
    <w:rPr>
      <w:rFonts w:ascii="EUAlbertina" w:hAnsi="EUAlbertina"/>
      <w:color w:val="000000"/>
      <w:sz w:val="24"/>
      <w:szCs w:val="24"/>
    </w:rPr>
  </w:style>
  <w:style w:type="paragraph" w:customStyle="1" w:styleId="Titreobjet">
    <w:name w:val="Titre objet"/>
    <w:basedOn w:val="Normlny"/>
    <w:next w:val="Normlny"/>
    <w:rsid w:val="0024416E"/>
    <w:pPr>
      <w:spacing w:before="360" w:after="360"/>
      <w:jc w:val="center"/>
    </w:pPr>
    <w:rPr>
      <w:b/>
      <w:sz w:val="24"/>
      <w:szCs w:val="22"/>
      <w:lang w:eastAsia="en-GB"/>
    </w:rPr>
  </w:style>
  <w:style w:type="paragraph" w:customStyle="1" w:styleId="Datedadoption">
    <w:name w:val="Date d'adoption"/>
    <w:basedOn w:val="Normlny"/>
    <w:next w:val="Titreobjet"/>
    <w:rsid w:val="0024416E"/>
    <w:pPr>
      <w:spacing w:before="360"/>
      <w:jc w:val="center"/>
    </w:pPr>
    <w:rPr>
      <w:b/>
      <w:sz w:val="24"/>
      <w:szCs w:val="22"/>
      <w:lang w:eastAsia="en-GB"/>
    </w:rPr>
  </w:style>
  <w:style w:type="paragraph" w:customStyle="1" w:styleId="Typedudocument">
    <w:name w:val="Type du document"/>
    <w:basedOn w:val="Normlny"/>
    <w:next w:val="Titreobjet"/>
    <w:rsid w:val="0024416E"/>
    <w:pPr>
      <w:spacing w:before="360"/>
      <w:jc w:val="center"/>
    </w:pPr>
    <w:rPr>
      <w:b/>
      <w:sz w:val="24"/>
      <w:szCs w:val="22"/>
      <w:lang w:eastAsia="en-GB"/>
    </w:rPr>
  </w:style>
  <w:style w:type="character" w:customStyle="1" w:styleId="Marker2">
    <w:name w:val="Marker2"/>
    <w:rsid w:val="0024416E"/>
    <w:rPr>
      <w:color w:val="FF0000"/>
    </w:rPr>
  </w:style>
  <w:style w:type="paragraph" w:styleId="Textpoznmkypodiarou">
    <w:name w:val="footnote text"/>
    <w:aliases w:val="Footnote Text Char,Znak"/>
    <w:basedOn w:val="Normlny"/>
    <w:link w:val="TextpoznmkypodiarouChar"/>
    <w:uiPriority w:val="99"/>
    <w:unhideWhenUsed/>
    <w:rsid w:val="0024416E"/>
    <w:rPr>
      <w:rFonts w:ascii="Calibri" w:eastAsia="Calibri" w:hAnsi="Calibri"/>
      <w:lang w:eastAsia="en-US"/>
    </w:rPr>
  </w:style>
  <w:style w:type="character" w:customStyle="1" w:styleId="TextpoznmkypodiarouChar">
    <w:name w:val="Text poznámky pod čiarou Char"/>
    <w:aliases w:val="Footnote Text Char Char,Znak Char"/>
    <w:basedOn w:val="Predvolenpsmoodseku"/>
    <w:link w:val="Textpoznmkypodiarou"/>
    <w:uiPriority w:val="99"/>
    <w:rsid w:val="0024416E"/>
    <w:rPr>
      <w:rFonts w:ascii="Calibri" w:eastAsia="Calibri" w:hAnsi="Calibri" w:cs="Times New Roman"/>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uiPriority w:val="99"/>
    <w:unhideWhenUsed/>
    <w:rsid w:val="0024416E"/>
    <w:rPr>
      <w:vertAlign w:val="superscript"/>
    </w:rPr>
  </w:style>
  <w:style w:type="paragraph" w:customStyle="1" w:styleId="CM1">
    <w:name w:val="CM1"/>
    <w:basedOn w:val="Default"/>
    <w:next w:val="Default"/>
    <w:uiPriority w:val="99"/>
    <w:rsid w:val="0024416E"/>
    <w:pPr>
      <w:adjustRightInd w:val="0"/>
    </w:pPr>
    <w:rPr>
      <w:rFonts w:eastAsia="Calibri"/>
      <w:color w:val="auto"/>
      <w:lang w:eastAsia="en-US"/>
    </w:rPr>
  </w:style>
  <w:style w:type="paragraph" w:customStyle="1" w:styleId="CM3">
    <w:name w:val="CM3"/>
    <w:basedOn w:val="Default"/>
    <w:next w:val="Default"/>
    <w:uiPriority w:val="99"/>
    <w:rsid w:val="0024416E"/>
    <w:pPr>
      <w:adjustRightInd w:val="0"/>
    </w:pPr>
    <w:rPr>
      <w:rFonts w:eastAsia="Calibri"/>
      <w:color w:val="auto"/>
      <w:lang w:eastAsia="en-US"/>
    </w:rPr>
  </w:style>
  <w:style w:type="numbering" w:customStyle="1" w:styleId="Bezzoznamu2">
    <w:name w:val="Bez zoznamu2"/>
    <w:next w:val="Bezzoznamu"/>
    <w:uiPriority w:val="99"/>
    <w:semiHidden/>
    <w:unhideWhenUsed/>
    <w:rsid w:val="0024416E"/>
  </w:style>
  <w:style w:type="numbering" w:customStyle="1" w:styleId="Bezzoznamu3">
    <w:name w:val="Bez zoznamu3"/>
    <w:next w:val="Bezzoznamu"/>
    <w:uiPriority w:val="99"/>
    <w:semiHidden/>
    <w:unhideWhenUsed/>
    <w:rsid w:val="0024416E"/>
  </w:style>
  <w:style w:type="table" w:customStyle="1" w:styleId="Mriekatabuky1">
    <w:name w:val="Mriežka tabuľky1"/>
    <w:basedOn w:val="Normlnatabuka"/>
    <w:next w:val="Mriekatabuky"/>
    <w:uiPriority w:val="59"/>
    <w:rsid w:val="0024416E"/>
    <w:pPr>
      <w:widowControl w:val="0"/>
      <w:spacing w:after="0" w:line="36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24416E"/>
  </w:style>
  <w:style w:type="paragraph" w:styleId="Normlnywebov">
    <w:name w:val="Normal (Web)"/>
    <w:basedOn w:val="Normlny"/>
    <w:uiPriority w:val="99"/>
    <w:unhideWhenUsed/>
    <w:rsid w:val="0024416E"/>
    <w:pPr>
      <w:spacing w:before="100" w:beforeAutospacing="1" w:after="100" w:afterAutospacing="1"/>
    </w:pPr>
    <w:rPr>
      <w:sz w:val="24"/>
      <w:szCs w:val="24"/>
    </w:rPr>
  </w:style>
  <w:style w:type="paragraph" w:customStyle="1" w:styleId="Heading1orobas">
    <w:name w:val="Heading 1.Čo robí (časť)"/>
    <w:basedOn w:val="Normlny"/>
    <w:next w:val="Normlny"/>
    <w:rsid w:val="0024416E"/>
    <w:pPr>
      <w:keepNext/>
      <w:numPr>
        <w:numId w:val="1"/>
      </w:numPr>
      <w:spacing w:before="360"/>
    </w:pPr>
    <w:rPr>
      <w:b/>
      <w:bCs/>
      <w:kern w:val="32"/>
      <w:sz w:val="28"/>
      <w:szCs w:val="28"/>
      <w:lang w:eastAsia="en-US"/>
    </w:rPr>
  </w:style>
  <w:style w:type="paragraph" w:customStyle="1" w:styleId="Heading2loha">
    <w:name w:val="Heading 2.Úloha"/>
    <w:basedOn w:val="Normlny"/>
    <w:rsid w:val="0024416E"/>
    <w:pPr>
      <w:numPr>
        <w:ilvl w:val="1"/>
        <w:numId w:val="1"/>
      </w:numPr>
      <w:spacing w:before="120"/>
      <w:jc w:val="both"/>
    </w:pPr>
    <w:rPr>
      <w:sz w:val="24"/>
      <w:szCs w:val="24"/>
      <w:lang w:eastAsia="en-US"/>
    </w:rPr>
  </w:style>
  <w:style w:type="paragraph" w:customStyle="1" w:styleId="Vykonaj">
    <w:name w:val="Vykonajú"/>
    <w:basedOn w:val="Normlny"/>
    <w:next w:val="Vykonajzoznam"/>
    <w:rsid w:val="0024416E"/>
    <w:pPr>
      <w:keepNext/>
      <w:spacing w:before="360"/>
    </w:pPr>
    <w:rPr>
      <w:b/>
      <w:bCs/>
      <w:sz w:val="24"/>
      <w:szCs w:val="24"/>
      <w:lang w:eastAsia="en-US"/>
    </w:rPr>
  </w:style>
  <w:style w:type="paragraph" w:customStyle="1" w:styleId="Vykonajzoznam">
    <w:name w:val="Vykonajú_zoznam"/>
    <w:basedOn w:val="Normlny"/>
    <w:rsid w:val="0024416E"/>
    <w:pPr>
      <w:ind w:left="1418"/>
    </w:pPr>
    <w:rPr>
      <w:sz w:val="24"/>
      <w:szCs w:val="24"/>
      <w:lang w:eastAsia="en-US"/>
    </w:rPr>
  </w:style>
  <w:style w:type="character" w:styleId="Hypertextovprepojenie">
    <w:name w:val="Hyperlink"/>
    <w:uiPriority w:val="99"/>
    <w:unhideWhenUsed/>
    <w:rsid w:val="0024416E"/>
    <w:rPr>
      <w:color w:val="0000FF"/>
      <w:u w:val="single"/>
    </w:rPr>
  </w:style>
  <w:style w:type="paragraph" w:styleId="Obsah1">
    <w:name w:val="toc 1"/>
    <w:basedOn w:val="Normlny"/>
    <w:next w:val="Normlny"/>
    <w:autoRedefine/>
    <w:uiPriority w:val="39"/>
    <w:unhideWhenUsed/>
    <w:rsid w:val="0024416E"/>
    <w:pPr>
      <w:spacing w:after="100" w:line="276" w:lineRule="auto"/>
    </w:pPr>
    <w:rPr>
      <w:rFonts w:ascii="Calibri" w:eastAsia="Calibri" w:hAnsi="Calibri"/>
      <w:sz w:val="22"/>
      <w:szCs w:val="22"/>
      <w:lang w:eastAsia="en-US"/>
    </w:rPr>
  </w:style>
  <w:style w:type="paragraph" w:styleId="Obsah2">
    <w:name w:val="toc 2"/>
    <w:basedOn w:val="Normlny"/>
    <w:next w:val="Normlny"/>
    <w:autoRedefine/>
    <w:uiPriority w:val="39"/>
    <w:unhideWhenUsed/>
    <w:rsid w:val="0024416E"/>
    <w:pPr>
      <w:spacing w:after="100" w:line="276" w:lineRule="auto"/>
      <w:ind w:left="220"/>
    </w:pPr>
    <w:rPr>
      <w:rFonts w:ascii="Calibri" w:eastAsia="Calibri" w:hAnsi="Calibri"/>
      <w:sz w:val="22"/>
      <w:szCs w:val="22"/>
      <w:lang w:eastAsia="en-US"/>
    </w:rPr>
  </w:style>
  <w:style w:type="paragraph" w:styleId="Obsah3">
    <w:name w:val="toc 3"/>
    <w:basedOn w:val="Normlny"/>
    <w:next w:val="Normlny"/>
    <w:autoRedefine/>
    <w:uiPriority w:val="39"/>
    <w:unhideWhenUsed/>
    <w:rsid w:val="0024416E"/>
    <w:pPr>
      <w:spacing w:after="100" w:line="276" w:lineRule="auto"/>
      <w:ind w:left="440"/>
    </w:pPr>
    <w:rPr>
      <w:rFonts w:ascii="Calibri" w:eastAsia="Calibri" w:hAnsi="Calibri"/>
      <w:sz w:val="22"/>
      <w:szCs w:val="22"/>
      <w:lang w:eastAsia="en-US"/>
    </w:rPr>
  </w:style>
  <w:style w:type="paragraph" w:styleId="Obsah4">
    <w:name w:val="toc 4"/>
    <w:basedOn w:val="Normlny"/>
    <w:next w:val="Normlny"/>
    <w:autoRedefine/>
    <w:uiPriority w:val="39"/>
    <w:unhideWhenUsed/>
    <w:rsid w:val="0024416E"/>
    <w:pPr>
      <w:spacing w:after="100" w:line="259" w:lineRule="auto"/>
      <w:ind w:left="660"/>
    </w:pPr>
    <w:rPr>
      <w:rFonts w:ascii="Calibri" w:eastAsia="Calibri" w:hAnsi="Calibri"/>
      <w:sz w:val="22"/>
      <w:szCs w:val="22"/>
      <w:lang w:eastAsia="en-US"/>
    </w:rPr>
  </w:style>
  <w:style w:type="table" w:customStyle="1" w:styleId="Mriekatabuky2">
    <w:name w:val="Mriežka tabuľky2"/>
    <w:basedOn w:val="Normlnatabuka"/>
    <w:next w:val="Mriekatabuky"/>
    <w:uiPriority w:val="59"/>
    <w:rsid w:val="002441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441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51">
    <w:name w:val="Nadpis 51"/>
    <w:basedOn w:val="Normlny"/>
    <w:next w:val="Normlny"/>
    <w:uiPriority w:val="9"/>
    <w:semiHidden/>
    <w:unhideWhenUsed/>
    <w:qFormat/>
    <w:rsid w:val="0024416E"/>
    <w:pPr>
      <w:keepNext/>
      <w:keepLines/>
      <w:tabs>
        <w:tab w:val="num" w:pos="360"/>
      </w:tabs>
      <w:spacing w:before="200" w:line="259" w:lineRule="auto"/>
      <w:ind w:left="360" w:hanging="360"/>
      <w:outlineLvl w:val="4"/>
    </w:pPr>
    <w:rPr>
      <w:rFonts w:ascii="Calibri Light" w:hAnsi="Calibri Light"/>
      <w:color w:val="1F4D78"/>
      <w:sz w:val="22"/>
      <w:szCs w:val="22"/>
      <w:lang w:eastAsia="en-US"/>
    </w:rPr>
  </w:style>
  <w:style w:type="paragraph" w:customStyle="1" w:styleId="Nadpis61">
    <w:name w:val="Nadpis 61"/>
    <w:basedOn w:val="Normlny"/>
    <w:next w:val="Normlny"/>
    <w:uiPriority w:val="9"/>
    <w:semiHidden/>
    <w:unhideWhenUsed/>
    <w:qFormat/>
    <w:rsid w:val="0024416E"/>
    <w:pPr>
      <w:keepNext/>
      <w:keepLines/>
      <w:tabs>
        <w:tab w:val="num" w:pos="360"/>
      </w:tabs>
      <w:spacing w:before="200" w:line="259" w:lineRule="auto"/>
      <w:ind w:left="360" w:hanging="360"/>
      <w:outlineLvl w:val="5"/>
    </w:pPr>
    <w:rPr>
      <w:rFonts w:ascii="Calibri Light" w:hAnsi="Calibri Light"/>
      <w:i/>
      <w:iCs/>
      <w:color w:val="1F4D78"/>
      <w:sz w:val="22"/>
      <w:szCs w:val="22"/>
      <w:lang w:eastAsia="en-US"/>
    </w:rPr>
  </w:style>
  <w:style w:type="paragraph" w:customStyle="1" w:styleId="Nadpis81">
    <w:name w:val="Nadpis 81"/>
    <w:basedOn w:val="Normlny"/>
    <w:next w:val="Normlny"/>
    <w:uiPriority w:val="9"/>
    <w:semiHidden/>
    <w:unhideWhenUsed/>
    <w:qFormat/>
    <w:rsid w:val="0024416E"/>
    <w:pPr>
      <w:keepNext/>
      <w:keepLines/>
      <w:tabs>
        <w:tab w:val="num" w:pos="360"/>
      </w:tabs>
      <w:spacing w:before="200" w:line="259" w:lineRule="auto"/>
      <w:ind w:left="360" w:hanging="360"/>
      <w:outlineLvl w:val="7"/>
    </w:pPr>
    <w:rPr>
      <w:rFonts w:ascii="Calibri Light" w:hAnsi="Calibri Light"/>
      <w:color w:val="404040"/>
      <w:lang w:eastAsia="en-US"/>
    </w:rPr>
  </w:style>
  <w:style w:type="paragraph" w:customStyle="1" w:styleId="Nadpis91">
    <w:name w:val="Nadpis 91"/>
    <w:basedOn w:val="Normlny"/>
    <w:next w:val="Normlny"/>
    <w:uiPriority w:val="9"/>
    <w:semiHidden/>
    <w:unhideWhenUsed/>
    <w:qFormat/>
    <w:rsid w:val="0024416E"/>
    <w:pPr>
      <w:keepNext/>
      <w:keepLines/>
      <w:tabs>
        <w:tab w:val="num" w:pos="360"/>
      </w:tabs>
      <w:spacing w:before="200" w:line="259" w:lineRule="auto"/>
      <w:ind w:left="360" w:hanging="360"/>
      <w:outlineLvl w:val="8"/>
    </w:pPr>
    <w:rPr>
      <w:rFonts w:ascii="Calibri Light" w:hAnsi="Calibri Light"/>
      <w:i/>
      <w:iCs/>
      <w:color w:val="404040"/>
      <w:lang w:eastAsia="en-US"/>
    </w:rPr>
  </w:style>
  <w:style w:type="table" w:customStyle="1" w:styleId="Mriekatabuky4">
    <w:name w:val="Mriežka tabuľky4"/>
    <w:basedOn w:val="Normlnatabuka"/>
    <w:next w:val="Mriekatabuky"/>
    <w:uiPriority w:val="59"/>
    <w:rsid w:val="002441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2441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
    <w:name w:val="Mriežka tabuľky6"/>
    <w:basedOn w:val="Normlnatabuka"/>
    <w:next w:val="Mriekatabuky"/>
    <w:uiPriority w:val="59"/>
    <w:rsid w:val="002441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52">
    <w:name w:val="Nadpis 52"/>
    <w:basedOn w:val="Normlny"/>
    <w:next w:val="Normlny"/>
    <w:uiPriority w:val="9"/>
    <w:semiHidden/>
    <w:unhideWhenUsed/>
    <w:qFormat/>
    <w:rsid w:val="0024416E"/>
    <w:pPr>
      <w:keepNext/>
      <w:keepLines/>
      <w:tabs>
        <w:tab w:val="num" w:pos="360"/>
      </w:tabs>
      <w:spacing w:before="200" w:line="259" w:lineRule="auto"/>
      <w:ind w:left="360" w:hanging="360"/>
      <w:outlineLvl w:val="4"/>
    </w:pPr>
    <w:rPr>
      <w:rFonts w:ascii="Calibri Light" w:hAnsi="Calibri Light"/>
      <w:color w:val="1F4D78"/>
      <w:sz w:val="22"/>
      <w:szCs w:val="22"/>
      <w:lang w:eastAsia="en-US"/>
    </w:rPr>
  </w:style>
  <w:style w:type="paragraph" w:customStyle="1" w:styleId="Nadpis62">
    <w:name w:val="Nadpis 62"/>
    <w:basedOn w:val="Normlny"/>
    <w:next w:val="Normlny"/>
    <w:uiPriority w:val="9"/>
    <w:semiHidden/>
    <w:unhideWhenUsed/>
    <w:qFormat/>
    <w:rsid w:val="0024416E"/>
    <w:pPr>
      <w:keepNext/>
      <w:keepLines/>
      <w:tabs>
        <w:tab w:val="num" w:pos="360"/>
      </w:tabs>
      <w:spacing w:before="200" w:line="259" w:lineRule="auto"/>
      <w:ind w:left="360" w:hanging="360"/>
      <w:outlineLvl w:val="5"/>
    </w:pPr>
    <w:rPr>
      <w:rFonts w:ascii="Calibri Light" w:hAnsi="Calibri Light"/>
      <w:i/>
      <w:iCs/>
      <w:color w:val="1F4D78"/>
      <w:sz w:val="22"/>
      <w:szCs w:val="22"/>
      <w:lang w:eastAsia="en-US"/>
    </w:rPr>
  </w:style>
  <w:style w:type="paragraph" w:customStyle="1" w:styleId="Nadpis82">
    <w:name w:val="Nadpis 82"/>
    <w:basedOn w:val="Normlny"/>
    <w:next w:val="Normlny"/>
    <w:uiPriority w:val="9"/>
    <w:semiHidden/>
    <w:unhideWhenUsed/>
    <w:qFormat/>
    <w:rsid w:val="0024416E"/>
    <w:pPr>
      <w:keepNext/>
      <w:keepLines/>
      <w:tabs>
        <w:tab w:val="num" w:pos="360"/>
      </w:tabs>
      <w:spacing w:before="200" w:line="259" w:lineRule="auto"/>
      <w:ind w:left="360" w:hanging="360"/>
      <w:outlineLvl w:val="7"/>
    </w:pPr>
    <w:rPr>
      <w:rFonts w:ascii="Calibri Light" w:hAnsi="Calibri Light"/>
      <w:color w:val="404040"/>
      <w:lang w:eastAsia="en-US"/>
    </w:rPr>
  </w:style>
  <w:style w:type="paragraph" w:customStyle="1" w:styleId="Nadpis92">
    <w:name w:val="Nadpis 92"/>
    <w:basedOn w:val="Normlny"/>
    <w:next w:val="Normlny"/>
    <w:uiPriority w:val="9"/>
    <w:semiHidden/>
    <w:unhideWhenUsed/>
    <w:qFormat/>
    <w:rsid w:val="0024416E"/>
    <w:pPr>
      <w:keepNext/>
      <w:keepLines/>
      <w:tabs>
        <w:tab w:val="num" w:pos="360"/>
      </w:tabs>
      <w:spacing w:before="200" w:line="259" w:lineRule="auto"/>
      <w:ind w:left="360" w:hanging="360"/>
      <w:outlineLvl w:val="8"/>
    </w:pPr>
    <w:rPr>
      <w:rFonts w:ascii="Calibri Light" w:hAnsi="Calibri Light"/>
      <w:i/>
      <w:iCs/>
      <w:color w:val="404040"/>
      <w:lang w:eastAsia="en-US"/>
    </w:rPr>
  </w:style>
  <w:style w:type="table" w:customStyle="1" w:styleId="Mriekatabuky7">
    <w:name w:val="Mriežka tabuľky7"/>
    <w:basedOn w:val="Normlnatabuka"/>
    <w:next w:val="Mriekatabuky"/>
    <w:uiPriority w:val="59"/>
    <w:rsid w:val="002441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8">
    <w:name w:val="Mriežka tabuľky8"/>
    <w:basedOn w:val="Normlnatabuka"/>
    <w:next w:val="Mriekatabuky"/>
    <w:uiPriority w:val="59"/>
    <w:rsid w:val="002441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9">
    <w:name w:val="Mriežka tabuľky9"/>
    <w:basedOn w:val="Normlnatabuka"/>
    <w:next w:val="Mriekatabuky"/>
    <w:uiPriority w:val="59"/>
    <w:rsid w:val="0024416E"/>
    <w:pPr>
      <w:widowControl w:val="0"/>
      <w:spacing w:after="0" w:line="36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5">
    <w:name w:val="toc 5"/>
    <w:basedOn w:val="Normlny"/>
    <w:next w:val="Normlny"/>
    <w:autoRedefine/>
    <w:uiPriority w:val="39"/>
    <w:unhideWhenUsed/>
    <w:rsid w:val="0024416E"/>
    <w:pPr>
      <w:spacing w:after="100" w:line="259" w:lineRule="auto"/>
      <w:ind w:left="880"/>
    </w:pPr>
    <w:rPr>
      <w:rFonts w:ascii="Calibri" w:hAnsi="Calibri"/>
      <w:sz w:val="22"/>
      <w:szCs w:val="22"/>
    </w:rPr>
  </w:style>
  <w:style w:type="paragraph" w:styleId="Obsah6">
    <w:name w:val="toc 6"/>
    <w:basedOn w:val="Normlny"/>
    <w:next w:val="Normlny"/>
    <w:autoRedefine/>
    <w:uiPriority w:val="39"/>
    <w:unhideWhenUsed/>
    <w:rsid w:val="0024416E"/>
    <w:pPr>
      <w:spacing w:after="100" w:line="259" w:lineRule="auto"/>
      <w:ind w:left="1100"/>
    </w:pPr>
    <w:rPr>
      <w:rFonts w:ascii="Calibri" w:hAnsi="Calibri"/>
      <w:sz w:val="22"/>
      <w:szCs w:val="22"/>
    </w:rPr>
  </w:style>
  <w:style w:type="paragraph" w:styleId="Obsah7">
    <w:name w:val="toc 7"/>
    <w:basedOn w:val="Normlny"/>
    <w:next w:val="Normlny"/>
    <w:autoRedefine/>
    <w:uiPriority w:val="39"/>
    <w:unhideWhenUsed/>
    <w:rsid w:val="0024416E"/>
    <w:pPr>
      <w:spacing w:after="100" w:line="259" w:lineRule="auto"/>
      <w:ind w:left="1320"/>
    </w:pPr>
    <w:rPr>
      <w:rFonts w:ascii="Calibri" w:hAnsi="Calibri"/>
      <w:sz w:val="22"/>
      <w:szCs w:val="22"/>
    </w:rPr>
  </w:style>
  <w:style w:type="paragraph" w:styleId="Obsah8">
    <w:name w:val="toc 8"/>
    <w:basedOn w:val="Normlny"/>
    <w:next w:val="Normlny"/>
    <w:autoRedefine/>
    <w:uiPriority w:val="39"/>
    <w:unhideWhenUsed/>
    <w:rsid w:val="0024416E"/>
    <w:pPr>
      <w:spacing w:after="100" w:line="259" w:lineRule="auto"/>
      <w:ind w:left="1540"/>
    </w:pPr>
    <w:rPr>
      <w:rFonts w:ascii="Calibri" w:hAnsi="Calibri"/>
      <w:sz w:val="22"/>
      <w:szCs w:val="22"/>
    </w:rPr>
  </w:style>
  <w:style w:type="paragraph" w:styleId="Obsah9">
    <w:name w:val="toc 9"/>
    <w:basedOn w:val="Normlny"/>
    <w:next w:val="Normlny"/>
    <w:autoRedefine/>
    <w:uiPriority w:val="39"/>
    <w:unhideWhenUsed/>
    <w:rsid w:val="0024416E"/>
    <w:pPr>
      <w:spacing w:after="100" w:line="259"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elecom.gov.sk/index/index.php?ids=17047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2545</Words>
  <Characters>14507</Characters>
  <Application>Microsoft Office Word</Application>
  <DocSecurity>0</DocSecurity>
  <Lines>120</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Korytarova Katarina</dc:creator>
  <cp:keywords/>
  <dc:description/>
  <cp:lastModifiedBy>Korytarova Katarina</cp:lastModifiedBy>
  <cp:revision>2</cp:revision>
  <cp:lastPrinted>2017-03-15T12:00:00Z</cp:lastPrinted>
  <dcterms:created xsi:type="dcterms:W3CDTF">2017-04-05T09:46:00Z</dcterms:created>
  <dcterms:modified xsi:type="dcterms:W3CDTF">2017-04-05T09:46:00Z</dcterms:modified>
</cp:coreProperties>
</file>