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4BFA" w14:textId="77777777" w:rsidR="00367BA7" w:rsidRPr="00DC0F2E" w:rsidRDefault="00367BA7" w:rsidP="00367BA7">
      <w:pPr>
        <w:spacing w:after="0" w:line="240" w:lineRule="auto"/>
        <w:jc w:val="center"/>
        <w:rPr>
          <w:rFonts w:ascii="Times New Roman" w:hAnsi="Times New Roman"/>
          <w:b/>
          <w:bCs/>
          <w:sz w:val="24"/>
          <w:szCs w:val="28"/>
        </w:rPr>
      </w:pPr>
      <w:r w:rsidRPr="00DC0F2E">
        <w:rPr>
          <w:rFonts w:ascii="Times New Roman" w:hAnsi="Times New Roman"/>
          <w:b/>
          <w:bCs/>
          <w:sz w:val="24"/>
          <w:szCs w:val="28"/>
        </w:rPr>
        <w:t>Doložka vybraných vplyvov</w:t>
      </w:r>
    </w:p>
    <w:p w14:paraId="359C997A" w14:textId="77777777" w:rsidR="00367BA7" w:rsidRPr="00DC0F2E" w:rsidRDefault="00367BA7" w:rsidP="00367BA7">
      <w:pPr>
        <w:pStyle w:val="Odsekzoznamu1"/>
        <w:spacing w:after="0" w:line="240" w:lineRule="auto"/>
        <w:ind w:left="426"/>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2"/>
        <w:gridCol w:w="400"/>
        <w:gridCol w:w="141"/>
        <w:gridCol w:w="564"/>
        <w:gridCol w:w="717"/>
        <w:gridCol w:w="569"/>
        <w:gridCol w:w="1133"/>
        <w:gridCol w:w="284"/>
        <w:gridCol w:w="263"/>
        <w:gridCol w:w="1297"/>
      </w:tblGrid>
      <w:tr w:rsidR="00367BA7" w:rsidRPr="00DC0F2E" w14:paraId="6DF04D3D" w14:textId="77777777" w:rsidTr="00C61B92">
        <w:tc>
          <w:tcPr>
            <w:tcW w:w="9180" w:type="dxa"/>
            <w:gridSpan w:val="10"/>
            <w:tcBorders>
              <w:bottom w:val="single" w:sz="4" w:space="0" w:color="FFFFFF"/>
            </w:tcBorders>
            <w:shd w:val="clear" w:color="auto" w:fill="E2E2E2"/>
          </w:tcPr>
          <w:p w14:paraId="53B8A720"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Základné údaje</w:t>
            </w:r>
          </w:p>
        </w:tc>
      </w:tr>
      <w:tr w:rsidR="00367BA7" w:rsidRPr="00DC0F2E" w14:paraId="68E0CC15" w14:textId="77777777" w:rsidTr="00C61B92">
        <w:tc>
          <w:tcPr>
            <w:tcW w:w="9180" w:type="dxa"/>
            <w:gridSpan w:val="10"/>
            <w:tcBorders>
              <w:bottom w:val="single" w:sz="4" w:space="0" w:color="FFFFFF"/>
            </w:tcBorders>
            <w:shd w:val="clear" w:color="auto" w:fill="E2E2E2"/>
          </w:tcPr>
          <w:p w14:paraId="36D01C77" w14:textId="77777777"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Názov materiálu</w:t>
            </w:r>
          </w:p>
        </w:tc>
      </w:tr>
      <w:tr w:rsidR="00367BA7" w:rsidRPr="00DC0F2E" w14:paraId="55881DDF" w14:textId="77777777" w:rsidTr="00C61B92">
        <w:tc>
          <w:tcPr>
            <w:tcW w:w="9180" w:type="dxa"/>
            <w:gridSpan w:val="10"/>
            <w:tcBorders>
              <w:top w:val="single" w:sz="4" w:space="0" w:color="FFFFFF"/>
            </w:tcBorders>
            <w:shd w:val="clear" w:color="auto" w:fill="auto"/>
          </w:tcPr>
          <w:p w14:paraId="13022D14" w14:textId="750FE672" w:rsidR="00367BA7" w:rsidRPr="00DC0F2E" w:rsidRDefault="00367BA7" w:rsidP="004B531B">
            <w:pPr>
              <w:spacing w:after="0" w:line="240" w:lineRule="auto"/>
              <w:jc w:val="both"/>
              <w:rPr>
                <w:rFonts w:ascii="Times New Roman" w:hAnsi="Times New Roman"/>
              </w:rPr>
            </w:pPr>
            <w:r w:rsidRPr="00DC0F2E">
              <w:rPr>
                <w:rFonts w:ascii="Times New Roman" w:hAnsi="Times New Roman"/>
              </w:rPr>
              <w:t xml:space="preserve">Návrh </w:t>
            </w:r>
            <w:r w:rsidR="00377A91" w:rsidRPr="00377A91">
              <w:rPr>
                <w:rFonts w:ascii="Times New Roman" w:hAnsi="Times New Roman"/>
              </w:rPr>
              <w:t>zákona č. 305/2013 Z. z. o elektronickej podobe výkonu pôsobnosti orgánov verejnej moci a o zmene a doplnení niektorých zákonov (zákon o e-Governmente) v znení neskorších predpisov</w:t>
            </w:r>
            <w:r w:rsidR="00DD7AC6">
              <w:rPr>
                <w:rFonts w:ascii="Times New Roman" w:hAnsi="Times New Roman"/>
              </w:rPr>
              <w:t xml:space="preserve"> a o zmene a doplnení niektorých zákonov</w:t>
            </w:r>
          </w:p>
        </w:tc>
      </w:tr>
      <w:tr w:rsidR="00367BA7" w:rsidRPr="00DC0F2E" w14:paraId="25A32499" w14:textId="77777777" w:rsidTr="00C61B92">
        <w:tc>
          <w:tcPr>
            <w:tcW w:w="9180" w:type="dxa"/>
            <w:gridSpan w:val="10"/>
            <w:tcBorders>
              <w:bottom w:val="single" w:sz="4" w:space="0" w:color="FFFFFF"/>
            </w:tcBorders>
            <w:shd w:val="clear" w:color="auto" w:fill="E2E2E2"/>
          </w:tcPr>
          <w:p w14:paraId="61EEEA66" w14:textId="77777777"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Predkladateľ (a spolupredkladateľ)</w:t>
            </w:r>
          </w:p>
        </w:tc>
      </w:tr>
      <w:tr w:rsidR="00367BA7" w:rsidRPr="00DC0F2E" w14:paraId="1BEAEE1D" w14:textId="77777777" w:rsidTr="00C61B92">
        <w:tc>
          <w:tcPr>
            <w:tcW w:w="9180" w:type="dxa"/>
            <w:gridSpan w:val="10"/>
            <w:tcBorders>
              <w:top w:val="single" w:sz="4" w:space="0" w:color="FFFFFF"/>
            </w:tcBorders>
            <w:shd w:val="clear" w:color="auto" w:fill="FFFFFF"/>
          </w:tcPr>
          <w:p w14:paraId="7EBFB761" w14:textId="77777777" w:rsidR="00367BA7" w:rsidRPr="00DC0F2E" w:rsidRDefault="00377A91" w:rsidP="00377A91">
            <w:pPr>
              <w:spacing w:after="0" w:line="240" w:lineRule="auto"/>
              <w:rPr>
                <w:rFonts w:ascii="Times New Roman" w:hAnsi="Times New Roman"/>
              </w:rPr>
            </w:pPr>
            <w:r>
              <w:rPr>
                <w:rFonts w:ascii="Times New Roman" w:hAnsi="Times New Roman"/>
              </w:rPr>
              <w:t>Podp</w:t>
            </w:r>
            <w:r w:rsidR="00367BA7" w:rsidRPr="00DC0F2E">
              <w:rPr>
                <w:rFonts w:ascii="Times New Roman" w:hAnsi="Times New Roman"/>
              </w:rPr>
              <w:t>redseda vlády S</w:t>
            </w:r>
            <w:r w:rsidR="00367BA7">
              <w:rPr>
                <w:rFonts w:ascii="Times New Roman" w:hAnsi="Times New Roman"/>
              </w:rPr>
              <w:t>lovenskej republiky</w:t>
            </w:r>
            <w:r>
              <w:rPr>
                <w:rFonts w:ascii="Times New Roman" w:hAnsi="Times New Roman"/>
              </w:rPr>
              <w:t xml:space="preserve"> pre investície a informatizáciu</w:t>
            </w:r>
          </w:p>
        </w:tc>
      </w:tr>
      <w:tr w:rsidR="00367BA7" w:rsidRPr="00DC0F2E" w14:paraId="24AE0245" w14:textId="77777777" w:rsidTr="00C61B92">
        <w:tc>
          <w:tcPr>
            <w:tcW w:w="4212" w:type="dxa"/>
            <w:gridSpan w:val="2"/>
            <w:vMerge w:val="restart"/>
            <w:tcBorders>
              <w:bottom w:val="single" w:sz="4" w:space="0" w:color="FFFFFF"/>
            </w:tcBorders>
            <w:shd w:val="clear" w:color="auto" w:fill="E2E2E2"/>
            <w:vAlign w:val="center"/>
          </w:tcPr>
          <w:p w14:paraId="1EBD9B57" w14:textId="77777777"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Charakter predkladaného materiálu</w:t>
            </w:r>
          </w:p>
        </w:tc>
        <w:tc>
          <w:tcPr>
            <w:tcW w:w="705" w:type="dxa"/>
            <w:gridSpan w:val="2"/>
            <w:tcBorders>
              <w:right w:val="nil"/>
            </w:tcBorders>
            <w:shd w:val="clear" w:color="auto" w:fill="FFFFFF"/>
          </w:tcPr>
          <w:p w14:paraId="6AFD130C" w14:textId="77777777"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14:paraId="09D0A747"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Materiál nelegislatívnej povahy</w:t>
            </w:r>
          </w:p>
        </w:tc>
      </w:tr>
      <w:tr w:rsidR="00367BA7" w:rsidRPr="00DC0F2E" w14:paraId="786DEC07" w14:textId="77777777" w:rsidTr="00C61B92">
        <w:tc>
          <w:tcPr>
            <w:tcW w:w="4212" w:type="dxa"/>
            <w:gridSpan w:val="2"/>
            <w:vMerge/>
            <w:tcBorders>
              <w:top w:val="nil"/>
              <w:bottom w:val="single" w:sz="4" w:space="0" w:color="FFFFFF"/>
            </w:tcBorders>
            <w:shd w:val="clear" w:color="auto" w:fill="E2E2E2"/>
          </w:tcPr>
          <w:p w14:paraId="4299E2BD" w14:textId="77777777" w:rsidR="00367BA7" w:rsidRPr="00DC0F2E" w:rsidRDefault="00367BA7" w:rsidP="00C61B92">
            <w:pPr>
              <w:spacing w:after="0" w:line="240" w:lineRule="auto"/>
              <w:rPr>
                <w:rFonts w:ascii="Times New Roman" w:hAnsi="Times New Roman"/>
              </w:rPr>
            </w:pPr>
          </w:p>
        </w:tc>
        <w:tc>
          <w:tcPr>
            <w:tcW w:w="705" w:type="dxa"/>
            <w:gridSpan w:val="2"/>
            <w:tcBorders>
              <w:right w:val="nil"/>
            </w:tcBorders>
            <w:shd w:val="clear" w:color="auto" w:fill="FFFFFF"/>
          </w:tcPr>
          <w:p w14:paraId="249C460D" w14:textId="77777777"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14:paraId="1A382EF3" w14:textId="77777777" w:rsidR="00367BA7" w:rsidRPr="00DC0F2E" w:rsidRDefault="00367BA7" w:rsidP="00C61B92">
            <w:pPr>
              <w:spacing w:after="0" w:line="240" w:lineRule="auto"/>
              <w:ind w:left="175" w:hanging="175"/>
              <w:rPr>
                <w:rFonts w:ascii="Times New Roman" w:hAnsi="Times New Roman"/>
              </w:rPr>
            </w:pPr>
            <w:r w:rsidRPr="00DC0F2E">
              <w:rPr>
                <w:rFonts w:ascii="Times New Roman" w:hAnsi="Times New Roman"/>
              </w:rPr>
              <w:t>Materiál legislatívnej povahy</w:t>
            </w:r>
          </w:p>
        </w:tc>
      </w:tr>
      <w:tr w:rsidR="00367BA7" w:rsidRPr="00DC0F2E" w14:paraId="52EE3D99" w14:textId="77777777" w:rsidTr="00C61B92">
        <w:tc>
          <w:tcPr>
            <w:tcW w:w="4212" w:type="dxa"/>
            <w:gridSpan w:val="2"/>
            <w:vMerge/>
            <w:tcBorders>
              <w:top w:val="nil"/>
            </w:tcBorders>
            <w:shd w:val="clear" w:color="auto" w:fill="E2E2E2"/>
          </w:tcPr>
          <w:p w14:paraId="2C04BAE3" w14:textId="77777777" w:rsidR="00367BA7" w:rsidRPr="00DC0F2E" w:rsidRDefault="00367BA7" w:rsidP="00C61B92">
            <w:pPr>
              <w:spacing w:after="0" w:line="240" w:lineRule="auto"/>
              <w:rPr>
                <w:rFonts w:ascii="Times New Roman" w:hAnsi="Times New Roman"/>
              </w:rPr>
            </w:pPr>
          </w:p>
        </w:tc>
        <w:tc>
          <w:tcPr>
            <w:tcW w:w="705" w:type="dxa"/>
            <w:gridSpan w:val="2"/>
            <w:tcBorders>
              <w:right w:val="nil"/>
            </w:tcBorders>
            <w:shd w:val="clear" w:color="auto" w:fill="FFFFFF"/>
          </w:tcPr>
          <w:p w14:paraId="4C825122" w14:textId="77777777"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14:paraId="3E6F67CF"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Transpozícia práva EÚ</w:t>
            </w:r>
          </w:p>
        </w:tc>
      </w:tr>
      <w:tr w:rsidR="00367BA7" w:rsidRPr="00DC0F2E" w14:paraId="1E9D1F9C" w14:textId="77777777" w:rsidTr="00C61B92">
        <w:tc>
          <w:tcPr>
            <w:tcW w:w="9180" w:type="dxa"/>
            <w:gridSpan w:val="10"/>
            <w:tcBorders>
              <w:bottom w:val="single" w:sz="4" w:space="0" w:color="FFFFFF"/>
            </w:tcBorders>
            <w:shd w:val="clear" w:color="auto" w:fill="FFFFFF"/>
          </w:tcPr>
          <w:p w14:paraId="18BE08C7" w14:textId="77777777" w:rsidR="00367BA7" w:rsidRPr="00DC0F2E" w:rsidRDefault="00367BA7" w:rsidP="00C61B92">
            <w:pPr>
              <w:spacing w:after="0" w:line="240" w:lineRule="auto"/>
              <w:rPr>
                <w:rFonts w:ascii="Times New Roman" w:hAnsi="Times New Roman"/>
                <w:i/>
              </w:rPr>
            </w:pPr>
            <w:r w:rsidRPr="00DC0F2E">
              <w:rPr>
                <w:rFonts w:ascii="Times New Roman" w:hAnsi="Times New Roman"/>
                <w:i/>
              </w:rPr>
              <w:t>V prípade transpozície uveďte zoznam transponovaných predpisov:-</w:t>
            </w:r>
          </w:p>
          <w:p w14:paraId="4D6366E0" w14:textId="77777777" w:rsidR="00367BA7" w:rsidRPr="00DC0F2E" w:rsidRDefault="00367BA7" w:rsidP="00C61B92">
            <w:pPr>
              <w:spacing w:after="0" w:line="240" w:lineRule="auto"/>
              <w:rPr>
                <w:rFonts w:ascii="Times New Roman" w:hAnsi="Times New Roman"/>
              </w:rPr>
            </w:pPr>
          </w:p>
          <w:p w14:paraId="796E7C22" w14:textId="77777777" w:rsidR="00367BA7" w:rsidRPr="00DC0F2E" w:rsidRDefault="00367BA7" w:rsidP="00C61B92">
            <w:pPr>
              <w:spacing w:after="0" w:line="240" w:lineRule="auto"/>
              <w:rPr>
                <w:rFonts w:ascii="Times New Roman" w:hAnsi="Times New Roman"/>
              </w:rPr>
            </w:pPr>
          </w:p>
        </w:tc>
      </w:tr>
      <w:tr w:rsidR="00367BA7" w:rsidRPr="00DC0F2E" w14:paraId="11719EE3" w14:textId="77777777" w:rsidTr="00C61B92">
        <w:tc>
          <w:tcPr>
            <w:tcW w:w="5634" w:type="dxa"/>
            <w:gridSpan w:val="5"/>
            <w:tcBorders>
              <w:top w:val="single" w:sz="4" w:space="0" w:color="000000"/>
              <w:bottom w:val="single" w:sz="4" w:space="0" w:color="FFFFFF"/>
            </w:tcBorders>
            <w:shd w:val="clear" w:color="auto" w:fill="E2E2E2"/>
          </w:tcPr>
          <w:p w14:paraId="0CD275DF" w14:textId="77777777"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Termín začiatku a ukončenia PPK</w:t>
            </w:r>
          </w:p>
        </w:tc>
        <w:tc>
          <w:tcPr>
            <w:tcW w:w="3546" w:type="dxa"/>
            <w:gridSpan w:val="5"/>
            <w:tcBorders>
              <w:top w:val="single" w:sz="4" w:space="0" w:color="000000"/>
            </w:tcBorders>
            <w:shd w:val="clear" w:color="auto" w:fill="auto"/>
          </w:tcPr>
          <w:p w14:paraId="0100A975" w14:textId="383F0F0B" w:rsidR="00367BA7" w:rsidRPr="004772E6" w:rsidRDefault="004772E6" w:rsidP="00C61B92">
            <w:pPr>
              <w:spacing w:after="0" w:line="240" w:lineRule="auto"/>
              <w:rPr>
                <w:rFonts w:ascii="Times New Roman" w:hAnsi="Times New Roman"/>
              </w:rPr>
            </w:pPr>
            <w:r>
              <w:rPr>
                <w:rFonts w:ascii="Times New Roman" w:hAnsi="Times New Roman"/>
              </w:rPr>
              <w:t>4. – 10. 4. 2017</w:t>
            </w:r>
          </w:p>
        </w:tc>
      </w:tr>
      <w:tr w:rsidR="00367BA7" w:rsidRPr="00DC0F2E" w14:paraId="0B6AEF04" w14:textId="77777777" w:rsidTr="00C61B92">
        <w:tc>
          <w:tcPr>
            <w:tcW w:w="5634" w:type="dxa"/>
            <w:gridSpan w:val="5"/>
            <w:tcBorders>
              <w:bottom w:val="single" w:sz="4" w:space="0" w:color="FFFFFF"/>
            </w:tcBorders>
            <w:shd w:val="clear" w:color="auto" w:fill="E2E2E2"/>
          </w:tcPr>
          <w:p w14:paraId="4EE9127A" w14:textId="1812D337" w:rsidR="00367BA7" w:rsidRPr="00DC0F2E" w:rsidRDefault="004772E6" w:rsidP="00C61B92">
            <w:pPr>
              <w:pStyle w:val="Odsekzoznamu1"/>
              <w:spacing w:after="0" w:line="240" w:lineRule="auto"/>
              <w:ind w:left="142"/>
              <w:rPr>
                <w:rFonts w:ascii="Times New Roman" w:hAnsi="Times New Roman"/>
                <w:b/>
              </w:rPr>
            </w:pPr>
            <w:r>
              <w:rPr>
                <w:rFonts w:ascii="Times New Roman" w:hAnsi="Times New Roman"/>
                <w:b/>
              </w:rPr>
              <w:t>T</w:t>
            </w:r>
            <w:r w:rsidR="00367BA7" w:rsidRPr="00DC0F2E">
              <w:rPr>
                <w:rFonts w:ascii="Times New Roman" w:hAnsi="Times New Roman"/>
                <w:b/>
              </w:rPr>
              <w:t>ermín predloženia na MPK*</w:t>
            </w:r>
          </w:p>
        </w:tc>
        <w:tc>
          <w:tcPr>
            <w:tcW w:w="3546" w:type="dxa"/>
            <w:gridSpan w:val="5"/>
            <w:shd w:val="clear" w:color="auto" w:fill="auto"/>
          </w:tcPr>
          <w:p w14:paraId="5E76B782" w14:textId="0A1A8E28" w:rsidR="00367BA7" w:rsidRPr="004772E6" w:rsidRDefault="004772E6" w:rsidP="00C61B92">
            <w:pPr>
              <w:spacing w:after="0" w:line="240" w:lineRule="auto"/>
              <w:rPr>
                <w:rFonts w:ascii="Times New Roman" w:hAnsi="Times New Roman"/>
              </w:rPr>
            </w:pPr>
            <w:r>
              <w:rPr>
                <w:rFonts w:ascii="Times New Roman" w:hAnsi="Times New Roman"/>
              </w:rPr>
              <w:t>11.4. – 4.5. 2017</w:t>
            </w:r>
          </w:p>
        </w:tc>
      </w:tr>
      <w:tr w:rsidR="00367BA7" w:rsidRPr="00DC0F2E" w14:paraId="1DF0F7AD" w14:textId="77777777" w:rsidTr="00C61B92">
        <w:tc>
          <w:tcPr>
            <w:tcW w:w="5634" w:type="dxa"/>
            <w:gridSpan w:val="5"/>
            <w:tcBorders>
              <w:bottom w:val="single" w:sz="4" w:space="0" w:color="FFFFFF"/>
            </w:tcBorders>
            <w:shd w:val="clear" w:color="auto" w:fill="E2E2E2"/>
          </w:tcPr>
          <w:p w14:paraId="20601870" w14:textId="77777777"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Predpokladaný termín predloženia na Rokovanie vlády SR*</w:t>
            </w:r>
          </w:p>
        </w:tc>
        <w:tc>
          <w:tcPr>
            <w:tcW w:w="3546" w:type="dxa"/>
            <w:gridSpan w:val="5"/>
            <w:shd w:val="clear" w:color="auto" w:fill="auto"/>
          </w:tcPr>
          <w:p w14:paraId="21964C11" w14:textId="46A5257B" w:rsidR="00367BA7" w:rsidRPr="004772E6" w:rsidRDefault="004772E6" w:rsidP="00C61B92">
            <w:pPr>
              <w:spacing w:after="0" w:line="240" w:lineRule="auto"/>
              <w:rPr>
                <w:rFonts w:ascii="Times New Roman" w:hAnsi="Times New Roman"/>
              </w:rPr>
            </w:pPr>
            <w:r>
              <w:rPr>
                <w:rFonts w:ascii="Times New Roman" w:hAnsi="Times New Roman"/>
              </w:rPr>
              <w:t>24.5.2017</w:t>
            </w:r>
          </w:p>
        </w:tc>
      </w:tr>
      <w:tr w:rsidR="00367BA7" w:rsidRPr="00DC0F2E" w14:paraId="6993011A" w14:textId="77777777" w:rsidTr="00C61B92">
        <w:tc>
          <w:tcPr>
            <w:tcW w:w="9180" w:type="dxa"/>
            <w:gridSpan w:val="10"/>
            <w:tcBorders>
              <w:left w:val="nil"/>
              <w:right w:val="nil"/>
            </w:tcBorders>
            <w:shd w:val="clear" w:color="auto" w:fill="FFFFFF"/>
          </w:tcPr>
          <w:p w14:paraId="405A76F9" w14:textId="77777777" w:rsidR="00367BA7" w:rsidRPr="00DC0F2E" w:rsidRDefault="00367BA7" w:rsidP="00C61B92">
            <w:pPr>
              <w:spacing w:after="0" w:line="240" w:lineRule="auto"/>
              <w:rPr>
                <w:rFonts w:ascii="Times New Roman" w:hAnsi="Times New Roman"/>
              </w:rPr>
            </w:pPr>
          </w:p>
        </w:tc>
      </w:tr>
      <w:tr w:rsidR="00367BA7" w:rsidRPr="00DC0F2E" w14:paraId="19B2770B" w14:textId="77777777" w:rsidTr="00C61B92">
        <w:tc>
          <w:tcPr>
            <w:tcW w:w="9180" w:type="dxa"/>
            <w:gridSpan w:val="10"/>
            <w:tcBorders>
              <w:bottom w:val="single" w:sz="4" w:space="0" w:color="FFFFFF"/>
            </w:tcBorders>
            <w:shd w:val="clear" w:color="auto" w:fill="E2E2E2"/>
          </w:tcPr>
          <w:p w14:paraId="479E29B2"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Definícia problému</w:t>
            </w:r>
          </w:p>
        </w:tc>
      </w:tr>
      <w:tr w:rsidR="00367BA7" w:rsidRPr="00DC0F2E" w14:paraId="4CE3E552" w14:textId="77777777" w:rsidTr="00C61B92">
        <w:trPr>
          <w:trHeight w:val="718"/>
        </w:trPr>
        <w:tc>
          <w:tcPr>
            <w:tcW w:w="9180" w:type="dxa"/>
            <w:gridSpan w:val="10"/>
            <w:tcBorders>
              <w:top w:val="single" w:sz="4" w:space="0" w:color="FFFFFF"/>
            </w:tcBorders>
            <w:shd w:val="clear" w:color="auto" w:fill="FFFFFF"/>
          </w:tcPr>
          <w:p w14:paraId="6E8DB19E" w14:textId="6576B26C" w:rsidR="00367BA7" w:rsidRPr="000A44E5" w:rsidRDefault="001A75A3" w:rsidP="00377A91">
            <w:pPr>
              <w:spacing w:after="0" w:line="240" w:lineRule="auto"/>
              <w:jc w:val="both"/>
              <w:rPr>
                <w:rFonts w:ascii="Times New Roman" w:hAnsi="Times New Roman"/>
              </w:rPr>
            </w:pPr>
            <w:r>
              <w:rPr>
                <w:rFonts w:ascii="Times New Roman" w:hAnsi="Times New Roman"/>
              </w:rPr>
              <w:t xml:space="preserve">Potreba </w:t>
            </w:r>
            <w:r w:rsidRPr="001A75A3">
              <w:rPr>
                <w:rFonts w:ascii="Times New Roman" w:hAnsi="Times New Roman"/>
              </w:rPr>
              <w:t>zjednotiť používané nástroje e-Governmentu, zjednodušiť využívanie elektronických služieb a zaviesť mechanizmus kontroly dodržiavania povinností</w:t>
            </w:r>
            <w:r>
              <w:rPr>
                <w:rFonts w:ascii="Times New Roman" w:hAnsi="Times New Roman"/>
              </w:rPr>
              <w:t>, ako aj zjednotiť aplikáciu a výklad zákona.</w:t>
            </w:r>
            <w:r w:rsidR="00377A91" w:rsidRPr="00377A91">
              <w:rPr>
                <w:rFonts w:ascii="Times New Roman" w:hAnsi="Times New Roman"/>
              </w:rPr>
              <w:t xml:space="preserve"> </w:t>
            </w:r>
          </w:p>
        </w:tc>
      </w:tr>
      <w:tr w:rsidR="00367BA7" w:rsidRPr="00DC0F2E" w14:paraId="29A368B6" w14:textId="77777777" w:rsidTr="001A75A3">
        <w:trPr>
          <w:trHeight w:val="292"/>
        </w:trPr>
        <w:tc>
          <w:tcPr>
            <w:tcW w:w="9180" w:type="dxa"/>
            <w:gridSpan w:val="10"/>
            <w:tcBorders>
              <w:bottom w:val="nil"/>
            </w:tcBorders>
            <w:shd w:val="clear" w:color="auto" w:fill="E2E2E2"/>
          </w:tcPr>
          <w:p w14:paraId="5DE15C6B"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Ciele a výsledný stav</w:t>
            </w:r>
          </w:p>
        </w:tc>
      </w:tr>
      <w:tr w:rsidR="00367BA7" w:rsidRPr="00DC0F2E" w14:paraId="59653FD5" w14:textId="77777777" w:rsidTr="00C61B92">
        <w:trPr>
          <w:trHeight w:val="741"/>
        </w:trPr>
        <w:tc>
          <w:tcPr>
            <w:tcW w:w="9180" w:type="dxa"/>
            <w:gridSpan w:val="10"/>
            <w:tcBorders>
              <w:top w:val="nil"/>
            </w:tcBorders>
            <w:shd w:val="clear" w:color="auto" w:fill="FFFFFF"/>
          </w:tcPr>
          <w:p w14:paraId="44321746" w14:textId="0EDA6FB3" w:rsidR="001A75A3" w:rsidRPr="001A75A3" w:rsidRDefault="00367BA7" w:rsidP="001A75A3">
            <w:pPr>
              <w:spacing w:after="0" w:line="240" w:lineRule="auto"/>
              <w:jc w:val="both"/>
              <w:rPr>
                <w:rFonts w:ascii="Times New Roman" w:hAnsi="Times New Roman"/>
              </w:rPr>
            </w:pPr>
            <w:r w:rsidRPr="001A75A3">
              <w:rPr>
                <w:rFonts w:ascii="Times New Roman" w:hAnsi="Times New Roman"/>
              </w:rPr>
              <w:t xml:space="preserve">Cieľom predkladaného návrhu zákona </w:t>
            </w:r>
            <w:r w:rsidR="00377A91" w:rsidRPr="001A75A3">
              <w:rPr>
                <w:rFonts w:ascii="Times New Roman" w:hAnsi="Times New Roman"/>
              </w:rPr>
              <w:t>je upraviť</w:t>
            </w:r>
            <w:r w:rsidR="001A75A3" w:rsidRPr="001A75A3">
              <w:rPr>
                <w:rFonts w:ascii="Times New Roman" w:hAnsi="Times New Roman"/>
              </w:rPr>
              <w:t xml:space="preserve"> hlavné oblasti, medzi ktoré patrí</w:t>
            </w:r>
          </w:p>
          <w:p w14:paraId="50B3C2C1" w14:textId="77777777" w:rsidR="001A75A3" w:rsidRPr="0062479A" w:rsidRDefault="001A75A3" w:rsidP="001A75A3">
            <w:pPr>
              <w:pStyle w:val="Odsekzoznamu"/>
              <w:numPr>
                <w:ilvl w:val="0"/>
                <w:numId w:val="2"/>
              </w:numPr>
              <w:ind w:left="360"/>
              <w:jc w:val="both"/>
              <w:rPr>
                <w:color w:val="000000" w:themeColor="text1"/>
                <w:sz w:val="22"/>
                <w:szCs w:val="22"/>
              </w:rPr>
            </w:pPr>
            <w:r w:rsidRPr="0062479A">
              <w:rPr>
                <w:color w:val="000000" w:themeColor="text1"/>
                <w:sz w:val="22"/>
                <w:szCs w:val="22"/>
              </w:rPr>
              <w:t>zjednotené doručovanie v prípadoch, kedy elektronická schránka nie je aktivovaná,</w:t>
            </w:r>
          </w:p>
          <w:p w14:paraId="1B43364A" w14:textId="03333A4A" w:rsidR="001A75A3" w:rsidRPr="0062479A" w:rsidRDefault="001A75A3" w:rsidP="001A75A3">
            <w:pPr>
              <w:pStyle w:val="Odsekzoznamu"/>
              <w:numPr>
                <w:ilvl w:val="0"/>
                <w:numId w:val="2"/>
              </w:numPr>
              <w:ind w:left="360"/>
              <w:jc w:val="both"/>
              <w:rPr>
                <w:color w:val="000000" w:themeColor="text1"/>
                <w:sz w:val="22"/>
                <w:szCs w:val="22"/>
              </w:rPr>
            </w:pPr>
            <w:r w:rsidRPr="0062479A">
              <w:rPr>
                <w:color w:val="000000" w:themeColor="text1"/>
                <w:sz w:val="22"/>
                <w:szCs w:val="22"/>
              </w:rPr>
              <w:t>zavedenie povinnosti používania ce</w:t>
            </w:r>
            <w:r w:rsidR="004772E6">
              <w:rPr>
                <w:color w:val="000000" w:themeColor="text1"/>
                <w:sz w:val="22"/>
                <w:szCs w:val="22"/>
              </w:rPr>
              <w:t>ntrálnej elektronickej podateľne</w:t>
            </w:r>
            <w:r w:rsidRPr="0062479A">
              <w:rPr>
                <w:color w:val="000000" w:themeColor="text1"/>
                <w:sz w:val="22"/>
                <w:szCs w:val="22"/>
              </w:rPr>
              <w:t>,</w:t>
            </w:r>
          </w:p>
          <w:p w14:paraId="7C8675FE" w14:textId="77777777" w:rsidR="001A75A3" w:rsidRPr="0062479A" w:rsidRDefault="001A75A3" w:rsidP="001A75A3">
            <w:pPr>
              <w:pStyle w:val="Odsekzoznamu"/>
              <w:numPr>
                <w:ilvl w:val="0"/>
                <w:numId w:val="2"/>
              </w:numPr>
              <w:ind w:left="360"/>
              <w:jc w:val="both"/>
              <w:rPr>
                <w:color w:val="000000" w:themeColor="text1"/>
                <w:sz w:val="22"/>
                <w:szCs w:val="22"/>
              </w:rPr>
            </w:pPr>
            <w:r w:rsidRPr="0062479A">
              <w:rPr>
                <w:color w:val="000000" w:themeColor="text1"/>
                <w:sz w:val="22"/>
                <w:szCs w:val="22"/>
              </w:rPr>
              <w:t>zjednodušenie „podpisovania“ elektronických podaní,</w:t>
            </w:r>
          </w:p>
          <w:p w14:paraId="5449BEFD" w14:textId="2C30C69B" w:rsidR="00572F15" w:rsidRPr="0062479A" w:rsidRDefault="00572F15" w:rsidP="001A75A3">
            <w:pPr>
              <w:pStyle w:val="Odsekzoznamu"/>
              <w:numPr>
                <w:ilvl w:val="0"/>
                <w:numId w:val="2"/>
              </w:numPr>
              <w:ind w:left="360"/>
              <w:jc w:val="both"/>
              <w:rPr>
                <w:color w:val="000000" w:themeColor="text1"/>
                <w:sz w:val="22"/>
                <w:szCs w:val="22"/>
              </w:rPr>
            </w:pPr>
            <w:r w:rsidRPr="0062479A">
              <w:rPr>
                <w:color w:val="000000" w:themeColor="text1"/>
                <w:sz w:val="22"/>
                <w:szCs w:val="22"/>
              </w:rPr>
              <w:t>zavedenie pravidiel používania vládneho cloudu,</w:t>
            </w:r>
          </w:p>
          <w:p w14:paraId="4D698B8E" w14:textId="77777777" w:rsidR="001A75A3" w:rsidRPr="0062479A" w:rsidRDefault="001A75A3" w:rsidP="001A75A3">
            <w:pPr>
              <w:pStyle w:val="Odsekzoznamu"/>
              <w:numPr>
                <w:ilvl w:val="0"/>
                <w:numId w:val="2"/>
              </w:numPr>
              <w:ind w:left="360"/>
              <w:jc w:val="both"/>
              <w:rPr>
                <w:color w:val="000000" w:themeColor="text1"/>
                <w:sz w:val="22"/>
                <w:szCs w:val="22"/>
              </w:rPr>
            </w:pPr>
            <w:r w:rsidRPr="0062479A">
              <w:rPr>
                <w:color w:val="000000" w:themeColor="text1"/>
                <w:sz w:val="22"/>
                <w:szCs w:val="22"/>
              </w:rPr>
              <w:t>zjednotenie spôsobu platby poplatkov a sprístupnenie platieb kartou,</w:t>
            </w:r>
          </w:p>
          <w:p w14:paraId="651BB135" w14:textId="77777777" w:rsidR="001A75A3" w:rsidRPr="0062479A" w:rsidRDefault="001A75A3" w:rsidP="001A75A3">
            <w:pPr>
              <w:pStyle w:val="Odsekzoznamu"/>
              <w:numPr>
                <w:ilvl w:val="0"/>
                <w:numId w:val="2"/>
              </w:numPr>
              <w:ind w:left="360"/>
              <w:jc w:val="both"/>
              <w:rPr>
                <w:color w:val="000000" w:themeColor="text1"/>
                <w:sz w:val="22"/>
                <w:szCs w:val="22"/>
              </w:rPr>
            </w:pPr>
            <w:r w:rsidRPr="0062479A">
              <w:rPr>
                <w:color w:val="000000" w:themeColor="text1"/>
                <w:sz w:val="22"/>
                <w:szCs w:val="22"/>
              </w:rPr>
              <w:t>zjednotenie spôsobu poskytovania elektronických služieb na rezortných portáloch a ústrednom portáli verejnej správy,</w:t>
            </w:r>
          </w:p>
          <w:p w14:paraId="726A2A4C" w14:textId="77777777" w:rsidR="001A75A3" w:rsidRPr="001A75A3" w:rsidRDefault="001A75A3" w:rsidP="001A75A3">
            <w:pPr>
              <w:pStyle w:val="Odsekzoznamu"/>
              <w:numPr>
                <w:ilvl w:val="0"/>
                <w:numId w:val="2"/>
              </w:numPr>
              <w:ind w:left="360"/>
              <w:jc w:val="both"/>
              <w:rPr>
                <w:sz w:val="22"/>
                <w:szCs w:val="22"/>
              </w:rPr>
            </w:pPr>
            <w:r w:rsidRPr="0062479A">
              <w:rPr>
                <w:color w:val="000000" w:themeColor="text1"/>
                <w:sz w:val="22"/>
                <w:szCs w:val="22"/>
              </w:rPr>
              <w:t xml:space="preserve">posilnenie budovania spoločných </w:t>
            </w:r>
            <w:r w:rsidRPr="001A75A3">
              <w:rPr>
                <w:sz w:val="22"/>
                <w:szCs w:val="22"/>
              </w:rPr>
              <w:t>modulov a ich opakovaného využívania orgánmi verejnej moci,</w:t>
            </w:r>
          </w:p>
          <w:p w14:paraId="6DE5A2F6" w14:textId="77777777" w:rsidR="001A75A3" w:rsidRPr="001A75A3" w:rsidRDefault="001A75A3" w:rsidP="001A75A3">
            <w:pPr>
              <w:pStyle w:val="Odsekzoznamu"/>
              <w:numPr>
                <w:ilvl w:val="0"/>
                <w:numId w:val="2"/>
              </w:numPr>
              <w:ind w:left="360"/>
              <w:jc w:val="both"/>
              <w:rPr>
                <w:sz w:val="22"/>
                <w:szCs w:val="22"/>
              </w:rPr>
            </w:pPr>
            <w:r w:rsidRPr="001A75A3">
              <w:rPr>
                <w:sz w:val="22"/>
                <w:szCs w:val="22"/>
              </w:rPr>
              <w:t xml:space="preserve">úpravy v oblasti zaručenej konverzie a </w:t>
            </w:r>
          </w:p>
          <w:p w14:paraId="7CF4E0E9" w14:textId="4FF8C888" w:rsidR="00367BA7" w:rsidRPr="009B286D" w:rsidRDefault="001A75A3" w:rsidP="001A75A3">
            <w:pPr>
              <w:pStyle w:val="Odsekzoznamu"/>
              <w:numPr>
                <w:ilvl w:val="0"/>
                <w:numId w:val="2"/>
              </w:numPr>
              <w:ind w:left="360"/>
              <w:jc w:val="both"/>
              <w:rPr>
                <w:sz w:val="22"/>
                <w:szCs w:val="22"/>
              </w:rPr>
            </w:pPr>
            <w:r w:rsidRPr="001A75A3">
              <w:rPr>
                <w:sz w:val="22"/>
                <w:szCs w:val="22"/>
              </w:rPr>
              <w:t>zavedenie sankcií za porušenie zákona</w:t>
            </w:r>
            <w:r w:rsidR="004772E6">
              <w:rPr>
                <w:sz w:val="22"/>
                <w:szCs w:val="22"/>
              </w:rPr>
              <w:t xml:space="preserve"> a fakultatívnej možnosti upustenia od udelenia sankcií</w:t>
            </w:r>
            <w:r w:rsidRPr="001A75A3">
              <w:rPr>
                <w:sz w:val="22"/>
                <w:szCs w:val="22"/>
              </w:rPr>
              <w:t>.</w:t>
            </w:r>
          </w:p>
        </w:tc>
      </w:tr>
      <w:tr w:rsidR="00367BA7" w:rsidRPr="00DC0F2E" w14:paraId="1116B854" w14:textId="77777777" w:rsidTr="00C61B92">
        <w:tc>
          <w:tcPr>
            <w:tcW w:w="9180" w:type="dxa"/>
            <w:gridSpan w:val="10"/>
            <w:tcBorders>
              <w:bottom w:val="nil"/>
            </w:tcBorders>
            <w:shd w:val="clear" w:color="auto" w:fill="E2E2E2"/>
          </w:tcPr>
          <w:p w14:paraId="1C4EAB84"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Dotknuté subjekty</w:t>
            </w:r>
          </w:p>
        </w:tc>
      </w:tr>
      <w:tr w:rsidR="00367BA7" w:rsidRPr="00DC0F2E" w14:paraId="68DF30A6" w14:textId="77777777" w:rsidTr="00C61B92">
        <w:tc>
          <w:tcPr>
            <w:tcW w:w="9180" w:type="dxa"/>
            <w:gridSpan w:val="10"/>
            <w:tcBorders>
              <w:top w:val="nil"/>
            </w:tcBorders>
            <w:shd w:val="clear" w:color="auto" w:fill="FFFFFF"/>
          </w:tcPr>
          <w:p w14:paraId="2FAA2C08" w14:textId="50B77216" w:rsidR="00367BA7" w:rsidRPr="00DC0F2E" w:rsidRDefault="00845517" w:rsidP="00C61B92">
            <w:pPr>
              <w:spacing w:after="0" w:line="240" w:lineRule="auto"/>
              <w:rPr>
                <w:rFonts w:ascii="Times New Roman" w:hAnsi="Times New Roman"/>
              </w:rPr>
            </w:pPr>
            <w:r>
              <w:rPr>
                <w:rFonts w:ascii="Times New Roman" w:hAnsi="Times New Roman"/>
              </w:rPr>
              <w:t>Orgány verejnej moci, právnické oso</w:t>
            </w:r>
            <w:r w:rsidR="00DA05DB">
              <w:rPr>
                <w:rFonts w:ascii="Times New Roman" w:hAnsi="Times New Roman"/>
              </w:rPr>
              <w:t>by, podnikatelia, fyzické osoby</w:t>
            </w:r>
            <w:r w:rsidR="00AC5140">
              <w:rPr>
                <w:rFonts w:ascii="Times New Roman" w:hAnsi="Times New Roman"/>
              </w:rPr>
              <w:t>.</w:t>
            </w:r>
          </w:p>
          <w:p w14:paraId="2E680D9E" w14:textId="77777777" w:rsidR="00367BA7" w:rsidRPr="00DC0F2E" w:rsidRDefault="00367BA7" w:rsidP="00C61B92">
            <w:pPr>
              <w:spacing w:after="0" w:line="240" w:lineRule="auto"/>
              <w:rPr>
                <w:rFonts w:ascii="Times New Roman" w:hAnsi="Times New Roman"/>
                <w:i/>
              </w:rPr>
            </w:pPr>
          </w:p>
        </w:tc>
      </w:tr>
      <w:tr w:rsidR="00367BA7" w:rsidRPr="00DC0F2E" w14:paraId="04D7FC84" w14:textId="77777777" w:rsidTr="00C61B92">
        <w:tc>
          <w:tcPr>
            <w:tcW w:w="9180" w:type="dxa"/>
            <w:gridSpan w:val="10"/>
            <w:tcBorders>
              <w:bottom w:val="nil"/>
            </w:tcBorders>
            <w:shd w:val="clear" w:color="auto" w:fill="E2E2E2"/>
          </w:tcPr>
          <w:p w14:paraId="555A50BB"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Alternatívne riešenia</w:t>
            </w:r>
          </w:p>
        </w:tc>
      </w:tr>
      <w:tr w:rsidR="00367BA7" w:rsidRPr="00DC0F2E" w14:paraId="0CE14EC0" w14:textId="77777777" w:rsidTr="00C61B92">
        <w:trPr>
          <w:trHeight w:val="709"/>
        </w:trPr>
        <w:tc>
          <w:tcPr>
            <w:tcW w:w="9180" w:type="dxa"/>
            <w:gridSpan w:val="10"/>
            <w:tcBorders>
              <w:top w:val="nil"/>
            </w:tcBorders>
            <w:shd w:val="clear" w:color="auto" w:fill="FFFFFF"/>
          </w:tcPr>
          <w:p w14:paraId="6CFEFA9D" w14:textId="13805C56" w:rsidR="00367BA7" w:rsidRPr="00DC0F2E" w:rsidRDefault="00367BA7" w:rsidP="008146C8">
            <w:pPr>
              <w:spacing w:after="0" w:line="240" w:lineRule="auto"/>
              <w:rPr>
                <w:rFonts w:ascii="Times New Roman" w:hAnsi="Times New Roman"/>
              </w:rPr>
            </w:pPr>
            <w:r w:rsidRPr="00366A56">
              <w:rPr>
                <w:rFonts w:ascii="Times New Roman" w:hAnsi="Times New Roman"/>
              </w:rPr>
              <w:t>Alternatívne riešenia neboli posudzované</w:t>
            </w:r>
            <w:r w:rsidR="008146C8" w:rsidRPr="00366A56">
              <w:rPr>
                <w:rFonts w:ascii="Times New Roman" w:hAnsi="Times New Roman"/>
              </w:rPr>
              <w:t>.</w:t>
            </w:r>
          </w:p>
        </w:tc>
      </w:tr>
      <w:tr w:rsidR="00367BA7" w:rsidRPr="00DC0F2E" w14:paraId="48A99DF2" w14:textId="77777777" w:rsidTr="00C61B92">
        <w:tc>
          <w:tcPr>
            <w:tcW w:w="9180" w:type="dxa"/>
            <w:gridSpan w:val="10"/>
            <w:tcBorders>
              <w:bottom w:val="single" w:sz="4" w:space="0" w:color="FFFFFF"/>
            </w:tcBorders>
            <w:shd w:val="clear" w:color="auto" w:fill="E2E2E2"/>
          </w:tcPr>
          <w:p w14:paraId="3A96DD03"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Vykonávacie predpisy</w:t>
            </w:r>
          </w:p>
        </w:tc>
      </w:tr>
      <w:tr w:rsidR="00367BA7" w:rsidRPr="00DC0F2E" w14:paraId="78147C7B" w14:textId="77777777" w:rsidTr="00C61B92">
        <w:tc>
          <w:tcPr>
            <w:tcW w:w="6203" w:type="dxa"/>
            <w:gridSpan w:val="6"/>
            <w:tcBorders>
              <w:top w:val="single" w:sz="4" w:space="0" w:color="FFFFFF"/>
              <w:bottom w:val="nil"/>
              <w:right w:val="nil"/>
            </w:tcBorders>
            <w:shd w:val="clear" w:color="auto" w:fill="FFFFFF"/>
          </w:tcPr>
          <w:p w14:paraId="2E1D2F4C" w14:textId="77777777" w:rsidR="00367BA7" w:rsidRPr="00DC0F2E" w:rsidRDefault="00367BA7" w:rsidP="00C61B92">
            <w:pPr>
              <w:spacing w:after="0" w:line="240" w:lineRule="auto"/>
              <w:rPr>
                <w:rFonts w:ascii="Times New Roman" w:hAnsi="Times New Roman"/>
                <w:i/>
              </w:rPr>
            </w:pPr>
          </w:p>
        </w:tc>
        <w:tc>
          <w:tcPr>
            <w:tcW w:w="1417" w:type="dxa"/>
            <w:gridSpan w:val="2"/>
            <w:tcBorders>
              <w:top w:val="single" w:sz="4" w:space="0" w:color="FFFFFF"/>
              <w:left w:val="nil"/>
              <w:bottom w:val="nil"/>
              <w:right w:val="nil"/>
            </w:tcBorders>
            <w:shd w:val="clear" w:color="auto" w:fill="FFFFFF"/>
          </w:tcPr>
          <w:p w14:paraId="30AC3D0B" w14:textId="1A594982" w:rsidR="00367BA7" w:rsidRPr="00DC0F2E" w:rsidRDefault="00A64A49" w:rsidP="00C61B92">
            <w:pPr>
              <w:spacing w:after="0" w:line="240" w:lineRule="auto"/>
              <w:jc w:val="center"/>
              <w:rPr>
                <w:rFonts w:ascii="Times New Roman" w:hAnsi="Times New Roman"/>
              </w:rPr>
            </w:pPr>
            <w:r w:rsidRPr="00DC0F2E">
              <w:rPr>
                <w:rFonts w:ascii="MS Mincho" w:eastAsia="MS Mincho" w:hAnsi="MS Mincho" w:cs="MS Mincho" w:hint="eastAsia"/>
              </w:rPr>
              <w:t>☒</w:t>
            </w:r>
            <w:r w:rsidR="00367BA7" w:rsidRPr="00DC0F2E">
              <w:rPr>
                <w:rFonts w:ascii="Times New Roman" w:hAnsi="Times New Roman"/>
              </w:rPr>
              <w:t xml:space="preserve">  Áno</w:t>
            </w:r>
          </w:p>
        </w:tc>
        <w:tc>
          <w:tcPr>
            <w:tcW w:w="1560" w:type="dxa"/>
            <w:gridSpan w:val="2"/>
            <w:tcBorders>
              <w:top w:val="single" w:sz="4" w:space="0" w:color="FFFFFF"/>
              <w:left w:val="nil"/>
              <w:bottom w:val="nil"/>
            </w:tcBorders>
            <w:shd w:val="clear" w:color="auto" w:fill="FFFFFF"/>
          </w:tcPr>
          <w:p w14:paraId="5AAE9EF1" w14:textId="4DD1732A" w:rsidR="00367BA7" w:rsidRPr="00DC0F2E" w:rsidRDefault="00A64A49" w:rsidP="00C61B92">
            <w:pPr>
              <w:spacing w:after="0" w:line="240" w:lineRule="auto"/>
              <w:jc w:val="center"/>
              <w:rPr>
                <w:rFonts w:ascii="Times New Roman" w:hAnsi="Times New Roman"/>
              </w:rPr>
            </w:pPr>
            <w:r w:rsidRPr="00DC0F2E">
              <w:rPr>
                <w:rFonts w:ascii="MS Mincho" w:eastAsia="MS Mincho" w:hAnsi="MS Mincho" w:cs="MS Mincho" w:hint="eastAsia"/>
              </w:rPr>
              <w:t>☐</w:t>
            </w:r>
            <w:r w:rsidR="00367BA7" w:rsidRPr="00DC0F2E">
              <w:rPr>
                <w:rFonts w:ascii="Times New Roman" w:hAnsi="Times New Roman"/>
              </w:rPr>
              <w:t xml:space="preserve">  Nie</w:t>
            </w:r>
          </w:p>
        </w:tc>
      </w:tr>
      <w:tr w:rsidR="00367BA7" w:rsidRPr="00DC0F2E" w14:paraId="0C865D18" w14:textId="77777777" w:rsidTr="00C61B92">
        <w:tc>
          <w:tcPr>
            <w:tcW w:w="9180" w:type="dxa"/>
            <w:gridSpan w:val="10"/>
            <w:tcBorders>
              <w:top w:val="nil"/>
            </w:tcBorders>
            <w:shd w:val="clear" w:color="auto" w:fill="FFFFFF"/>
          </w:tcPr>
          <w:p w14:paraId="44F88154" w14:textId="77777777" w:rsidR="00367BA7" w:rsidRPr="00DC0F2E" w:rsidRDefault="00367BA7" w:rsidP="00C61B92">
            <w:pPr>
              <w:spacing w:after="0" w:line="240" w:lineRule="auto"/>
              <w:rPr>
                <w:rFonts w:ascii="Times New Roman" w:hAnsi="Times New Roman"/>
              </w:rPr>
            </w:pPr>
          </w:p>
        </w:tc>
      </w:tr>
      <w:tr w:rsidR="00367BA7" w:rsidRPr="00DC0F2E" w14:paraId="460B555D" w14:textId="77777777" w:rsidTr="00C61B92">
        <w:tc>
          <w:tcPr>
            <w:tcW w:w="9180" w:type="dxa"/>
            <w:gridSpan w:val="10"/>
            <w:tcBorders>
              <w:bottom w:val="single" w:sz="4" w:space="0" w:color="FFFFFF"/>
            </w:tcBorders>
            <w:shd w:val="clear" w:color="auto" w:fill="E2E2E2"/>
          </w:tcPr>
          <w:p w14:paraId="19AE1293"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 xml:space="preserve">Transpozícia práva EÚ </w:t>
            </w:r>
          </w:p>
        </w:tc>
      </w:tr>
      <w:tr w:rsidR="00367BA7" w:rsidRPr="00DC0F2E" w14:paraId="33E9BE7B" w14:textId="77777777" w:rsidTr="00C61B92">
        <w:trPr>
          <w:trHeight w:val="157"/>
        </w:trPr>
        <w:tc>
          <w:tcPr>
            <w:tcW w:w="9180" w:type="dxa"/>
            <w:gridSpan w:val="10"/>
            <w:tcBorders>
              <w:top w:val="nil"/>
              <w:left w:val="single" w:sz="4" w:space="0" w:color="000000"/>
              <w:bottom w:val="nil"/>
            </w:tcBorders>
            <w:shd w:val="clear" w:color="auto" w:fill="FFFFFF"/>
          </w:tcPr>
          <w:p w14:paraId="3BD6A0F6"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Národná právna úprava nejde nad rámec minimálnych požiadaviek EÚ.</w:t>
            </w:r>
          </w:p>
        </w:tc>
      </w:tr>
      <w:tr w:rsidR="00367BA7" w:rsidRPr="00DC0F2E" w14:paraId="2F172692" w14:textId="77777777" w:rsidTr="00C61B92">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293D489B" w14:textId="77777777" w:rsidR="00367BA7" w:rsidRPr="00DC0F2E" w:rsidRDefault="00367BA7" w:rsidP="00C61B92">
            <w:pPr>
              <w:spacing w:after="0" w:line="240" w:lineRule="auto"/>
              <w:jc w:val="center"/>
              <w:rPr>
                <w:rFonts w:ascii="Times New Roman" w:hAnsi="Times New Roman"/>
              </w:rPr>
            </w:pPr>
          </w:p>
        </w:tc>
      </w:tr>
      <w:tr w:rsidR="00367BA7" w:rsidRPr="00DC0F2E" w14:paraId="059DB434" w14:textId="77777777" w:rsidTr="00C61B92">
        <w:tc>
          <w:tcPr>
            <w:tcW w:w="9180" w:type="dxa"/>
            <w:gridSpan w:val="10"/>
            <w:tcBorders>
              <w:bottom w:val="single" w:sz="4" w:space="0" w:color="FFFFFF"/>
            </w:tcBorders>
            <w:shd w:val="clear" w:color="auto" w:fill="E2E2E2"/>
          </w:tcPr>
          <w:p w14:paraId="262F74B9"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Preskúmanie účelnosti**</w:t>
            </w:r>
          </w:p>
        </w:tc>
      </w:tr>
      <w:tr w:rsidR="00367BA7" w:rsidRPr="00DC0F2E" w14:paraId="365C9B79" w14:textId="77777777" w:rsidTr="00C61B92">
        <w:tc>
          <w:tcPr>
            <w:tcW w:w="9180" w:type="dxa"/>
            <w:gridSpan w:val="10"/>
            <w:tcBorders>
              <w:top w:val="single" w:sz="4" w:space="0" w:color="FFFFFF"/>
            </w:tcBorders>
            <w:shd w:val="clear" w:color="auto" w:fill="FFFFFF"/>
          </w:tcPr>
          <w:p w14:paraId="0E16DDF3" w14:textId="77777777" w:rsidR="00367BA7" w:rsidRPr="00DC0F2E" w:rsidRDefault="00367BA7" w:rsidP="00C61B92">
            <w:pPr>
              <w:spacing w:after="0" w:line="240" w:lineRule="auto"/>
              <w:jc w:val="both"/>
              <w:rPr>
                <w:rFonts w:ascii="Times New Roman" w:hAnsi="Times New Roman"/>
              </w:rPr>
            </w:pPr>
            <w:r w:rsidRPr="00DC0F2E">
              <w:rPr>
                <w:rFonts w:ascii="Times New Roman" w:hAnsi="Times New Roman"/>
              </w:rPr>
              <w:t>Preskúmanie účinnosti a účelnosti navrhovaného predpisu bude vykonávané priebežne po nadobudnutí účinnosti.</w:t>
            </w:r>
          </w:p>
          <w:p w14:paraId="1E4D6974" w14:textId="77777777" w:rsidR="00367BA7" w:rsidRDefault="00367BA7" w:rsidP="00C61B92">
            <w:pPr>
              <w:spacing w:after="0" w:line="240" w:lineRule="auto"/>
              <w:jc w:val="both"/>
              <w:rPr>
                <w:rFonts w:ascii="Times New Roman" w:hAnsi="Times New Roman"/>
                <w:i/>
              </w:rPr>
            </w:pPr>
          </w:p>
          <w:p w14:paraId="1AD34722" w14:textId="77777777" w:rsidR="004B531B" w:rsidRPr="00DC0F2E" w:rsidRDefault="004B531B" w:rsidP="00C61B92">
            <w:pPr>
              <w:spacing w:after="0" w:line="240" w:lineRule="auto"/>
              <w:jc w:val="both"/>
              <w:rPr>
                <w:rFonts w:ascii="Times New Roman" w:hAnsi="Times New Roman"/>
                <w:i/>
              </w:rPr>
            </w:pPr>
          </w:p>
        </w:tc>
      </w:tr>
      <w:tr w:rsidR="00367BA7" w:rsidRPr="00DC0F2E" w14:paraId="411B228C" w14:textId="77777777" w:rsidTr="00C61B92">
        <w:trPr>
          <w:trHeight w:val="577"/>
        </w:trPr>
        <w:tc>
          <w:tcPr>
            <w:tcW w:w="9180" w:type="dxa"/>
            <w:gridSpan w:val="10"/>
            <w:tcBorders>
              <w:bottom w:val="single" w:sz="4" w:space="0" w:color="FFFFFF"/>
            </w:tcBorders>
            <w:shd w:val="clear" w:color="auto" w:fill="E2E2E2"/>
            <w:vAlign w:val="center"/>
          </w:tcPr>
          <w:p w14:paraId="19C54CAC" w14:textId="77777777"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lastRenderedPageBreak/>
              <w:t>Vplyvy navrhovaného materiálu</w:t>
            </w:r>
          </w:p>
        </w:tc>
      </w:tr>
      <w:tr w:rsidR="00367BA7" w:rsidRPr="00DC0F2E" w14:paraId="189C206C" w14:textId="77777777" w:rsidTr="00C61B92">
        <w:tc>
          <w:tcPr>
            <w:tcW w:w="3812" w:type="dxa"/>
            <w:tcBorders>
              <w:bottom w:val="nil"/>
            </w:tcBorders>
            <w:shd w:val="clear" w:color="auto" w:fill="E2E2E2"/>
          </w:tcPr>
          <w:p w14:paraId="49093A50"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rozpočet verejnej správy</w:t>
            </w:r>
          </w:p>
        </w:tc>
        <w:tc>
          <w:tcPr>
            <w:tcW w:w="541" w:type="dxa"/>
            <w:gridSpan w:val="2"/>
            <w:tcBorders>
              <w:right w:val="nil"/>
            </w:tcBorders>
            <w:shd w:val="clear" w:color="auto" w:fill="auto"/>
          </w:tcPr>
          <w:p w14:paraId="020EE6A8" w14:textId="7D8B57BA" w:rsidR="00367BA7" w:rsidRPr="00DC0F2E" w:rsidRDefault="003045D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14:paraId="10B37B79"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14:paraId="50948C87" w14:textId="09ACB392" w:rsidR="00367BA7" w:rsidRPr="00DC0F2E" w:rsidRDefault="003045D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14:paraId="6DDFF108"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14:paraId="432E9F84" w14:textId="38FA4A35" w:rsidR="00367BA7" w:rsidRPr="00DC0F2E" w:rsidRDefault="003045DC" w:rsidP="00C61B92">
            <w:pPr>
              <w:spacing w:after="0" w:line="240" w:lineRule="auto"/>
              <w:ind w:left="-107" w:right="-108"/>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14:paraId="6EAA5C19" w14:textId="77777777" w:rsidR="00367BA7" w:rsidRPr="00DC0F2E" w:rsidRDefault="00367BA7" w:rsidP="00C61B92">
            <w:pPr>
              <w:spacing w:after="0" w:line="240" w:lineRule="auto"/>
              <w:ind w:left="34"/>
              <w:rPr>
                <w:rFonts w:ascii="Times New Roman" w:hAnsi="Times New Roman"/>
                <w:b/>
              </w:rPr>
            </w:pPr>
            <w:r w:rsidRPr="00DC0F2E">
              <w:rPr>
                <w:rFonts w:ascii="Times New Roman" w:hAnsi="Times New Roman"/>
                <w:b/>
              </w:rPr>
              <w:t>Negatívne</w:t>
            </w:r>
          </w:p>
        </w:tc>
      </w:tr>
      <w:tr w:rsidR="00367BA7" w:rsidRPr="00DC0F2E" w14:paraId="59A9C692" w14:textId="77777777" w:rsidTr="00C61B92">
        <w:tc>
          <w:tcPr>
            <w:tcW w:w="3812" w:type="dxa"/>
            <w:tcBorders>
              <w:top w:val="nil"/>
              <w:bottom w:val="single" w:sz="4" w:space="0" w:color="000000"/>
            </w:tcBorders>
            <w:shd w:val="clear" w:color="auto" w:fill="E2E2E2"/>
          </w:tcPr>
          <w:p w14:paraId="38949418"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 xml:space="preserve">    z toho rozpočtovo zabezpečené vplyvy</w:t>
            </w:r>
          </w:p>
        </w:tc>
        <w:tc>
          <w:tcPr>
            <w:tcW w:w="541" w:type="dxa"/>
            <w:gridSpan w:val="2"/>
            <w:tcBorders>
              <w:right w:val="nil"/>
            </w:tcBorders>
            <w:shd w:val="clear" w:color="auto" w:fill="auto"/>
          </w:tcPr>
          <w:p w14:paraId="370233C9" w14:textId="2148D321" w:rsidR="00367BA7" w:rsidRPr="00DC0F2E" w:rsidRDefault="003045DC" w:rsidP="00C61B92">
            <w:pPr>
              <w:spacing w:after="0" w:line="240" w:lineRule="auto"/>
              <w:jc w:val="center"/>
              <w:rPr>
                <w:rFonts w:ascii="Times New Roman" w:hAnsi="Times New Roman"/>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14:paraId="6A898267"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Áno</w:t>
            </w:r>
          </w:p>
        </w:tc>
        <w:tc>
          <w:tcPr>
            <w:tcW w:w="569" w:type="dxa"/>
            <w:tcBorders>
              <w:left w:val="nil"/>
              <w:right w:val="nil"/>
            </w:tcBorders>
            <w:shd w:val="clear" w:color="auto" w:fill="auto"/>
          </w:tcPr>
          <w:p w14:paraId="385CA833" w14:textId="77777777"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1133" w:type="dxa"/>
            <w:tcBorders>
              <w:left w:val="nil"/>
              <w:right w:val="nil"/>
            </w:tcBorders>
            <w:shd w:val="clear" w:color="auto" w:fill="auto"/>
          </w:tcPr>
          <w:p w14:paraId="55AD6CE4"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Nie</w:t>
            </w:r>
          </w:p>
        </w:tc>
        <w:tc>
          <w:tcPr>
            <w:tcW w:w="547" w:type="dxa"/>
            <w:gridSpan w:val="2"/>
            <w:tcBorders>
              <w:left w:val="nil"/>
              <w:right w:val="nil"/>
            </w:tcBorders>
            <w:shd w:val="clear" w:color="auto" w:fill="auto"/>
          </w:tcPr>
          <w:p w14:paraId="793741CA" w14:textId="77777777" w:rsidR="00367BA7" w:rsidRPr="00DC0F2E" w:rsidRDefault="00367BA7" w:rsidP="00C61B92">
            <w:pPr>
              <w:spacing w:after="0" w:line="240" w:lineRule="auto"/>
              <w:ind w:left="-107" w:right="-108"/>
              <w:jc w:val="center"/>
              <w:rPr>
                <w:rFonts w:ascii="Times New Roman" w:hAnsi="Times New Roman"/>
              </w:rPr>
            </w:pPr>
            <w:r w:rsidRPr="00DC0F2E">
              <w:rPr>
                <w:rFonts w:ascii="MS Mincho" w:eastAsia="MS Mincho" w:hAnsi="MS Mincho" w:cs="MS Mincho" w:hint="eastAsia"/>
              </w:rPr>
              <w:t>☐</w:t>
            </w:r>
          </w:p>
        </w:tc>
        <w:tc>
          <w:tcPr>
            <w:tcW w:w="1297" w:type="dxa"/>
            <w:tcBorders>
              <w:left w:val="nil"/>
            </w:tcBorders>
            <w:shd w:val="clear" w:color="auto" w:fill="auto"/>
          </w:tcPr>
          <w:p w14:paraId="57E3CFDA" w14:textId="77777777" w:rsidR="00367BA7" w:rsidRPr="00DC0F2E" w:rsidRDefault="00367BA7" w:rsidP="00C61B92">
            <w:pPr>
              <w:spacing w:after="0" w:line="240" w:lineRule="auto"/>
              <w:ind w:left="34"/>
              <w:rPr>
                <w:rFonts w:ascii="Times New Roman" w:hAnsi="Times New Roman"/>
              </w:rPr>
            </w:pPr>
            <w:r w:rsidRPr="00DC0F2E">
              <w:rPr>
                <w:rFonts w:ascii="Times New Roman" w:hAnsi="Times New Roman"/>
              </w:rPr>
              <w:t>Čiastočne</w:t>
            </w:r>
          </w:p>
        </w:tc>
      </w:tr>
      <w:tr w:rsidR="00367BA7" w:rsidRPr="00DC0F2E" w14:paraId="0F4E0B14" w14:textId="77777777" w:rsidTr="00C61B92">
        <w:tc>
          <w:tcPr>
            <w:tcW w:w="3812" w:type="dxa"/>
            <w:tcBorders>
              <w:top w:val="single" w:sz="4" w:space="0" w:color="000000"/>
              <w:bottom w:val="nil"/>
            </w:tcBorders>
            <w:shd w:val="clear" w:color="auto" w:fill="E2E2E2"/>
          </w:tcPr>
          <w:p w14:paraId="6133A9DA"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podnikateľské prostredie</w:t>
            </w:r>
          </w:p>
        </w:tc>
        <w:tc>
          <w:tcPr>
            <w:tcW w:w="541" w:type="dxa"/>
            <w:gridSpan w:val="2"/>
            <w:tcBorders>
              <w:right w:val="nil"/>
            </w:tcBorders>
            <w:shd w:val="clear" w:color="auto" w:fill="auto"/>
          </w:tcPr>
          <w:p w14:paraId="1607EFBB" w14:textId="617F6807" w:rsidR="00367BA7" w:rsidRPr="00DC0F2E" w:rsidRDefault="00A44721" w:rsidP="00C61B92">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left w:val="nil"/>
              <w:right w:val="nil"/>
            </w:tcBorders>
            <w:shd w:val="clear" w:color="auto" w:fill="auto"/>
          </w:tcPr>
          <w:p w14:paraId="4984A31D" w14:textId="77777777"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14:paraId="007262A3" w14:textId="64A6FA27" w:rsidR="00367BA7" w:rsidRPr="00DC0F2E" w:rsidRDefault="00A44721" w:rsidP="00C61B92">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right w:val="nil"/>
            </w:tcBorders>
            <w:shd w:val="clear" w:color="auto" w:fill="auto"/>
          </w:tcPr>
          <w:p w14:paraId="3F3EA530"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14:paraId="6153EF17" w14:textId="70E17177" w:rsidR="00367BA7" w:rsidRPr="00DC0F2E" w:rsidRDefault="00A44721" w:rsidP="00C61B92">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97" w:type="dxa"/>
            <w:tcBorders>
              <w:left w:val="nil"/>
            </w:tcBorders>
            <w:shd w:val="clear" w:color="auto" w:fill="auto"/>
          </w:tcPr>
          <w:p w14:paraId="6C0823B0" w14:textId="77777777"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367BA7" w:rsidRPr="00DC0F2E" w14:paraId="1CE4868A" w14:textId="77777777" w:rsidTr="00C61B92">
        <w:tc>
          <w:tcPr>
            <w:tcW w:w="3812" w:type="dxa"/>
            <w:tcBorders>
              <w:top w:val="nil"/>
              <w:left w:val="single" w:sz="4" w:space="0" w:color="000000"/>
              <w:bottom w:val="single" w:sz="4" w:space="0" w:color="000000"/>
              <w:right w:val="single" w:sz="4" w:space="0" w:color="000000"/>
            </w:tcBorders>
            <w:shd w:val="clear" w:color="auto" w:fill="E2E2E2"/>
          </w:tcPr>
          <w:p w14:paraId="400BC6B9"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 xml:space="preserve">    z toho vplyvy na MSP</w:t>
            </w:r>
          </w:p>
        </w:tc>
        <w:tc>
          <w:tcPr>
            <w:tcW w:w="541" w:type="dxa"/>
            <w:gridSpan w:val="2"/>
            <w:tcBorders>
              <w:left w:val="single" w:sz="4" w:space="0" w:color="000000"/>
              <w:right w:val="nil"/>
            </w:tcBorders>
            <w:shd w:val="clear" w:color="auto" w:fill="auto"/>
          </w:tcPr>
          <w:p w14:paraId="1ED3737D" w14:textId="351DDED1" w:rsidR="00367BA7" w:rsidRPr="00DC0F2E" w:rsidRDefault="00A44721" w:rsidP="000A44E5">
            <w:pPr>
              <w:spacing w:after="0" w:line="240" w:lineRule="auto"/>
              <w:jc w:val="center"/>
              <w:rPr>
                <w:rFonts w:ascii="Times New Roman" w:hAnsi="Times New Roman"/>
              </w:rPr>
            </w:pPr>
            <w:r w:rsidRPr="00DC0F2E">
              <w:rPr>
                <w:rFonts w:ascii="Segoe UI Symbol" w:eastAsia="MS Mincho" w:hAnsi="Segoe UI Symbol" w:cs="Segoe UI Symbol"/>
                <w:b/>
              </w:rPr>
              <w:t>☒</w:t>
            </w:r>
          </w:p>
        </w:tc>
        <w:tc>
          <w:tcPr>
            <w:tcW w:w="1281" w:type="dxa"/>
            <w:gridSpan w:val="2"/>
            <w:tcBorders>
              <w:left w:val="nil"/>
              <w:right w:val="nil"/>
            </w:tcBorders>
            <w:shd w:val="clear" w:color="auto" w:fill="auto"/>
          </w:tcPr>
          <w:p w14:paraId="31023271" w14:textId="77777777" w:rsidR="00367BA7" w:rsidRPr="00DC0F2E" w:rsidRDefault="00367BA7" w:rsidP="00C61B92">
            <w:pPr>
              <w:spacing w:after="0" w:line="240" w:lineRule="auto"/>
              <w:ind w:right="-108"/>
              <w:rPr>
                <w:rFonts w:ascii="Times New Roman" w:hAnsi="Times New Roman"/>
              </w:rPr>
            </w:pPr>
            <w:r w:rsidRPr="00DC0F2E">
              <w:rPr>
                <w:rFonts w:ascii="Times New Roman" w:hAnsi="Times New Roman"/>
              </w:rPr>
              <w:t>Pozitívne</w:t>
            </w:r>
          </w:p>
        </w:tc>
        <w:tc>
          <w:tcPr>
            <w:tcW w:w="569" w:type="dxa"/>
            <w:tcBorders>
              <w:left w:val="nil"/>
              <w:right w:val="nil"/>
            </w:tcBorders>
            <w:shd w:val="clear" w:color="auto" w:fill="auto"/>
          </w:tcPr>
          <w:p w14:paraId="3C55DD16" w14:textId="3E1CA620" w:rsidR="00367BA7" w:rsidRPr="00DC0F2E" w:rsidRDefault="00A44721" w:rsidP="00C61B92">
            <w:pPr>
              <w:spacing w:after="0" w:line="240" w:lineRule="auto"/>
              <w:jc w:val="center"/>
              <w:rPr>
                <w:rFonts w:ascii="Times New Roman" w:hAnsi="Times New Roman"/>
              </w:rPr>
            </w:pPr>
            <w:r w:rsidRPr="00DC0F2E">
              <w:rPr>
                <w:rFonts w:ascii="Segoe UI Symbol" w:eastAsia="MS Mincho" w:hAnsi="Segoe UI Symbol" w:cs="Segoe UI Symbol"/>
                <w:b/>
              </w:rPr>
              <w:t>☐</w:t>
            </w:r>
          </w:p>
        </w:tc>
        <w:tc>
          <w:tcPr>
            <w:tcW w:w="1133" w:type="dxa"/>
            <w:tcBorders>
              <w:left w:val="nil"/>
              <w:right w:val="nil"/>
            </w:tcBorders>
            <w:shd w:val="clear" w:color="auto" w:fill="auto"/>
          </w:tcPr>
          <w:p w14:paraId="450F6C22" w14:textId="77777777" w:rsidR="00367BA7" w:rsidRPr="00DC0F2E" w:rsidRDefault="00367BA7" w:rsidP="00C61B92">
            <w:pPr>
              <w:spacing w:after="0" w:line="240" w:lineRule="auto"/>
              <w:rPr>
                <w:rFonts w:ascii="Times New Roman" w:hAnsi="Times New Roman"/>
              </w:rPr>
            </w:pPr>
            <w:r w:rsidRPr="00DC0F2E">
              <w:rPr>
                <w:rFonts w:ascii="Times New Roman" w:hAnsi="Times New Roman"/>
              </w:rPr>
              <w:t>Žiadne</w:t>
            </w:r>
          </w:p>
        </w:tc>
        <w:tc>
          <w:tcPr>
            <w:tcW w:w="547" w:type="dxa"/>
            <w:gridSpan w:val="2"/>
            <w:tcBorders>
              <w:left w:val="nil"/>
              <w:right w:val="nil"/>
            </w:tcBorders>
            <w:shd w:val="clear" w:color="auto" w:fill="auto"/>
          </w:tcPr>
          <w:p w14:paraId="7BB437B4" w14:textId="630D5366" w:rsidR="00367BA7" w:rsidRPr="00DC0F2E" w:rsidRDefault="00A44721" w:rsidP="00C61B92">
            <w:pPr>
              <w:spacing w:after="0" w:line="240" w:lineRule="auto"/>
              <w:jc w:val="center"/>
              <w:rPr>
                <w:rFonts w:ascii="Times New Roman" w:hAnsi="Times New Roman"/>
              </w:rPr>
            </w:pPr>
            <w:r w:rsidRPr="00DC0F2E">
              <w:rPr>
                <w:rFonts w:ascii="Segoe UI Symbol" w:eastAsia="MS Mincho" w:hAnsi="Segoe UI Symbol" w:cs="Segoe UI Symbol"/>
                <w:b/>
              </w:rPr>
              <w:t>☒</w:t>
            </w:r>
          </w:p>
        </w:tc>
        <w:tc>
          <w:tcPr>
            <w:tcW w:w="1297" w:type="dxa"/>
            <w:tcBorders>
              <w:left w:val="nil"/>
            </w:tcBorders>
            <w:shd w:val="clear" w:color="auto" w:fill="auto"/>
          </w:tcPr>
          <w:p w14:paraId="4BC9EF0C" w14:textId="77777777" w:rsidR="00367BA7" w:rsidRPr="00DC0F2E" w:rsidRDefault="00367BA7" w:rsidP="00C61B92">
            <w:pPr>
              <w:spacing w:after="0" w:line="240" w:lineRule="auto"/>
              <w:ind w:left="54"/>
              <w:rPr>
                <w:rFonts w:ascii="Times New Roman" w:hAnsi="Times New Roman"/>
              </w:rPr>
            </w:pPr>
            <w:r w:rsidRPr="00DC0F2E">
              <w:rPr>
                <w:rFonts w:ascii="Times New Roman" w:hAnsi="Times New Roman"/>
              </w:rPr>
              <w:t>Negatívne</w:t>
            </w:r>
          </w:p>
        </w:tc>
      </w:tr>
      <w:tr w:rsidR="00367BA7" w:rsidRPr="00DC0F2E" w14:paraId="239D1DB8" w14:textId="77777777" w:rsidTr="00C61B92">
        <w:tc>
          <w:tcPr>
            <w:tcW w:w="3812" w:type="dxa"/>
            <w:tcBorders>
              <w:top w:val="single" w:sz="4" w:space="0" w:color="000000"/>
            </w:tcBorders>
            <w:shd w:val="clear" w:color="auto" w:fill="E2E2E2"/>
          </w:tcPr>
          <w:p w14:paraId="060A142F"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Sociálne vplyvy</w:t>
            </w:r>
          </w:p>
        </w:tc>
        <w:tc>
          <w:tcPr>
            <w:tcW w:w="541" w:type="dxa"/>
            <w:gridSpan w:val="2"/>
            <w:tcBorders>
              <w:right w:val="nil"/>
            </w:tcBorders>
            <w:shd w:val="clear" w:color="auto" w:fill="auto"/>
          </w:tcPr>
          <w:p w14:paraId="4BB4FD74" w14:textId="77777777" w:rsidR="00367BA7" w:rsidRPr="00DC0F2E" w:rsidRDefault="001D0EDA" w:rsidP="000A44E5">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14:paraId="796C35AF" w14:textId="77777777"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14:paraId="47548604" w14:textId="77777777" w:rsidR="00367BA7" w:rsidRPr="00DC0F2E" w:rsidRDefault="001D0EDA"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14:paraId="10A622A5"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14:paraId="508BC997" w14:textId="77777777"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14:paraId="1DC181CB" w14:textId="77777777"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367BA7" w:rsidRPr="00DC0F2E" w14:paraId="5E7DA611" w14:textId="77777777" w:rsidTr="00C61B92">
        <w:tc>
          <w:tcPr>
            <w:tcW w:w="3812" w:type="dxa"/>
            <w:shd w:val="clear" w:color="auto" w:fill="E2E2E2"/>
          </w:tcPr>
          <w:p w14:paraId="5D89CE92"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životné prostredie</w:t>
            </w:r>
          </w:p>
        </w:tc>
        <w:tc>
          <w:tcPr>
            <w:tcW w:w="541" w:type="dxa"/>
            <w:gridSpan w:val="2"/>
            <w:tcBorders>
              <w:right w:val="nil"/>
            </w:tcBorders>
            <w:shd w:val="clear" w:color="auto" w:fill="auto"/>
          </w:tcPr>
          <w:p w14:paraId="0AC68FC2" w14:textId="77777777"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14:paraId="7E85BB59" w14:textId="77777777"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14:paraId="6B71362C" w14:textId="77777777"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14:paraId="7138251A"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14:paraId="11F43EAC" w14:textId="77777777"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14:paraId="6215196F" w14:textId="77777777"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367BA7" w:rsidRPr="00DC0F2E" w14:paraId="6EEF91E9" w14:textId="77777777" w:rsidTr="00C61B92">
        <w:tc>
          <w:tcPr>
            <w:tcW w:w="3812" w:type="dxa"/>
            <w:shd w:val="clear" w:color="auto" w:fill="E2E2E2"/>
          </w:tcPr>
          <w:p w14:paraId="1558C5DA"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informatizáciu</w:t>
            </w:r>
          </w:p>
        </w:tc>
        <w:tc>
          <w:tcPr>
            <w:tcW w:w="541" w:type="dxa"/>
            <w:gridSpan w:val="2"/>
            <w:tcBorders>
              <w:right w:val="nil"/>
            </w:tcBorders>
            <w:shd w:val="clear" w:color="auto" w:fill="auto"/>
          </w:tcPr>
          <w:p w14:paraId="09AAF059" w14:textId="5863ACE5" w:rsidR="00367BA7" w:rsidRPr="00DC0F2E" w:rsidRDefault="00E378C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14:paraId="7DD349FD" w14:textId="77777777"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14:paraId="2DCA6FF0" w14:textId="45865C49" w:rsidR="00367BA7" w:rsidRPr="00DC0F2E" w:rsidRDefault="00E378C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14:paraId="4A351BEF" w14:textId="77777777"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14:paraId="727D802E" w14:textId="77777777"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14:paraId="53AB552D" w14:textId="77777777"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997E14" w:rsidRPr="00DC0F2E" w14:paraId="3DFD526F" w14:textId="77777777" w:rsidTr="00997E14">
        <w:tc>
          <w:tcPr>
            <w:tcW w:w="3812" w:type="dxa"/>
            <w:vMerge w:val="restart"/>
            <w:shd w:val="clear" w:color="auto" w:fill="E2E2E2"/>
          </w:tcPr>
          <w:p w14:paraId="77BD8D6E" w14:textId="77777777" w:rsidR="00997E14" w:rsidRDefault="00997E14" w:rsidP="00997E14">
            <w:pPr>
              <w:spacing w:after="0" w:line="240" w:lineRule="auto"/>
              <w:jc w:val="both"/>
              <w:rPr>
                <w:szCs w:val="20"/>
              </w:rPr>
            </w:pPr>
            <w:r w:rsidRPr="00997E14">
              <w:rPr>
                <w:rFonts w:ascii="Times" w:hAnsi="Times" w:cs="Times"/>
                <w:b/>
                <w:bCs/>
                <w:szCs w:val="20"/>
              </w:rPr>
              <w:t>Vplyvy na služby pre občana z toho</w:t>
            </w:r>
            <w:r w:rsidRPr="00997E14">
              <w:rPr>
                <w:szCs w:val="20"/>
              </w:rPr>
              <w:br/>
            </w:r>
            <w:r w:rsidRPr="00997E14">
              <w:rPr>
                <w:rFonts w:ascii="Times" w:hAnsi="Times" w:cs="Times"/>
                <w:szCs w:val="20"/>
              </w:rPr>
              <w:t>vplyvy služieb verejnej správy na občana</w:t>
            </w:r>
            <w:r>
              <w:rPr>
                <w:szCs w:val="20"/>
              </w:rPr>
              <w:t xml:space="preserve"> </w:t>
            </w:r>
          </w:p>
          <w:p w14:paraId="3DE7A37B" w14:textId="77777777" w:rsidR="00997E14" w:rsidRPr="00DC0F2E" w:rsidRDefault="00997E14" w:rsidP="00997E14">
            <w:pPr>
              <w:spacing w:after="0" w:line="240" w:lineRule="auto"/>
              <w:rPr>
                <w:rFonts w:ascii="Times New Roman" w:hAnsi="Times New Roman"/>
                <w:b/>
              </w:rPr>
            </w:pPr>
            <w:r w:rsidRPr="00997E14">
              <w:rPr>
                <w:rFonts w:ascii="Times" w:hAnsi="Times" w:cs="Times"/>
                <w:szCs w:val="20"/>
              </w:rPr>
              <w:t>vplyvy na procesy služieb vo verejnej</w:t>
            </w:r>
            <w:r>
              <w:rPr>
                <w:szCs w:val="20"/>
              </w:rPr>
              <w:t xml:space="preserve"> </w:t>
            </w:r>
            <w:r w:rsidRPr="00997E14">
              <w:rPr>
                <w:rFonts w:ascii="Times" w:hAnsi="Times" w:cs="Times"/>
                <w:szCs w:val="20"/>
              </w:rPr>
              <w:t>správe</w:t>
            </w:r>
          </w:p>
        </w:tc>
        <w:tc>
          <w:tcPr>
            <w:tcW w:w="541" w:type="dxa"/>
            <w:gridSpan w:val="2"/>
            <w:tcBorders>
              <w:bottom w:val="single" w:sz="4" w:space="0" w:color="FFFFFF" w:themeColor="background1"/>
              <w:right w:val="nil"/>
            </w:tcBorders>
            <w:shd w:val="clear" w:color="auto" w:fill="auto"/>
          </w:tcPr>
          <w:p w14:paraId="7A777C86" w14:textId="77777777" w:rsidR="00997E14" w:rsidRDefault="00997E14" w:rsidP="007E7375">
            <w:pPr>
              <w:spacing w:after="0" w:line="240" w:lineRule="auto"/>
              <w:jc w:val="center"/>
              <w:rPr>
                <w:rFonts w:ascii="MS Mincho" w:eastAsia="MS Mincho" w:hAnsi="MS Mincho" w:cs="MS Mincho"/>
                <w:b/>
              </w:rPr>
            </w:pPr>
          </w:p>
          <w:p w14:paraId="54F10E86" w14:textId="02657756" w:rsidR="00997E14" w:rsidRPr="00DC0F2E" w:rsidRDefault="00A44721"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left w:val="nil"/>
              <w:bottom w:val="single" w:sz="4" w:space="0" w:color="FFFFFF" w:themeColor="background1"/>
              <w:right w:val="nil"/>
            </w:tcBorders>
            <w:shd w:val="clear" w:color="auto" w:fill="auto"/>
          </w:tcPr>
          <w:p w14:paraId="3EC70F9C" w14:textId="77777777" w:rsidR="00997E14" w:rsidRDefault="00997E14" w:rsidP="007E7375">
            <w:pPr>
              <w:spacing w:after="0" w:line="240" w:lineRule="auto"/>
              <w:ind w:right="-108"/>
              <w:rPr>
                <w:rFonts w:ascii="Times New Roman" w:hAnsi="Times New Roman"/>
                <w:b/>
              </w:rPr>
            </w:pPr>
          </w:p>
          <w:p w14:paraId="75AEA0D8" w14:textId="77777777" w:rsidR="00997E14" w:rsidRPr="00DC0F2E" w:rsidRDefault="00997E14" w:rsidP="007E7375">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bottom w:val="single" w:sz="4" w:space="0" w:color="FFFFFF" w:themeColor="background1"/>
              <w:right w:val="nil"/>
            </w:tcBorders>
            <w:shd w:val="clear" w:color="auto" w:fill="auto"/>
          </w:tcPr>
          <w:p w14:paraId="475D821E" w14:textId="77777777" w:rsidR="00997E14" w:rsidRDefault="00997E14" w:rsidP="007E7375">
            <w:pPr>
              <w:spacing w:after="0" w:line="240" w:lineRule="auto"/>
              <w:jc w:val="center"/>
              <w:rPr>
                <w:rFonts w:ascii="MS Mincho" w:eastAsia="MS Mincho" w:hAnsi="MS Mincho" w:cs="MS Mincho"/>
                <w:b/>
              </w:rPr>
            </w:pPr>
          </w:p>
          <w:p w14:paraId="69559848" w14:textId="2B59CABC" w:rsidR="00997E14" w:rsidRPr="00DC0F2E" w:rsidRDefault="00A44721"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bottom w:val="single" w:sz="4" w:space="0" w:color="FFFFFF" w:themeColor="background1"/>
              <w:right w:val="nil"/>
            </w:tcBorders>
            <w:shd w:val="clear" w:color="auto" w:fill="auto"/>
          </w:tcPr>
          <w:p w14:paraId="13BFE4C4" w14:textId="77777777" w:rsidR="00997E14" w:rsidRDefault="00997E14" w:rsidP="007E7375">
            <w:pPr>
              <w:spacing w:after="0" w:line="240" w:lineRule="auto"/>
              <w:rPr>
                <w:rFonts w:ascii="Times New Roman" w:hAnsi="Times New Roman"/>
                <w:b/>
              </w:rPr>
            </w:pPr>
          </w:p>
          <w:p w14:paraId="43B7E82D" w14:textId="77777777" w:rsidR="00997E14" w:rsidRPr="00DC0F2E" w:rsidRDefault="00997E14" w:rsidP="007E7375">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bottom w:val="single" w:sz="4" w:space="0" w:color="FFFFFF" w:themeColor="background1"/>
              <w:right w:val="nil"/>
            </w:tcBorders>
            <w:shd w:val="clear" w:color="auto" w:fill="auto"/>
          </w:tcPr>
          <w:p w14:paraId="0152F04D" w14:textId="77777777" w:rsidR="00997E14" w:rsidRDefault="00997E14" w:rsidP="007E7375">
            <w:pPr>
              <w:spacing w:after="0" w:line="240" w:lineRule="auto"/>
              <w:jc w:val="center"/>
              <w:rPr>
                <w:rFonts w:ascii="MS Mincho" w:eastAsia="MS Mincho" w:hAnsi="MS Mincho" w:cs="MS Mincho"/>
                <w:b/>
              </w:rPr>
            </w:pPr>
          </w:p>
          <w:p w14:paraId="65D9674D" w14:textId="77777777" w:rsidR="00997E14" w:rsidRPr="00DC0F2E" w:rsidRDefault="00997E14" w:rsidP="007E7375">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bottom w:val="single" w:sz="4" w:space="0" w:color="FFFFFF" w:themeColor="background1"/>
            </w:tcBorders>
            <w:shd w:val="clear" w:color="auto" w:fill="auto"/>
          </w:tcPr>
          <w:p w14:paraId="605CF10E" w14:textId="77777777" w:rsidR="00997E14" w:rsidRDefault="00997E14" w:rsidP="007E7375">
            <w:pPr>
              <w:spacing w:after="0" w:line="240" w:lineRule="auto"/>
              <w:ind w:left="54"/>
              <w:rPr>
                <w:rFonts w:ascii="Times New Roman" w:hAnsi="Times New Roman"/>
                <w:b/>
              </w:rPr>
            </w:pPr>
          </w:p>
          <w:p w14:paraId="68988398" w14:textId="77777777" w:rsidR="00997E14" w:rsidRPr="00DC0F2E" w:rsidRDefault="00997E14" w:rsidP="007E7375">
            <w:pPr>
              <w:spacing w:after="0" w:line="240" w:lineRule="auto"/>
              <w:ind w:left="54"/>
              <w:rPr>
                <w:rFonts w:ascii="Times New Roman" w:hAnsi="Times New Roman"/>
                <w:b/>
              </w:rPr>
            </w:pPr>
            <w:r w:rsidRPr="00DC0F2E">
              <w:rPr>
                <w:rFonts w:ascii="Times New Roman" w:hAnsi="Times New Roman"/>
                <w:b/>
              </w:rPr>
              <w:t>Negatívne</w:t>
            </w:r>
          </w:p>
        </w:tc>
      </w:tr>
      <w:tr w:rsidR="00997E14" w:rsidRPr="00DC0F2E" w14:paraId="2A5892DB" w14:textId="77777777" w:rsidTr="00997E14">
        <w:tc>
          <w:tcPr>
            <w:tcW w:w="3812" w:type="dxa"/>
            <w:vMerge/>
            <w:shd w:val="clear" w:color="auto" w:fill="E2E2E2"/>
          </w:tcPr>
          <w:p w14:paraId="3A503B99" w14:textId="77777777" w:rsidR="00997E14" w:rsidRPr="00DC0F2E" w:rsidRDefault="00997E14" w:rsidP="00C61B92">
            <w:pPr>
              <w:spacing w:after="0" w:line="240" w:lineRule="auto"/>
              <w:rPr>
                <w:rFonts w:ascii="Times New Roman" w:hAnsi="Times New Roman"/>
                <w:b/>
              </w:rPr>
            </w:pPr>
          </w:p>
        </w:tc>
        <w:tc>
          <w:tcPr>
            <w:tcW w:w="541" w:type="dxa"/>
            <w:gridSpan w:val="2"/>
            <w:tcBorders>
              <w:top w:val="single" w:sz="4" w:space="0" w:color="FFFFFF" w:themeColor="background1"/>
              <w:right w:val="nil"/>
            </w:tcBorders>
            <w:shd w:val="clear" w:color="auto" w:fill="auto"/>
          </w:tcPr>
          <w:p w14:paraId="330B3D2A" w14:textId="77777777" w:rsidR="00997E14" w:rsidRDefault="00997E14" w:rsidP="007E7375">
            <w:pPr>
              <w:spacing w:after="0" w:line="240" w:lineRule="auto"/>
              <w:jc w:val="center"/>
              <w:rPr>
                <w:rFonts w:ascii="MS Mincho" w:eastAsia="MS Mincho" w:hAnsi="MS Mincho" w:cs="MS Mincho"/>
                <w:b/>
              </w:rPr>
            </w:pPr>
          </w:p>
          <w:p w14:paraId="51365344" w14:textId="4A458E20" w:rsidR="00997E14" w:rsidRPr="00DC0F2E" w:rsidRDefault="00067673"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top w:val="single" w:sz="4" w:space="0" w:color="FFFFFF" w:themeColor="background1"/>
              <w:left w:val="nil"/>
              <w:right w:val="nil"/>
            </w:tcBorders>
            <w:shd w:val="clear" w:color="auto" w:fill="auto"/>
          </w:tcPr>
          <w:p w14:paraId="2C253DD5" w14:textId="77777777" w:rsidR="00997E14" w:rsidRDefault="00997E14" w:rsidP="007E7375">
            <w:pPr>
              <w:spacing w:after="0" w:line="240" w:lineRule="auto"/>
              <w:ind w:right="-108"/>
              <w:rPr>
                <w:rFonts w:ascii="Times New Roman" w:hAnsi="Times New Roman"/>
                <w:b/>
              </w:rPr>
            </w:pPr>
          </w:p>
          <w:p w14:paraId="2BC1DDF6" w14:textId="77777777" w:rsidR="00997E14" w:rsidRPr="00DC0F2E" w:rsidRDefault="00997E14" w:rsidP="007E7375">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FFFFFF" w:themeColor="background1"/>
              <w:left w:val="nil"/>
              <w:right w:val="nil"/>
            </w:tcBorders>
            <w:shd w:val="clear" w:color="auto" w:fill="auto"/>
          </w:tcPr>
          <w:p w14:paraId="476CE814" w14:textId="77777777" w:rsidR="00997E14" w:rsidRDefault="00997E14" w:rsidP="007E7375">
            <w:pPr>
              <w:spacing w:after="0" w:line="240" w:lineRule="auto"/>
              <w:jc w:val="center"/>
              <w:rPr>
                <w:rFonts w:ascii="MS Mincho" w:eastAsia="MS Mincho" w:hAnsi="MS Mincho" w:cs="MS Mincho"/>
                <w:b/>
              </w:rPr>
            </w:pPr>
          </w:p>
          <w:p w14:paraId="38102C92" w14:textId="168D6443" w:rsidR="00997E14" w:rsidRPr="00DC0F2E" w:rsidRDefault="00067673"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top w:val="single" w:sz="4" w:space="0" w:color="FFFFFF" w:themeColor="background1"/>
              <w:left w:val="nil"/>
              <w:right w:val="nil"/>
            </w:tcBorders>
            <w:shd w:val="clear" w:color="auto" w:fill="auto"/>
          </w:tcPr>
          <w:p w14:paraId="5F8AA6B1" w14:textId="77777777" w:rsidR="00997E14" w:rsidRDefault="00997E14" w:rsidP="007E7375">
            <w:pPr>
              <w:spacing w:after="0" w:line="240" w:lineRule="auto"/>
              <w:rPr>
                <w:rFonts w:ascii="Times New Roman" w:hAnsi="Times New Roman"/>
                <w:b/>
              </w:rPr>
            </w:pPr>
          </w:p>
          <w:p w14:paraId="6529C358" w14:textId="77777777" w:rsidR="00997E14" w:rsidRPr="00DC0F2E" w:rsidRDefault="00997E14" w:rsidP="007E7375">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FFFFFF" w:themeColor="background1"/>
              <w:left w:val="nil"/>
              <w:right w:val="nil"/>
            </w:tcBorders>
            <w:shd w:val="clear" w:color="auto" w:fill="auto"/>
          </w:tcPr>
          <w:p w14:paraId="0E37E827" w14:textId="77777777" w:rsidR="00997E14" w:rsidRDefault="00997E14" w:rsidP="007E7375">
            <w:pPr>
              <w:spacing w:after="0" w:line="240" w:lineRule="auto"/>
              <w:jc w:val="center"/>
              <w:rPr>
                <w:rFonts w:ascii="MS Mincho" w:eastAsia="MS Mincho" w:hAnsi="MS Mincho" w:cs="MS Mincho"/>
                <w:b/>
              </w:rPr>
            </w:pPr>
          </w:p>
          <w:p w14:paraId="11D1EA33" w14:textId="77777777" w:rsidR="00997E14" w:rsidRPr="00DC0F2E" w:rsidRDefault="00997E14" w:rsidP="007E7375">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FFFFFF" w:themeColor="background1"/>
              <w:left w:val="nil"/>
            </w:tcBorders>
            <w:shd w:val="clear" w:color="auto" w:fill="auto"/>
          </w:tcPr>
          <w:p w14:paraId="3D126BB0" w14:textId="77777777" w:rsidR="00997E14" w:rsidRDefault="00997E14" w:rsidP="007E7375">
            <w:pPr>
              <w:spacing w:after="0" w:line="240" w:lineRule="auto"/>
              <w:ind w:left="54"/>
              <w:rPr>
                <w:rFonts w:ascii="Times New Roman" w:hAnsi="Times New Roman"/>
                <w:b/>
              </w:rPr>
            </w:pPr>
          </w:p>
          <w:p w14:paraId="06BA0B85" w14:textId="77777777" w:rsidR="00997E14" w:rsidRPr="00DC0F2E" w:rsidRDefault="00997E14" w:rsidP="007E7375">
            <w:pPr>
              <w:spacing w:after="0" w:line="240" w:lineRule="auto"/>
              <w:ind w:left="54"/>
              <w:rPr>
                <w:rFonts w:ascii="Times New Roman" w:hAnsi="Times New Roman"/>
                <w:b/>
              </w:rPr>
            </w:pPr>
            <w:r w:rsidRPr="00DC0F2E">
              <w:rPr>
                <w:rFonts w:ascii="Times New Roman" w:hAnsi="Times New Roman"/>
                <w:b/>
              </w:rPr>
              <w:t>Negatívne</w:t>
            </w:r>
          </w:p>
        </w:tc>
      </w:tr>
      <w:tr w:rsidR="00997E14" w:rsidRPr="00DC0F2E" w14:paraId="536CBB99" w14:textId="77777777" w:rsidTr="00C61B92">
        <w:tc>
          <w:tcPr>
            <w:tcW w:w="9180" w:type="dxa"/>
            <w:gridSpan w:val="10"/>
            <w:tcBorders>
              <w:bottom w:val="nil"/>
            </w:tcBorders>
            <w:shd w:val="clear" w:color="auto" w:fill="E2E2E2"/>
          </w:tcPr>
          <w:p w14:paraId="2306B57A" w14:textId="77777777" w:rsidR="00997E14" w:rsidRPr="00DC0F2E" w:rsidRDefault="00997E14"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Poznámky</w:t>
            </w:r>
          </w:p>
        </w:tc>
      </w:tr>
      <w:tr w:rsidR="00997E14" w:rsidRPr="00DC0F2E" w14:paraId="1164C6CC" w14:textId="77777777" w:rsidTr="00C61B92">
        <w:trPr>
          <w:trHeight w:val="713"/>
        </w:trPr>
        <w:tc>
          <w:tcPr>
            <w:tcW w:w="9180" w:type="dxa"/>
            <w:gridSpan w:val="10"/>
            <w:tcBorders>
              <w:top w:val="nil"/>
              <w:bottom w:val="single" w:sz="4" w:space="0" w:color="FFFFFF"/>
            </w:tcBorders>
            <w:shd w:val="clear" w:color="auto" w:fill="auto"/>
          </w:tcPr>
          <w:p w14:paraId="1F009D09" w14:textId="77777777" w:rsidR="00EE5C88" w:rsidRDefault="00EE5C88" w:rsidP="0000132C">
            <w:pPr>
              <w:spacing w:after="0" w:line="240" w:lineRule="auto"/>
              <w:jc w:val="both"/>
              <w:rPr>
                <w:rFonts w:ascii="Times New Roman" w:hAnsi="Times New Roman"/>
              </w:rPr>
            </w:pPr>
            <w:r w:rsidRPr="00AF70C2">
              <w:rPr>
                <w:rFonts w:ascii="Times New Roman" w:hAnsi="Times New Roman"/>
                <w:u w:val="single"/>
              </w:rPr>
              <w:t>K vplyvom na rozpočet verejnej správy</w:t>
            </w:r>
            <w:r>
              <w:rPr>
                <w:rFonts w:ascii="Times New Roman" w:hAnsi="Times New Roman"/>
              </w:rPr>
              <w:t xml:space="preserve">: </w:t>
            </w:r>
          </w:p>
          <w:p w14:paraId="599B183C" w14:textId="25064C50" w:rsidR="00E378CC" w:rsidRDefault="00E378CC" w:rsidP="0000132C">
            <w:pPr>
              <w:spacing w:after="0" w:line="240" w:lineRule="auto"/>
              <w:jc w:val="both"/>
              <w:rPr>
                <w:rFonts w:ascii="Times New Roman" w:hAnsi="Times New Roman"/>
              </w:rPr>
            </w:pPr>
            <w:r>
              <w:rPr>
                <w:rFonts w:ascii="Times New Roman" w:hAnsi="Times New Roman"/>
              </w:rPr>
              <w:t>Materiál zakladá pozitívny vplyv na rozpočet verejnej správy najmä zavádzaním nových pravidiel centráln</w:t>
            </w:r>
            <w:r w:rsidR="0000132C">
              <w:rPr>
                <w:rFonts w:ascii="Times New Roman" w:hAnsi="Times New Roman"/>
              </w:rPr>
              <w:t>eho doručovania, ktoré odbremenia</w:t>
            </w:r>
            <w:r>
              <w:rPr>
                <w:rFonts w:ascii="Times New Roman" w:hAnsi="Times New Roman"/>
              </w:rPr>
              <w:t xml:space="preserve"> rozpočtové a príspevkové organizácie od povinnosti zabezpečiť personálne a finančné kapacity na doručovanie rozhodnutí. Tieto činnosti bude zabezpečovať správca modulu elektronického doručovania, čím v konečnom dôsledku dôjde k zefektívneniu činností a možným úsporám prostriedkov, ktoré dnes rezorty jednotlivo vynakladajú na poštové služby. </w:t>
            </w:r>
          </w:p>
          <w:p w14:paraId="1C25A93B" w14:textId="47DBC0F2" w:rsidR="00E21E03" w:rsidRDefault="004772E6" w:rsidP="0000132C">
            <w:pPr>
              <w:spacing w:after="0" w:line="240" w:lineRule="auto"/>
              <w:jc w:val="both"/>
              <w:rPr>
                <w:rFonts w:ascii="Times New Roman" w:hAnsi="Times New Roman"/>
              </w:rPr>
            </w:pPr>
            <w:r>
              <w:rPr>
                <w:rFonts w:ascii="Times New Roman" w:hAnsi="Times New Roman"/>
              </w:rPr>
              <w:t>Návrhmi zmien (najmä § 17 ods. 6) má za cieľ posilniť</w:t>
            </w:r>
            <w:r w:rsidR="00E21E03">
              <w:rPr>
                <w:rFonts w:ascii="Times New Roman" w:hAnsi="Times New Roman"/>
              </w:rPr>
              <w:t xml:space="preserve"> princíp „jedenkrát a dosť“. Občan pri podaní nebude musieť predkladať rozhodnutia vydané v inom konaní, ale identifikuje iný orgán verejnej moci, ktorý toto rozhodnutie vydal. </w:t>
            </w:r>
          </w:p>
          <w:p w14:paraId="70A58B2D" w14:textId="64E834FF" w:rsidR="00E21E03" w:rsidRDefault="00E21E03" w:rsidP="0000132C">
            <w:pPr>
              <w:spacing w:after="0" w:line="240" w:lineRule="auto"/>
              <w:jc w:val="both"/>
              <w:rPr>
                <w:rFonts w:ascii="Times New Roman" w:hAnsi="Times New Roman"/>
              </w:rPr>
            </w:pPr>
            <w:r>
              <w:rPr>
                <w:rFonts w:ascii="Times New Roman" w:hAnsi="Times New Roman"/>
              </w:rPr>
              <w:t>Zavedením pravidiel používania vládneho cloudu dochádza k</w:t>
            </w:r>
            <w:r w:rsidR="003504A4">
              <w:rPr>
                <w:rFonts w:ascii="Times New Roman" w:hAnsi="Times New Roman"/>
              </w:rPr>
              <w:t> </w:t>
            </w:r>
            <w:r>
              <w:rPr>
                <w:rFonts w:ascii="Times New Roman" w:hAnsi="Times New Roman"/>
              </w:rPr>
              <w:t xml:space="preserve">zapracovaniu strategických priorít Národnej koncepcie informatizácie verejnej správy </w:t>
            </w:r>
            <w:r w:rsidR="00595107">
              <w:rPr>
                <w:rFonts w:ascii="Times New Roman" w:hAnsi="Times New Roman"/>
              </w:rPr>
              <w:t xml:space="preserve">z roku </w:t>
            </w:r>
            <w:r>
              <w:rPr>
                <w:rFonts w:ascii="Times New Roman" w:hAnsi="Times New Roman"/>
              </w:rPr>
              <w:t>2016</w:t>
            </w:r>
            <w:r w:rsidR="000A3B12">
              <w:rPr>
                <w:rFonts w:ascii="Times New Roman" w:hAnsi="Times New Roman"/>
              </w:rPr>
              <w:t xml:space="preserve">, pričom prínos cloudových služieb a rozvoj dátových centier štátu na kvalitu služieb, interoperabilitu a optimalizáciu využitia zdrojov verejnej správy bol </w:t>
            </w:r>
            <w:r w:rsidR="00595107">
              <w:rPr>
                <w:rFonts w:ascii="Times New Roman" w:hAnsi="Times New Roman"/>
              </w:rPr>
              <w:t>predmetom analýzy viacer</w:t>
            </w:r>
            <w:r w:rsidR="000A3B12">
              <w:rPr>
                <w:rFonts w:ascii="Times New Roman" w:hAnsi="Times New Roman"/>
              </w:rPr>
              <w:t xml:space="preserve">ých </w:t>
            </w:r>
            <w:r w:rsidR="00595107">
              <w:rPr>
                <w:rFonts w:ascii="Times New Roman" w:hAnsi="Times New Roman"/>
              </w:rPr>
              <w:t>koncepčných materiálov</w:t>
            </w:r>
            <w:r w:rsidR="000A3B12">
              <w:rPr>
                <w:rFonts w:ascii="Times New Roman" w:hAnsi="Times New Roman"/>
              </w:rPr>
              <w:t xml:space="preserve">. </w:t>
            </w:r>
          </w:p>
          <w:p w14:paraId="4995D116" w14:textId="323176AB" w:rsidR="000A3B12" w:rsidRDefault="000A3B12" w:rsidP="0000132C">
            <w:pPr>
              <w:spacing w:after="0" w:line="240" w:lineRule="auto"/>
              <w:jc w:val="both"/>
              <w:rPr>
                <w:rFonts w:ascii="Times New Roman" w:hAnsi="Times New Roman"/>
              </w:rPr>
            </w:pPr>
            <w:r>
              <w:rPr>
                <w:rFonts w:ascii="Times New Roman" w:hAnsi="Times New Roman"/>
              </w:rPr>
              <w:t xml:space="preserve">Úpravy v oblasti platby poplatkov majú za cieľ zjednotiť </w:t>
            </w:r>
            <w:r w:rsidR="00AF70C2">
              <w:rPr>
                <w:rFonts w:ascii="Times New Roman" w:hAnsi="Times New Roman"/>
              </w:rPr>
              <w:t xml:space="preserve">postupy orgánov verejnej moci, správcov ústredného portálu verejnej správy a špecializovaných portálov </w:t>
            </w:r>
            <w:r>
              <w:rPr>
                <w:rFonts w:ascii="Times New Roman" w:hAnsi="Times New Roman"/>
              </w:rPr>
              <w:t>a zatraktívniť platbu kartou za služ</w:t>
            </w:r>
            <w:r w:rsidR="00AF70C2">
              <w:rPr>
                <w:rFonts w:ascii="Times New Roman" w:hAnsi="Times New Roman"/>
              </w:rPr>
              <w:t xml:space="preserve">by </w:t>
            </w:r>
            <w:r w:rsidR="003504A4">
              <w:rPr>
                <w:rFonts w:ascii="Times New Roman" w:hAnsi="Times New Roman"/>
              </w:rPr>
              <w:t>dostupné</w:t>
            </w:r>
            <w:r w:rsidR="00AF70C2">
              <w:rPr>
                <w:rFonts w:ascii="Times New Roman" w:hAnsi="Times New Roman"/>
              </w:rPr>
              <w:t xml:space="preserve"> online. I</w:t>
            </w:r>
            <w:r>
              <w:rPr>
                <w:rFonts w:ascii="Times New Roman" w:hAnsi="Times New Roman"/>
              </w:rPr>
              <w:t xml:space="preserve">de len o spresnenie a rozšírenie </w:t>
            </w:r>
            <w:r w:rsidR="00AF70C2">
              <w:rPr>
                <w:rFonts w:ascii="Times New Roman" w:hAnsi="Times New Roman"/>
              </w:rPr>
              <w:t>systému už v súčasnosti používanom v rámci verejnej správy</w:t>
            </w:r>
            <w:r w:rsidR="003504A4">
              <w:rPr>
                <w:rFonts w:ascii="Times New Roman" w:hAnsi="Times New Roman"/>
              </w:rPr>
              <w:t xml:space="preserve"> pri platbe správnych poplatkov, súdnych poplatkov a poplatku za výpis z registra trestov</w:t>
            </w:r>
            <w:r w:rsidR="00AF70C2">
              <w:rPr>
                <w:rFonts w:ascii="Times New Roman" w:hAnsi="Times New Roman"/>
              </w:rPr>
              <w:t xml:space="preserve">, neočakáva sa </w:t>
            </w:r>
            <w:r w:rsidR="003504A4">
              <w:rPr>
                <w:rFonts w:ascii="Times New Roman" w:hAnsi="Times New Roman"/>
              </w:rPr>
              <w:t xml:space="preserve">preto </w:t>
            </w:r>
            <w:r w:rsidR="00AF70C2">
              <w:rPr>
                <w:rFonts w:ascii="Times New Roman" w:hAnsi="Times New Roman"/>
              </w:rPr>
              <w:t xml:space="preserve">výrazný dopad </w:t>
            </w:r>
            <w:r w:rsidR="003504A4">
              <w:rPr>
                <w:rFonts w:ascii="Times New Roman" w:hAnsi="Times New Roman"/>
              </w:rPr>
              <w:t xml:space="preserve">návrhu v tejto časti </w:t>
            </w:r>
            <w:r w:rsidR="00AF70C2">
              <w:rPr>
                <w:rFonts w:ascii="Times New Roman" w:hAnsi="Times New Roman"/>
              </w:rPr>
              <w:t xml:space="preserve">na rozpočet verejnej správy. Rozšíreným používaním platby kartou možno v konečnom dôsledku očakávať zníženie administratívnych nákladov na zúčtovacie činnosti v rámci prístupových miest. </w:t>
            </w:r>
            <w:r w:rsidR="00897A93">
              <w:rPr>
                <w:rFonts w:ascii="Times New Roman" w:hAnsi="Times New Roman"/>
              </w:rPr>
              <w:t xml:space="preserve">V kombinácii so zjednodušením autorizácie podaní </w:t>
            </w:r>
            <w:r w:rsidR="00595107">
              <w:rPr>
                <w:rFonts w:ascii="Times New Roman" w:hAnsi="Times New Roman"/>
              </w:rPr>
              <w:t>je možné očakávať k nárastu záujmu využívania elektronických služieb občanmi a právnickými osobami, čo môže znamenať zníženú administratívnu záťaž na vybavovanie osobných podaní, resp. efektívnejšie využitie týchto kapacít na iné činnosti.</w:t>
            </w:r>
          </w:p>
          <w:p w14:paraId="7307ED1D" w14:textId="2AD220F5" w:rsidR="003504A4" w:rsidRDefault="00AF70C2" w:rsidP="0000132C">
            <w:pPr>
              <w:spacing w:after="0" w:line="240" w:lineRule="auto"/>
              <w:jc w:val="both"/>
              <w:rPr>
                <w:rFonts w:ascii="Times New Roman" w:hAnsi="Times New Roman"/>
              </w:rPr>
            </w:pPr>
            <w:r w:rsidRPr="00EE5C88">
              <w:rPr>
                <w:rFonts w:ascii="Times New Roman" w:hAnsi="Times New Roman"/>
              </w:rPr>
              <w:t xml:space="preserve">Návrh </w:t>
            </w:r>
            <w:r w:rsidR="00360E78">
              <w:rPr>
                <w:rFonts w:ascii="Times New Roman" w:hAnsi="Times New Roman"/>
              </w:rPr>
              <w:t>môže zakladať</w:t>
            </w:r>
            <w:r w:rsidRPr="00EE5C88">
              <w:rPr>
                <w:rFonts w:ascii="Times New Roman" w:hAnsi="Times New Roman"/>
              </w:rPr>
              <w:t xml:space="preserve"> negatívne vplyvy na rozpočet orgánov verejnej moci, ktoré prevádzkujú v súčasnosti vlastnú elektronickú podateľňu, a to v súvislosti s prechodom na povinné používanie funkcionality elektronickej podateľne implementovanej na ÚPVS</w:t>
            </w:r>
            <w:r w:rsidR="00360E78">
              <w:rPr>
                <w:rFonts w:ascii="Times New Roman" w:hAnsi="Times New Roman"/>
              </w:rPr>
              <w:t>, pokiaľ im Úrad nepovolí výnimku</w:t>
            </w:r>
            <w:r w:rsidRPr="00EE5C88">
              <w:rPr>
                <w:rFonts w:ascii="Times New Roman" w:hAnsi="Times New Roman"/>
              </w:rPr>
              <w:t xml:space="preserve">. </w:t>
            </w:r>
            <w:r w:rsidR="00897A93">
              <w:rPr>
                <w:rFonts w:ascii="Times New Roman" w:hAnsi="Times New Roman"/>
              </w:rPr>
              <w:t xml:space="preserve">Na tento prechod sa z dôvodov plánovania </w:t>
            </w:r>
            <w:r w:rsidR="00595107">
              <w:rPr>
                <w:rFonts w:ascii="Times New Roman" w:hAnsi="Times New Roman"/>
              </w:rPr>
              <w:t xml:space="preserve">výdavkov vo verejnej správe </w:t>
            </w:r>
            <w:r w:rsidR="00897A93">
              <w:rPr>
                <w:rFonts w:ascii="Times New Roman" w:hAnsi="Times New Roman"/>
              </w:rPr>
              <w:t>navrhuje odklad účinnosti, a to až do 31. decembra 2020.</w:t>
            </w:r>
            <w:r w:rsidR="00360E78">
              <w:rPr>
                <w:rFonts w:ascii="Times New Roman" w:hAnsi="Times New Roman"/>
              </w:rPr>
              <w:t xml:space="preserve"> Vzhľadom na rôznorodosť riešení v rámci verejnej správy, ako aj na dlhšie prechodné obdobie, nie je možné aktuálne vyčísliť finančné dopady tejto povinnosti. </w:t>
            </w:r>
          </w:p>
          <w:p w14:paraId="05C4B8DB" w14:textId="18E330F5" w:rsidR="00897A93" w:rsidRDefault="00AF70C2" w:rsidP="0000132C">
            <w:pPr>
              <w:spacing w:after="0" w:line="240" w:lineRule="auto"/>
              <w:jc w:val="both"/>
              <w:rPr>
                <w:rFonts w:ascii="Times New Roman" w:hAnsi="Times New Roman"/>
              </w:rPr>
            </w:pPr>
            <w:r>
              <w:rPr>
                <w:rFonts w:ascii="Times New Roman" w:hAnsi="Times New Roman"/>
              </w:rPr>
              <w:t xml:space="preserve">Negatívne finančné dopady na rozpočet ÚPPVII </w:t>
            </w:r>
            <w:r w:rsidR="00360E78">
              <w:rPr>
                <w:rFonts w:ascii="Times New Roman" w:hAnsi="Times New Roman"/>
              </w:rPr>
              <w:t xml:space="preserve">a ÚVSR/NASES </w:t>
            </w:r>
            <w:r>
              <w:rPr>
                <w:rFonts w:ascii="Times New Roman" w:hAnsi="Times New Roman"/>
              </w:rPr>
              <w:t>sa očakávajú v súvislosti s implementáciou modulu procesnej integrácie a integrácie údajov, a to na činnosti súvisiace s</w:t>
            </w:r>
            <w:r w:rsidR="00897A93">
              <w:rPr>
                <w:rFonts w:ascii="Times New Roman" w:hAnsi="Times New Roman"/>
              </w:rPr>
              <w:t> tvorbou,</w:t>
            </w:r>
            <w:r>
              <w:rPr>
                <w:rFonts w:ascii="Times New Roman" w:hAnsi="Times New Roman"/>
              </w:rPr>
              <w:t xml:space="preserve"> správou a prevádzkou modulu</w:t>
            </w:r>
            <w:r w:rsidR="00897A93">
              <w:rPr>
                <w:rFonts w:ascii="Times New Roman" w:hAnsi="Times New Roman"/>
              </w:rPr>
              <w:t xml:space="preserve"> a riadením integračných procesov vo verejnej správe</w:t>
            </w:r>
            <w:r>
              <w:rPr>
                <w:rFonts w:ascii="Times New Roman" w:hAnsi="Times New Roman"/>
              </w:rPr>
              <w:t>.</w:t>
            </w:r>
          </w:p>
          <w:p w14:paraId="660B3D86" w14:textId="4306A503" w:rsidR="00AF70C2" w:rsidRDefault="00360E78" w:rsidP="0000132C">
            <w:pPr>
              <w:spacing w:after="0" w:line="240" w:lineRule="auto"/>
              <w:jc w:val="both"/>
              <w:rPr>
                <w:rFonts w:ascii="Times New Roman" w:hAnsi="Times New Roman"/>
              </w:rPr>
            </w:pPr>
            <w:r>
              <w:rPr>
                <w:rFonts w:ascii="Times New Roman" w:hAnsi="Times New Roman"/>
              </w:rPr>
              <w:lastRenderedPageBreak/>
              <w:t>Dopad na</w:t>
            </w:r>
            <w:r w:rsidR="00897A93">
              <w:rPr>
                <w:rFonts w:ascii="Times New Roman" w:hAnsi="Times New Roman"/>
              </w:rPr>
              <w:t xml:space="preserve"> rozpočet </w:t>
            </w:r>
            <w:r>
              <w:rPr>
                <w:rFonts w:ascii="Times New Roman" w:hAnsi="Times New Roman"/>
              </w:rPr>
              <w:t>ÚV SR/NASES</w:t>
            </w:r>
            <w:r w:rsidR="00897A93">
              <w:rPr>
                <w:rFonts w:ascii="Times New Roman" w:hAnsi="Times New Roman"/>
              </w:rPr>
              <w:t xml:space="preserve">, </w:t>
            </w:r>
            <w:r>
              <w:rPr>
                <w:rFonts w:ascii="Times New Roman" w:hAnsi="Times New Roman"/>
              </w:rPr>
              <w:t>vo vzťahu k úprave</w:t>
            </w:r>
            <w:r w:rsidR="00897A93">
              <w:rPr>
                <w:rFonts w:ascii="Times New Roman" w:hAnsi="Times New Roman"/>
              </w:rPr>
              <w:t xml:space="preserve"> funkcionalít portálu a spoločných modulov, nevyhnutných pre realizáciu navrhnutých zmien</w:t>
            </w:r>
            <w:r>
              <w:rPr>
                <w:rFonts w:ascii="Times New Roman" w:hAnsi="Times New Roman"/>
              </w:rPr>
              <w:t>, je vyčíslený v priloženej analýze</w:t>
            </w:r>
            <w:r w:rsidR="00897A93">
              <w:rPr>
                <w:rFonts w:ascii="Times New Roman" w:hAnsi="Times New Roman"/>
              </w:rPr>
              <w:t xml:space="preserve">. </w:t>
            </w:r>
          </w:p>
          <w:p w14:paraId="7B0C0914" w14:textId="784B7F55" w:rsidR="00FA074A" w:rsidRDefault="008B52EB" w:rsidP="0000132C">
            <w:pPr>
              <w:spacing w:after="0" w:line="240" w:lineRule="auto"/>
              <w:jc w:val="both"/>
              <w:rPr>
                <w:rFonts w:ascii="Times New Roman" w:hAnsi="Times New Roman"/>
              </w:rPr>
            </w:pPr>
            <w:r w:rsidRPr="00EE5C88">
              <w:rPr>
                <w:rFonts w:ascii="Times New Roman" w:hAnsi="Times New Roman"/>
              </w:rPr>
              <w:t>V</w:t>
            </w:r>
            <w:r w:rsidR="003045DC" w:rsidRPr="00EE5C88">
              <w:rPr>
                <w:rFonts w:ascii="Times New Roman" w:hAnsi="Times New Roman"/>
              </w:rPr>
              <w:t xml:space="preserve"> súčasnosti </w:t>
            </w:r>
            <w:r w:rsidRPr="00EE5C88">
              <w:rPr>
                <w:rFonts w:ascii="Times New Roman" w:hAnsi="Times New Roman"/>
              </w:rPr>
              <w:t>prebieha príprava štúdií</w:t>
            </w:r>
            <w:r w:rsidR="00360E78">
              <w:rPr>
                <w:rFonts w:ascii="Times New Roman" w:hAnsi="Times New Roman"/>
              </w:rPr>
              <w:t xml:space="preserve"> a projektov, na základe ktorých bude možné identifikovať možnosť využitia financovania</w:t>
            </w:r>
            <w:r w:rsidR="003045DC" w:rsidRPr="00EE5C88">
              <w:rPr>
                <w:rFonts w:ascii="Times New Roman" w:hAnsi="Times New Roman"/>
              </w:rPr>
              <w:t xml:space="preserve"> zmien </w:t>
            </w:r>
            <w:r w:rsidR="00A12F06">
              <w:rPr>
                <w:rFonts w:ascii="Times New Roman" w:hAnsi="Times New Roman"/>
              </w:rPr>
              <w:t xml:space="preserve">v rámci projektov </w:t>
            </w:r>
            <w:r w:rsidR="00360E78">
              <w:rPr>
                <w:rFonts w:ascii="Times New Roman" w:hAnsi="Times New Roman"/>
              </w:rPr>
              <w:t xml:space="preserve">aj </w:t>
            </w:r>
            <w:r w:rsidR="003045DC" w:rsidRPr="00EE5C88">
              <w:rPr>
                <w:rFonts w:ascii="Times New Roman" w:hAnsi="Times New Roman"/>
              </w:rPr>
              <w:t>zo zdrojov európskych štrukturálnych a investičných fondov v programovom období 2014 – 2020, a to z Operačného programu Integrovaná infraštruktúra v rámci prioritnej osi č. 7 „Informačná spoločnosť“</w:t>
            </w:r>
            <w:r w:rsidR="00360E78">
              <w:rPr>
                <w:rFonts w:ascii="Times New Roman" w:hAnsi="Times New Roman"/>
              </w:rPr>
              <w:t xml:space="preserve"> alebo prioritnej osi č. 8 „Technická pomoc“</w:t>
            </w:r>
            <w:r w:rsidR="003045DC" w:rsidRPr="00EE5C88">
              <w:rPr>
                <w:rFonts w:ascii="Times New Roman" w:hAnsi="Times New Roman"/>
              </w:rPr>
              <w:t xml:space="preserve">. </w:t>
            </w:r>
          </w:p>
          <w:p w14:paraId="0D65B1DB" w14:textId="10BB4328" w:rsidR="00FA074A" w:rsidRPr="00EE5C88" w:rsidRDefault="00FA074A" w:rsidP="0000132C">
            <w:pPr>
              <w:spacing w:after="0" w:line="240" w:lineRule="auto"/>
              <w:jc w:val="both"/>
              <w:rPr>
                <w:rFonts w:ascii="Times New Roman" w:hAnsi="Times New Roman"/>
              </w:rPr>
            </w:pPr>
          </w:p>
        </w:tc>
      </w:tr>
      <w:tr w:rsidR="00997E14" w:rsidRPr="00DC0F2E" w14:paraId="31830F58" w14:textId="77777777" w:rsidTr="00C61B92">
        <w:tc>
          <w:tcPr>
            <w:tcW w:w="9180" w:type="dxa"/>
            <w:gridSpan w:val="10"/>
            <w:tcBorders>
              <w:bottom w:val="single" w:sz="4" w:space="0" w:color="FFFFFF"/>
            </w:tcBorders>
            <w:shd w:val="clear" w:color="auto" w:fill="E2E2E2"/>
          </w:tcPr>
          <w:p w14:paraId="622B4857" w14:textId="77777777" w:rsidR="00997E14" w:rsidRPr="00DC0F2E" w:rsidRDefault="00997E14"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lastRenderedPageBreak/>
              <w:t>Kontakt na spracovateľa</w:t>
            </w:r>
          </w:p>
        </w:tc>
      </w:tr>
      <w:tr w:rsidR="00997E14" w:rsidRPr="00DC0F2E" w14:paraId="1F8735B3" w14:textId="77777777" w:rsidTr="00C61B92">
        <w:trPr>
          <w:trHeight w:val="586"/>
        </w:trPr>
        <w:tc>
          <w:tcPr>
            <w:tcW w:w="9180" w:type="dxa"/>
            <w:gridSpan w:val="10"/>
            <w:tcBorders>
              <w:top w:val="single" w:sz="4" w:space="0" w:color="FFFFFF"/>
            </w:tcBorders>
            <w:shd w:val="clear" w:color="auto" w:fill="FFFFFF"/>
          </w:tcPr>
          <w:p w14:paraId="0BF05F5D" w14:textId="418602EE" w:rsidR="00997E14" w:rsidRPr="001A0D6B" w:rsidRDefault="00A12F06" w:rsidP="00A7353A">
            <w:pPr>
              <w:spacing w:after="0" w:line="240" w:lineRule="auto"/>
              <w:jc w:val="both"/>
              <w:rPr>
                <w:rFonts w:ascii="Times New Roman" w:hAnsi="Times New Roman"/>
                <w:szCs w:val="20"/>
              </w:rPr>
            </w:pPr>
            <w:r>
              <w:rPr>
                <w:rFonts w:ascii="Times New Roman" w:hAnsi="Times New Roman"/>
                <w:szCs w:val="20"/>
              </w:rPr>
              <w:t>02/20928191</w:t>
            </w:r>
            <w:bookmarkStart w:id="0" w:name="_GoBack"/>
            <w:bookmarkEnd w:id="0"/>
          </w:p>
        </w:tc>
      </w:tr>
      <w:tr w:rsidR="00997E14" w:rsidRPr="00DC0F2E" w14:paraId="75D743F4" w14:textId="77777777" w:rsidTr="00C61B92">
        <w:tc>
          <w:tcPr>
            <w:tcW w:w="9180" w:type="dxa"/>
            <w:gridSpan w:val="10"/>
            <w:tcBorders>
              <w:bottom w:val="single" w:sz="4" w:space="0" w:color="FFFFFF"/>
            </w:tcBorders>
            <w:shd w:val="clear" w:color="auto" w:fill="E2E2E2"/>
          </w:tcPr>
          <w:p w14:paraId="2123CF5F" w14:textId="77777777" w:rsidR="00997E14" w:rsidRPr="00DC0F2E" w:rsidRDefault="00997E14"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Zdroje</w:t>
            </w:r>
          </w:p>
        </w:tc>
      </w:tr>
      <w:tr w:rsidR="00997E14" w:rsidRPr="00DC0F2E" w14:paraId="3B2AA863" w14:textId="77777777" w:rsidTr="00C61B92">
        <w:trPr>
          <w:trHeight w:val="401"/>
        </w:trPr>
        <w:tc>
          <w:tcPr>
            <w:tcW w:w="9180" w:type="dxa"/>
            <w:gridSpan w:val="10"/>
            <w:tcBorders>
              <w:top w:val="single" w:sz="4" w:space="0" w:color="FFFFFF"/>
            </w:tcBorders>
            <w:shd w:val="clear" w:color="auto" w:fill="FFFFFF"/>
          </w:tcPr>
          <w:p w14:paraId="0A493339" w14:textId="77777777" w:rsidR="008A1C9C" w:rsidRDefault="008A1C9C" w:rsidP="008A1C9C">
            <w:pPr>
              <w:spacing w:after="0" w:line="240" w:lineRule="auto"/>
              <w:rPr>
                <w:rFonts w:ascii="Times New Roman" w:hAnsi="Times New Roman"/>
              </w:rPr>
            </w:pPr>
            <w:r w:rsidRPr="00686538">
              <w:rPr>
                <w:rFonts w:ascii="Times New Roman" w:hAnsi="Times New Roman"/>
              </w:rPr>
              <w:t>Štátny rozpočet</w:t>
            </w:r>
          </w:p>
          <w:p w14:paraId="7CFD5B08" w14:textId="62A8F87C" w:rsidR="00686538" w:rsidRPr="00686538" w:rsidRDefault="00686538" w:rsidP="00686538">
            <w:pPr>
              <w:spacing w:after="0" w:line="240" w:lineRule="auto"/>
              <w:rPr>
                <w:rFonts w:ascii="Times New Roman" w:hAnsi="Times New Roman"/>
              </w:rPr>
            </w:pPr>
            <w:r w:rsidRPr="00686538">
              <w:rPr>
                <w:rFonts w:ascii="Times New Roman" w:hAnsi="Times New Roman"/>
              </w:rPr>
              <w:t>Prostriedky EÚ – Operačný program integ</w:t>
            </w:r>
            <w:r>
              <w:rPr>
                <w:rFonts w:ascii="Times New Roman" w:hAnsi="Times New Roman"/>
              </w:rPr>
              <w:t>rovaná infraštruktúra 2014-2020</w:t>
            </w:r>
          </w:p>
          <w:p w14:paraId="146D2B81" w14:textId="2D990689" w:rsidR="00686538" w:rsidRPr="00DC0F2E" w:rsidRDefault="00686538" w:rsidP="008A1C9C">
            <w:pPr>
              <w:spacing w:after="0" w:line="240" w:lineRule="auto"/>
              <w:rPr>
                <w:rFonts w:ascii="Times New Roman" w:hAnsi="Times New Roman"/>
                <w:b/>
              </w:rPr>
            </w:pPr>
          </w:p>
        </w:tc>
      </w:tr>
      <w:tr w:rsidR="00997E14" w:rsidRPr="00DC0F2E" w14:paraId="5C9FF5A6" w14:textId="77777777" w:rsidTr="00C61B92">
        <w:tc>
          <w:tcPr>
            <w:tcW w:w="9180" w:type="dxa"/>
            <w:gridSpan w:val="10"/>
            <w:tcBorders>
              <w:bottom w:val="single" w:sz="4" w:space="0" w:color="FFFFFF"/>
            </w:tcBorders>
            <w:shd w:val="clear" w:color="auto" w:fill="E2E2E2"/>
          </w:tcPr>
          <w:p w14:paraId="6E8AC477" w14:textId="77777777" w:rsidR="00997E14" w:rsidRPr="00DC0F2E" w:rsidRDefault="00997E14"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Stanovisko Komisie pre posudzovanie vybraných vplyvov z PPK</w:t>
            </w:r>
          </w:p>
        </w:tc>
      </w:tr>
      <w:tr w:rsidR="00997E14" w:rsidRPr="00DC0F2E" w14:paraId="1D9BA1DA" w14:textId="77777777" w:rsidTr="00C61B92">
        <w:tc>
          <w:tcPr>
            <w:tcW w:w="9180" w:type="dxa"/>
            <w:gridSpan w:val="10"/>
            <w:tcBorders>
              <w:top w:val="single" w:sz="4" w:space="0" w:color="FFFFFF"/>
            </w:tcBorders>
            <w:shd w:val="clear" w:color="auto" w:fill="FFFFFF"/>
          </w:tcPr>
          <w:p w14:paraId="5F785671"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I. Úvod: Úrad podpredsedu vlády SR pre investície a informatizáciu dňa 4. apríla 2017 predložil Stálej pracovnej komisii na posudzovanie vybraných vplyvov (ďalej len „Komisia“) na predbežné pripomienkové konanie materiál „Návrh zákona č. 305/2013 Z. z. o elektronickej podobe výkonu pôsobnosti orgánov verejnej moci a o zmene a doplnení niektorých zákonov (zákon o e-Governmente) v znení neskorších predpisov a o zmene a doplnení niektorých zákonov“, spolu so žiadosťou o skrátenie predbežného pripomienkového konania. Komisia tejto žiadosti vyhovela. Materiál predpokladá pozitívno-negatívne vplyvy na rozpočet verejnej správy, ktoré sú rozpočtovo zabezpečené, pozitívne vplyvy na informatizáciu, pozitívne vplyvy služieb verejnej správy na občana a pozitívne vplyvy na procesy služieb vo verejnej správe.</w:t>
            </w:r>
          </w:p>
          <w:p w14:paraId="6D7EF9CE" w14:textId="77777777" w:rsidR="00530549" w:rsidRDefault="00530549" w:rsidP="00C01307">
            <w:pPr>
              <w:spacing w:after="0" w:line="240" w:lineRule="auto"/>
              <w:jc w:val="both"/>
              <w:rPr>
                <w:rFonts w:ascii="Times New Roman" w:hAnsi="Times New Roman"/>
              </w:rPr>
            </w:pPr>
          </w:p>
          <w:p w14:paraId="57624DBB" w14:textId="2B1BFE26" w:rsidR="00530549" w:rsidRDefault="00530549" w:rsidP="00C01307">
            <w:pPr>
              <w:spacing w:after="0" w:line="240" w:lineRule="auto"/>
              <w:jc w:val="both"/>
              <w:rPr>
                <w:rFonts w:ascii="Times New Roman" w:hAnsi="Times New Roman"/>
              </w:rPr>
            </w:pPr>
            <w:r w:rsidRPr="00530549">
              <w:rPr>
                <w:rFonts w:ascii="Times New Roman" w:hAnsi="Times New Roman"/>
              </w:rPr>
              <w:t>II. Pripomienky a návrhy zmien: Komisia uplatňuje k materiálu nasledovné pripomienky a odporúčania:</w:t>
            </w:r>
          </w:p>
          <w:p w14:paraId="3004A8FC" w14:textId="0561B4B6" w:rsidR="00530549" w:rsidRPr="00530549" w:rsidRDefault="00530549" w:rsidP="00C01307">
            <w:pPr>
              <w:spacing w:after="0" w:line="240" w:lineRule="auto"/>
              <w:jc w:val="both"/>
              <w:rPr>
                <w:rFonts w:ascii="Times New Roman" w:hAnsi="Times New Roman"/>
              </w:rPr>
            </w:pPr>
            <w:r w:rsidRPr="00530549">
              <w:rPr>
                <w:rFonts w:ascii="Times New Roman" w:hAnsi="Times New Roman"/>
              </w:rPr>
              <w:t>K doložke vybraných vplyvov</w:t>
            </w:r>
          </w:p>
          <w:p w14:paraId="3DD3A2B0"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Komisia odporúča vyznačiť pozitívne vplyvy na podnikateľské prostredie z dôvodu, že zavádza analogické doručovanie písomností s rovnakými účinkami ako pri doručovaní elektronicky. Ako pozitívny vplyv tiež možno vnímať zjednotenie spôsobu platby poplatkov a sprístupnenie platieb kartou.</w:t>
            </w:r>
          </w:p>
          <w:p w14:paraId="74119A8A" w14:textId="723B83F1" w:rsidR="00530549" w:rsidRPr="00530549" w:rsidRDefault="00530549" w:rsidP="00C01307">
            <w:pPr>
              <w:spacing w:after="0" w:line="240" w:lineRule="auto"/>
              <w:jc w:val="both"/>
              <w:rPr>
                <w:rFonts w:ascii="Times New Roman" w:hAnsi="Times New Roman"/>
              </w:rPr>
            </w:pPr>
            <w:r w:rsidRPr="00530549">
              <w:rPr>
                <w:rFonts w:ascii="Times New Roman" w:hAnsi="Times New Roman"/>
              </w:rPr>
              <w:t xml:space="preserve">Návrh prezentuje zjednodušenie využívania elektronických služieb poskytovaných orgánmi verejnej moci, vrátane vykonania autorizácie elektronického podania fyzickou osobou autentifikáciou, pre ktorú je nevyhnutný „autentifikátor,“ resp. najmä občiansky preukaz, bez potreby obstarávania ďalších technických či programových prostriedkov, ktoré sú neoddeliteľne späté so zaručeným, resp. kvalifikovaným elektronickým podpisom či kvalifikovanou elektronickou pečaťou v zmysle bodu 30. návrhu. Ako aj rozšírenie možností elektronickej úhrady poplatkov v zmysle článku III. A IV. návrhu. Ak tým návrh vytvára administratívne jednoduchšie riešenie </w:t>
            </w:r>
          </w:p>
          <w:p w14:paraId="6262874F"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a finančne nižšie náklady pri komunikácii s orgánmi verejnej moci, Komisia navrhuje, aby boli tieto fakty zachytené ako pozitívny kvalitatívne opísaný vplyv na podnikateľské prostredie ako celok.</w:t>
            </w:r>
          </w:p>
          <w:p w14:paraId="78EDC02E"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 xml:space="preserve">Podobne Komisia navrhuje zachytiť aj vplyv zavedenia princípu „jedenkrát a dosť“ zriadením centrálneho registra elektronických rozhodnutí, kedy fyzické osoby, vrátane podnikateľov, pri podaní nebudú musieť predkladať rozhodnutia vydané </w:t>
            </w:r>
          </w:p>
          <w:p w14:paraId="53F2A6C9"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v inom konaní, len identifikovať iný orgán verejnej moci, ktorý toto rozhodnutie vydal.</w:t>
            </w:r>
          </w:p>
          <w:p w14:paraId="1EF55373"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Navyše, Komisia odporúča zachytiť aj charakter a rozsah vplyvu vypustenia ustanovenia § 31 ods. 2 písm. a) z návrhu zákona č. 305/2013, ktorý riešil konanie orgánu verejnej moci v prípade, „ak elektronická schránka adresáta nie je aktivovaná.“</w:t>
            </w:r>
          </w:p>
          <w:p w14:paraId="448F21DE"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 xml:space="preserve">Komisia odporúča zachytiť negatívny vplyv vzniku priamych finančných nákladov vyvolaných z dôvodu potreby zabezpečenia konverzie dokumentu, ktorého nie je pôvodcom orgán verejnej moci oprávnenými osobami, ktorých služby budú nevyhnutne spoplatnené, ale ich ceny určite nie regulované. </w:t>
            </w:r>
          </w:p>
          <w:p w14:paraId="71BC1FF6" w14:textId="113D8105" w:rsidR="00530549" w:rsidRPr="00530549" w:rsidRDefault="00530549" w:rsidP="00C01307">
            <w:pPr>
              <w:spacing w:after="0" w:line="240" w:lineRule="auto"/>
              <w:jc w:val="both"/>
              <w:rPr>
                <w:rFonts w:ascii="Times New Roman" w:hAnsi="Times New Roman"/>
              </w:rPr>
            </w:pPr>
            <w:r w:rsidRPr="00530549">
              <w:rPr>
                <w:rFonts w:ascii="Times New Roman" w:hAnsi="Times New Roman"/>
              </w:rPr>
              <w:t>K analýze vplyvov na rozpočet verejnej správy</w:t>
            </w:r>
          </w:p>
          <w:p w14:paraId="5923024C"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lastRenderedPageBreak/>
              <w:t xml:space="preserve">Z doložky vybraných vplyvov vyplývajú pozitívne aj negatívne vplyvy na rozpočet verejnej správy uvedené ako rozpočtovo zabezpečené. Pozitívne vplyvy predkladateľ očakáva v znížení výdavkov rezortov na poštové služby a to z dôvodu zavádzania nových pravidiel centrálneho doručovania a zriadením centrálneho registra elektronických rozhodnutí (automatickým zverejnením vydaných rozhodnutí, ich sprístupnením iným oprávneným orgánom verejnej moci elektronicky). Negatívne vplyvy na rozpočet verejnej správy predkladateľ očakáva pre rezorty, ktoré prevádzkujú v súčasnosti vlastnú elektronickú podateľňu, a to v súvislosti s prechodom na povinné používanie funkcionality elektronickej podateľne implementovanej na ústredný portál verejnej správy (z dôvodov plánovania výdavkov vo verejnej správe sa navrhuje odklad účinnosti do 31. decembra 2020). Zvýšené nároky na rozpočet rezortov môže mať zmena v oblasti zaručenej konverzie v súvislosti s požiadavkou použitia kvalifikovanej dôveryhodnej služby overovania elektronických podpisov. Negatívne finančné dopady na rozpočet Úradu podpredsedu vlády SR pre investície a informatizáciu sa očakávajú v súvislosti s implementáciou modulu procesnej integrácie a integrácie údajov, a to na činnosti súvisiace s tvorbou, správou a prevádzkou modulu a riadením integračných procesov vo verejnej správe. Návrh môže mať zvýšené nároky na rozpočet Úradu vlády SR a prevádzkovateľa ústredného portálu verejnej správy, a to napríklad z dôvodu úpravy funkcionalít portálu a spoločných modulov, nevyhnutných pre realizáciu navrhnutých zmien. Ako zdroje financovania sú uvedené prostriedky EÚ (OP II) a prostriedky štátneho rozpočtu. </w:t>
            </w:r>
          </w:p>
          <w:p w14:paraId="6146AD8C" w14:textId="0FB1DDDC" w:rsidR="00530549" w:rsidRPr="00530549" w:rsidRDefault="00530549" w:rsidP="00C01307">
            <w:pPr>
              <w:spacing w:after="0" w:line="240" w:lineRule="auto"/>
              <w:jc w:val="both"/>
              <w:rPr>
                <w:rFonts w:ascii="Times New Roman" w:hAnsi="Times New Roman"/>
              </w:rPr>
            </w:pPr>
            <w:r w:rsidRPr="00530549">
              <w:rPr>
                <w:rFonts w:ascii="Times New Roman" w:hAnsi="Times New Roman"/>
              </w:rPr>
              <w:t xml:space="preserve">Doložka vybraných vplyvov však neobsahuje analýzu vplyvov na rozpočet verejnej správy ani inú kvantifikáciu dopadov vyplývajúcich z realizácie navrhovaného zákona. Predkladateľ len uvádza, že v súčasnosti prebieha príprava štúdií, ktorých súčasťou bude aj ekonomická analýza úzko súvisiaca so zmenami v návrhu novely zákona o e-Governmente a pretože tieto štúdie nie sú ešte sfinalizované, nie je možné explicitne zadefinovať presné dopady jednotlivých ustanovení. </w:t>
            </w:r>
          </w:p>
          <w:p w14:paraId="29479556" w14:textId="071B9BA3" w:rsidR="00530549" w:rsidRPr="00530549" w:rsidRDefault="00530549" w:rsidP="00C01307">
            <w:pPr>
              <w:spacing w:after="0" w:line="240" w:lineRule="auto"/>
              <w:jc w:val="both"/>
              <w:rPr>
                <w:rFonts w:ascii="Times New Roman" w:hAnsi="Times New Roman"/>
              </w:rPr>
            </w:pPr>
            <w:r w:rsidRPr="00530549">
              <w:rPr>
                <w:rFonts w:ascii="Times New Roman" w:hAnsi="Times New Roman"/>
              </w:rPr>
              <w:t>V zmysle jednotnej metodiky na posudzovanie vybraných vplyvov Komisia žiada, aby bol materiál doplnený o analýzu vplyvov na rozpočet verejnej správy, v ktorej budú kvantifikované všetky vplyvy na rozpočet verejnej správy vyplývajúce z predloženého materiálu v členení podľa jednotlivých kapitol štátneho rozpočtu, rokov a zdrojov financovania. Komisia upozorňuje, že s predloženým návrhom bude možné súhlasiť len s podmienkou, že finančné prostriedky potrebné na jeho realizáciu budú zabezpečené v rámci schválených limitov výdavkov dotknutých kapit</w:t>
            </w:r>
            <w:r>
              <w:rPr>
                <w:rFonts w:ascii="Times New Roman" w:hAnsi="Times New Roman"/>
              </w:rPr>
              <w:t>ol na príslušný rozpočtový rok.</w:t>
            </w:r>
          </w:p>
          <w:p w14:paraId="3A38DB03"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Všeobecne</w:t>
            </w:r>
          </w:p>
          <w:p w14:paraId="3236C29B"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 xml:space="preserve">Komisia predkladateľovi odporúča zosúladiť dátum účinnosti uvedeného návrhu zákona v predkladacej správe, kde je uvedený dátum 1. novembra 2017 a v dôvodovej správe, kde je uvedený dátum 1. februára 2018. Taktiež v návrhu zákona v ustanovení § 23 ods. 1 v prvej vete predkladateľovi odporúčame doplniť nasledujúce: „(1) Orgán verejnej moci vykoná ...“. </w:t>
            </w:r>
          </w:p>
          <w:p w14:paraId="79D476D7" w14:textId="77777777" w:rsidR="00530549" w:rsidRPr="00530549" w:rsidRDefault="00530549" w:rsidP="00C01307">
            <w:pPr>
              <w:spacing w:after="0" w:line="240" w:lineRule="auto"/>
              <w:jc w:val="both"/>
              <w:rPr>
                <w:rFonts w:ascii="Times New Roman" w:hAnsi="Times New Roman"/>
              </w:rPr>
            </w:pPr>
          </w:p>
          <w:p w14:paraId="3198C058" w14:textId="0C58F440" w:rsidR="00530549" w:rsidRPr="00530549" w:rsidRDefault="00530549" w:rsidP="00C01307">
            <w:pPr>
              <w:spacing w:after="0" w:line="240" w:lineRule="auto"/>
              <w:jc w:val="both"/>
              <w:rPr>
                <w:rFonts w:ascii="Times New Roman" w:hAnsi="Times New Roman"/>
              </w:rPr>
            </w:pPr>
            <w:r w:rsidRPr="00530549">
              <w:rPr>
                <w:rFonts w:ascii="Times New Roman" w:hAnsi="Times New Roman"/>
              </w:rPr>
              <w:t>III. Záver: Stála pracovná komisia na posudzovan</w:t>
            </w:r>
            <w:r>
              <w:rPr>
                <w:rFonts w:ascii="Times New Roman" w:hAnsi="Times New Roman"/>
              </w:rPr>
              <w:t xml:space="preserve">ie vybraných vplyvov vyjadruje nesúhlasné stanovisko </w:t>
            </w:r>
            <w:r w:rsidRPr="00530549">
              <w:rPr>
                <w:rFonts w:ascii="Times New Roman" w:hAnsi="Times New Roman"/>
              </w:rPr>
              <w:t xml:space="preserve">s materiálom predloženým na predbežné pripomienkové konanie s odporúčaním na jeho dopracovanie podľa pripomienok v bode II.  </w:t>
            </w:r>
          </w:p>
          <w:p w14:paraId="4C17CF5A" w14:textId="77777777" w:rsidR="00530549" w:rsidRPr="00530549" w:rsidRDefault="00530549" w:rsidP="00C01307">
            <w:pPr>
              <w:spacing w:after="0" w:line="240" w:lineRule="auto"/>
              <w:jc w:val="both"/>
              <w:rPr>
                <w:rFonts w:ascii="Times New Roman" w:hAnsi="Times New Roman"/>
              </w:rPr>
            </w:pPr>
          </w:p>
          <w:p w14:paraId="487A924D" w14:textId="77777777" w:rsidR="00530549" w:rsidRPr="00530549" w:rsidRDefault="00530549" w:rsidP="00C01307">
            <w:pPr>
              <w:spacing w:after="0" w:line="240" w:lineRule="auto"/>
              <w:jc w:val="both"/>
              <w:rPr>
                <w:rFonts w:ascii="Times New Roman" w:hAnsi="Times New Roman"/>
              </w:rPr>
            </w:pPr>
            <w:r w:rsidRPr="00530549">
              <w:rPr>
                <w:rFonts w:ascii="Times New Roman" w:hAnsi="Times New Roman"/>
              </w:rPr>
              <w:t>IV. Poznámka: Predkladateľ zapracuje pripomienky a odporúčania na úpravu uvedené v bode II a uvedie stanovisko Komisie do Doložky vybraných vplyvov spolu s vyhodnotením pripomienok.</w:t>
            </w:r>
          </w:p>
          <w:p w14:paraId="65FA13A5" w14:textId="3061913F" w:rsidR="00530549" w:rsidRDefault="00530549" w:rsidP="00C01307">
            <w:pPr>
              <w:spacing w:after="0" w:line="240" w:lineRule="auto"/>
              <w:jc w:val="both"/>
              <w:rPr>
                <w:rFonts w:ascii="Times New Roman" w:hAnsi="Times New Roman"/>
              </w:rPr>
            </w:pPr>
            <w:r w:rsidRPr="00530549">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2A0DE9DE" w14:textId="56BF6A61" w:rsidR="00530549" w:rsidRDefault="00530549" w:rsidP="00C01307">
            <w:pPr>
              <w:spacing w:after="0" w:line="240" w:lineRule="auto"/>
              <w:jc w:val="both"/>
              <w:rPr>
                <w:rFonts w:ascii="Times New Roman" w:hAnsi="Times New Roman"/>
              </w:rPr>
            </w:pPr>
          </w:p>
          <w:p w14:paraId="0860E6BB" w14:textId="3C1DCA71" w:rsidR="00530549" w:rsidRDefault="00530549" w:rsidP="00C01307">
            <w:pPr>
              <w:spacing w:after="0" w:line="240" w:lineRule="auto"/>
              <w:jc w:val="both"/>
              <w:rPr>
                <w:rFonts w:ascii="Times New Roman" w:hAnsi="Times New Roman"/>
              </w:rPr>
            </w:pPr>
            <w:r>
              <w:rPr>
                <w:rFonts w:ascii="Times New Roman" w:hAnsi="Times New Roman"/>
              </w:rPr>
              <w:t xml:space="preserve">Vyjadrenie predkladateľa: Predkladateľ zapracoval pripomienky Komisie, a to nasledovne: </w:t>
            </w:r>
          </w:p>
          <w:p w14:paraId="266C85D2" w14:textId="1D7E55CC" w:rsidR="00530549" w:rsidRDefault="00530549" w:rsidP="00C01307">
            <w:pPr>
              <w:spacing w:after="0" w:line="240" w:lineRule="auto"/>
              <w:jc w:val="both"/>
              <w:rPr>
                <w:rFonts w:ascii="Times New Roman" w:hAnsi="Times New Roman"/>
                <w:sz w:val="24"/>
                <w:szCs w:val="24"/>
              </w:rPr>
            </w:pPr>
            <w:r>
              <w:rPr>
                <w:rFonts w:ascii="Times New Roman" w:hAnsi="Times New Roman"/>
              </w:rPr>
              <w:t xml:space="preserve">K doložke vplyvov: Predkladateľ vyznačil pozitívne vplyvy na podnikateľské prostredie a predložil vyplnenú analýzu vplyvov. Nakoľko ustanovenia o registri rozhodnutí na základe zásadných pripomienok boli z návrhu vypustené, predkladateľ nevyznačil vplyvy navrhnuté Komisiou k tejto časti. Rovnako vyznačil aj negatívne vplyvy na podnikateľské prostredie, z dôvodu </w:t>
            </w:r>
            <w:r w:rsidRPr="00530549">
              <w:rPr>
                <w:rFonts w:ascii="Times New Roman" w:hAnsi="Times New Roman"/>
                <w:sz w:val="24"/>
                <w:szCs w:val="24"/>
              </w:rPr>
              <w:t xml:space="preserve">zapracovania pripomienky ZMOS v rámci rozporového konania, ktoré navrhuje zvýšenie sadzby poplatku. Dotkne sa iba tých podnikateľských subjektov, ktorí budú žiadať o vykonanie úkonov </w:t>
            </w:r>
            <w:r w:rsidRPr="00530549">
              <w:rPr>
                <w:rFonts w:ascii="Times New Roman" w:hAnsi="Times New Roman"/>
                <w:sz w:val="24"/>
                <w:szCs w:val="24"/>
              </w:rPr>
              <w:lastRenderedPageBreak/>
              <w:t>spoplatnených podľa položky 2 písm. a) a položky 2 písm. c)  na vecne príslušných správnych orgánoch.</w:t>
            </w:r>
            <w:r>
              <w:rPr>
                <w:rFonts w:ascii="Times New Roman" w:hAnsi="Times New Roman"/>
                <w:sz w:val="24"/>
                <w:szCs w:val="24"/>
              </w:rPr>
              <w:t xml:space="preserve"> </w:t>
            </w:r>
          </w:p>
          <w:p w14:paraId="749E376E" w14:textId="13CEA851" w:rsidR="00530549" w:rsidRPr="00530549" w:rsidRDefault="00067673" w:rsidP="00C01307">
            <w:pPr>
              <w:spacing w:after="0" w:line="240" w:lineRule="auto"/>
              <w:jc w:val="both"/>
              <w:rPr>
                <w:rFonts w:ascii="Times New Roman" w:hAnsi="Times New Roman"/>
              </w:rPr>
            </w:pPr>
            <w:r w:rsidRPr="00067673">
              <w:rPr>
                <w:rFonts w:ascii="Times New Roman" w:hAnsi="Times New Roman"/>
              </w:rPr>
              <w:t>K analýze vplyvov na rozpočet verejnej správy</w:t>
            </w:r>
            <w:r>
              <w:rPr>
                <w:rFonts w:ascii="Times New Roman" w:hAnsi="Times New Roman"/>
              </w:rPr>
              <w:t xml:space="preserve">. Komisia požiadala o doplnenie analýzy vplyvov na rozpočet verejnej správy. Predkladateľ predložil v rámci záverečného posúdenia vplyvov doplnenú analýzu vplyvov na rozpočet verejnej správy. </w:t>
            </w:r>
          </w:p>
          <w:p w14:paraId="2EBCD748" w14:textId="408C3FCC" w:rsidR="00997E14" w:rsidRPr="008A1C9C" w:rsidRDefault="00997E14" w:rsidP="00C61B92">
            <w:pPr>
              <w:spacing w:after="0" w:line="240" w:lineRule="auto"/>
              <w:rPr>
                <w:rFonts w:ascii="Times New Roman" w:hAnsi="Times New Roman"/>
              </w:rPr>
            </w:pPr>
          </w:p>
        </w:tc>
      </w:tr>
    </w:tbl>
    <w:p w14:paraId="769CE09D" w14:textId="77777777" w:rsidR="007807B1" w:rsidRDefault="007807B1"/>
    <w:sectPr w:rsidR="007807B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947F" w14:textId="77777777" w:rsidR="00FF0E4F" w:rsidRDefault="00FF0E4F" w:rsidP="004B531B">
      <w:pPr>
        <w:spacing w:after="0" w:line="240" w:lineRule="auto"/>
      </w:pPr>
      <w:r>
        <w:separator/>
      </w:r>
    </w:p>
  </w:endnote>
  <w:endnote w:type="continuationSeparator" w:id="0">
    <w:p w14:paraId="5572355A" w14:textId="77777777" w:rsidR="00FF0E4F" w:rsidRDefault="00FF0E4F" w:rsidP="004B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680247021"/>
      <w:docPartObj>
        <w:docPartGallery w:val="Page Numbers (Bottom of Page)"/>
        <w:docPartUnique/>
      </w:docPartObj>
    </w:sdtPr>
    <w:sdtEndPr/>
    <w:sdtContent>
      <w:p w14:paraId="04EB67F7" w14:textId="6D3F9D03" w:rsidR="004B531B" w:rsidRPr="004B531B" w:rsidRDefault="004B531B">
        <w:pPr>
          <w:pStyle w:val="Pta"/>
          <w:jc w:val="center"/>
          <w:rPr>
            <w:rFonts w:ascii="Times New Roman" w:hAnsi="Times New Roman"/>
            <w:sz w:val="24"/>
          </w:rPr>
        </w:pPr>
        <w:r w:rsidRPr="004B531B">
          <w:rPr>
            <w:rFonts w:ascii="Times New Roman" w:hAnsi="Times New Roman"/>
            <w:sz w:val="24"/>
          </w:rPr>
          <w:fldChar w:fldCharType="begin"/>
        </w:r>
        <w:r w:rsidRPr="004B531B">
          <w:rPr>
            <w:rFonts w:ascii="Times New Roman" w:hAnsi="Times New Roman"/>
            <w:sz w:val="24"/>
          </w:rPr>
          <w:instrText>PAGE   \* MERGEFORMAT</w:instrText>
        </w:r>
        <w:r w:rsidRPr="004B531B">
          <w:rPr>
            <w:rFonts w:ascii="Times New Roman" w:hAnsi="Times New Roman"/>
            <w:sz w:val="24"/>
          </w:rPr>
          <w:fldChar w:fldCharType="separate"/>
        </w:r>
        <w:r w:rsidR="00A12F06">
          <w:rPr>
            <w:rFonts w:ascii="Times New Roman" w:hAnsi="Times New Roman"/>
            <w:noProof/>
            <w:sz w:val="24"/>
          </w:rPr>
          <w:t>2</w:t>
        </w:r>
        <w:r w:rsidRPr="004B531B">
          <w:rPr>
            <w:rFonts w:ascii="Times New Roman" w:hAnsi="Times New Roman"/>
            <w:sz w:val="24"/>
          </w:rPr>
          <w:fldChar w:fldCharType="end"/>
        </w:r>
      </w:p>
    </w:sdtContent>
  </w:sdt>
  <w:p w14:paraId="56002CB2" w14:textId="77777777" w:rsidR="004B531B" w:rsidRPr="004B531B" w:rsidRDefault="004B531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CFF6" w14:textId="77777777" w:rsidR="00FF0E4F" w:rsidRDefault="00FF0E4F" w:rsidP="004B531B">
      <w:pPr>
        <w:spacing w:after="0" w:line="240" w:lineRule="auto"/>
      </w:pPr>
      <w:r>
        <w:separator/>
      </w:r>
    </w:p>
  </w:footnote>
  <w:footnote w:type="continuationSeparator" w:id="0">
    <w:p w14:paraId="6A158384" w14:textId="77777777" w:rsidR="00FF0E4F" w:rsidRDefault="00FF0E4F" w:rsidP="004B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86"/>
    <w:rsid w:val="0000132C"/>
    <w:rsid w:val="000213A3"/>
    <w:rsid w:val="00067673"/>
    <w:rsid w:val="000A3B12"/>
    <w:rsid w:val="000A44E5"/>
    <w:rsid w:val="001678DC"/>
    <w:rsid w:val="001A0D6B"/>
    <w:rsid w:val="001A75A3"/>
    <w:rsid w:val="001D0EDA"/>
    <w:rsid w:val="00204A6D"/>
    <w:rsid w:val="0022447B"/>
    <w:rsid w:val="0029286B"/>
    <w:rsid w:val="002B46E1"/>
    <w:rsid w:val="002B4B98"/>
    <w:rsid w:val="003045DC"/>
    <w:rsid w:val="003504A4"/>
    <w:rsid w:val="00360E78"/>
    <w:rsid w:val="00366A56"/>
    <w:rsid w:val="00367BA7"/>
    <w:rsid w:val="003773CF"/>
    <w:rsid w:val="00377A91"/>
    <w:rsid w:val="0039178D"/>
    <w:rsid w:val="003A7DFF"/>
    <w:rsid w:val="00473986"/>
    <w:rsid w:val="004772E6"/>
    <w:rsid w:val="004918F4"/>
    <w:rsid w:val="004B531B"/>
    <w:rsid w:val="005265D2"/>
    <w:rsid w:val="00530549"/>
    <w:rsid w:val="00572F15"/>
    <w:rsid w:val="00595107"/>
    <w:rsid w:val="005D5E4C"/>
    <w:rsid w:val="0062479A"/>
    <w:rsid w:val="0066404D"/>
    <w:rsid w:val="0067647B"/>
    <w:rsid w:val="00680701"/>
    <w:rsid w:val="00686538"/>
    <w:rsid w:val="00702BC6"/>
    <w:rsid w:val="007807B1"/>
    <w:rsid w:val="008146C8"/>
    <w:rsid w:val="00827B11"/>
    <w:rsid w:val="00845517"/>
    <w:rsid w:val="00897A93"/>
    <w:rsid w:val="008A1C9C"/>
    <w:rsid w:val="008B52EB"/>
    <w:rsid w:val="008C3F65"/>
    <w:rsid w:val="008D26E8"/>
    <w:rsid w:val="00966855"/>
    <w:rsid w:val="0099585E"/>
    <w:rsid w:val="00997E14"/>
    <w:rsid w:val="009B286D"/>
    <w:rsid w:val="00A12F06"/>
    <w:rsid w:val="00A44721"/>
    <w:rsid w:val="00A64A49"/>
    <w:rsid w:val="00A7353A"/>
    <w:rsid w:val="00AC315C"/>
    <w:rsid w:val="00AC5140"/>
    <w:rsid w:val="00AD69B7"/>
    <w:rsid w:val="00AF70C2"/>
    <w:rsid w:val="00B02010"/>
    <w:rsid w:val="00B865B5"/>
    <w:rsid w:val="00C01307"/>
    <w:rsid w:val="00D15760"/>
    <w:rsid w:val="00D33555"/>
    <w:rsid w:val="00DA05DB"/>
    <w:rsid w:val="00DD7AC6"/>
    <w:rsid w:val="00E21236"/>
    <w:rsid w:val="00E21E03"/>
    <w:rsid w:val="00E378CC"/>
    <w:rsid w:val="00EE5C88"/>
    <w:rsid w:val="00F22B8F"/>
    <w:rsid w:val="00F34E13"/>
    <w:rsid w:val="00F84412"/>
    <w:rsid w:val="00FA074A"/>
    <w:rsid w:val="00FB4CD8"/>
    <w:rsid w:val="00FB5183"/>
    <w:rsid w:val="00FF0E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5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BA7"/>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367BA7"/>
    <w:pPr>
      <w:ind w:left="720"/>
      <w:contextualSpacing/>
    </w:pPr>
  </w:style>
  <w:style w:type="paragraph" w:styleId="Hlavika">
    <w:name w:val="header"/>
    <w:basedOn w:val="Normlny"/>
    <w:link w:val="HlavikaChar"/>
    <w:uiPriority w:val="99"/>
    <w:unhideWhenUsed/>
    <w:rsid w:val="004B53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531B"/>
    <w:rPr>
      <w:rFonts w:ascii="Calibri" w:eastAsia="Times New Roman" w:hAnsi="Calibri" w:cs="Times New Roman"/>
    </w:rPr>
  </w:style>
  <w:style w:type="paragraph" w:styleId="Pta">
    <w:name w:val="footer"/>
    <w:basedOn w:val="Normlny"/>
    <w:link w:val="PtaChar"/>
    <w:uiPriority w:val="99"/>
    <w:unhideWhenUsed/>
    <w:rsid w:val="004B531B"/>
    <w:pPr>
      <w:tabs>
        <w:tab w:val="center" w:pos="4536"/>
        <w:tab w:val="right" w:pos="9072"/>
      </w:tabs>
      <w:spacing w:after="0" w:line="240" w:lineRule="auto"/>
    </w:pPr>
  </w:style>
  <w:style w:type="character" w:customStyle="1" w:styleId="PtaChar">
    <w:name w:val="Päta Char"/>
    <w:basedOn w:val="Predvolenpsmoodseku"/>
    <w:link w:val="Pta"/>
    <w:uiPriority w:val="99"/>
    <w:rsid w:val="004B531B"/>
    <w:rPr>
      <w:rFonts w:ascii="Calibri" w:eastAsia="Times New Roman" w:hAnsi="Calibri" w:cs="Times New Roman"/>
    </w:rPr>
  </w:style>
  <w:style w:type="character" w:styleId="Zstupntext">
    <w:name w:val="Placeholder Text"/>
    <w:basedOn w:val="Predvolenpsmoodseku"/>
    <w:uiPriority w:val="99"/>
    <w:semiHidden/>
    <w:rsid w:val="000A44E5"/>
    <w:rPr>
      <w:rFonts w:ascii="Times New Roman" w:hAnsi="Times New Roman"/>
      <w:color w:val="808080"/>
    </w:rPr>
  </w:style>
  <w:style w:type="paragraph" w:styleId="Normlnywebov">
    <w:name w:val="Normal (Web)"/>
    <w:basedOn w:val="Normlny"/>
    <w:uiPriority w:val="99"/>
    <w:unhideWhenUsed/>
    <w:rsid w:val="00997E14"/>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1A75A3"/>
    <w:pPr>
      <w:widowControl w:val="0"/>
      <w:adjustRightInd w:val="0"/>
      <w:spacing w:after="0" w:line="240" w:lineRule="auto"/>
      <w:ind w:left="708"/>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7805">
      <w:bodyDiv w:val="1"/>
      <w:marLeft w:val="0"/>
      <w:marRight w:val="0"/>
      <w:marTop w:val="0"/>
      <w:marBottom w:val="0"/>
      <w:divBdr>
        <w:top w:val="none" w:sz="0" w:space="0" w:color="auto"/>
        <w:left w:val="none" w:sz="0" w:space="0" w:color="auto"/>
        <w:bottom w:val="none" w:sz="0" w:space="0" w:color="auto"/>
        <w:right w:val="none" w:sz="0" w:space="0" w:color="auto"/>
      </w:divBdr>
    </w:div>
    <w:div w:id="502667478">
      <w:bodyDiv w:val="1"/>
      <w:marLeft w:val="0"/>
      <w:marRight w:val="0"/>
      <w:marTop w:val="0"/>
      <w:marBottom w:val="0"/>
      <w:divBdr>
        <w:top w:val="none" w:sz="0" w:space="0" w:color="auto"/>
        <w:left w:val="none" w:sz="0" w:space="0" w:color="auto"/>
        <w:bottom w:val="none" w:sz="0" w:space="0" w:color="auto"/>
        <w:right w:val="none" w:sz="0" w:space="0" w:color="auto"/>
      </w:divBdr>
    </w:div>
    <w:div w:id="726077505">
      <w:bodyDiv w:val="1"/>
      <w:marLeft w:val="0"/>
      <w:marRight w:val="0"/>
      <w:marTop w:val="0"/>
      <w:marBottom w:val="0"/>
      <w:divBdr>
        <w:top w:val="none" w:sz="0" w:space="0" w:color="auto"/>
        <w:left w:val="none" w:sz="0" w:space="0" w:color="auto"/>
        <w:bottom w:val="none" w:sz="0" w:space="0" w:color="auto"/>
        <w:right w:val="none" w:sz="0" w:space="0" w:color="auto"/>
      </w:divBdr>
      <w:divsChild>
        <w:div w:id="2111702091">
          <w:marLeft w:val="0"/>
          <w:marRight w:val="0"/>
          <w:marTop w:val="0"/>
          <w:marBottom w:val="0"/>
          <w:divBdr>
            <w:top w:val="none" w:sz="0" w:space="0" w:color="auto"/>
            <w:left w:val="none" w:sz="0" w:space="0" w:color="auto"/>
            <w:bottom w:val="none" w:sz="0" w:space="0" w:color="auto"/>
            <w:right w:val="none" w:sz="0" w:space="0" w:color="auto"/>
          </w:divBdr>
        </w:div>
      </w:divsChild>
    </w:div>
    <w:div w:id="830222023">
      <w:bodyDiv w:val="1"/>
      <w:marLeft w:val="0"/>
      <w:marRight w:val="0"/>
      <w:marTop w:val="0"/>
      <w:marBottom w:val="0"/>
      <w:divBdr>
        <w:top w:val="none" w:sz="0" w:space="0" w:color="auto"/>
        <w:left w:val="none" w:sz="0" w:space="0" w:color="auto"/>
        <w:bottom w:val="none" w:sz="0" w:space="0" w:color="auto"/>
        <w:right w:val="none" w:sz="0" w:space="0" w:color="auto"/>
      </w:divBdr>
    </w:div>
    <w:div w:id="16685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24557-FABD-4D29-830F-12C478954582}">
  <ds:schemaRefs>
    <ds:schemaRef ds:uri="http://schemas.microsoft.com/office/2006/metadata/properties"/>
  </ds:schemaRefs>
</ds:datastoreItem>
</file>

<file path=customXml/itemProps2.xml><?xml version="1.0" encoding="utf-8"?>
<ds:datastoreItem xmlns:ds="http://schemas.openxmlformats.org/officeDocument/2006/customXml" ds:itemID="{5BD78577-3294-4F3D-A681-22D92906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A0B076-CC12-417F-A592-FCD9CDEB4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2135</Words>
  <Characters>12174</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Bonko Andrej</dc:creator>
  <cp:lastModifiedBy>Ľubica Kašíková</cp:lastModifiedBy>
  <cp:revision>4</cp:revision>
  <cp:lastPrinted>2017-03-29T08:15:00Z</cp:lastPrinted>
  <dcterms:created xsi:type="dcterms:W3CDTF">2017-05-19T06:04:00Z</dcterms:created>
  <dcterms:modified xsi:type="dcterms:W3CDTF">2017-05-19T06:37:00Z</dcterms:modified>
</cp:coreProperties>
</file>