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590"/>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CD4982" w:rsidRPr="00CD4982" w14:paraId="46C1350A" w14:textId="77777777" w:rsidTr="00CD4982">
        <w:trPr>
          <w:trHeight w:val="534"/>
        </w:trPr>
        <w:tc>
          <w:tcPr>
            <w:tcW w:w="5000" w:type="pct"/>
            <w:gridSpan w:val="2"/>
            <w:shd w:val="clear" w:color="auto" w:fill="D9D9D9"/>
          </w:tcPr>
          <w:p w14:paraId="46C13508" w14:textId="77777777" w:rsidR="00CD4982" w:rsidRPr="00CD4982" w:rsidRDefault="00357E2A" w:rsidP="00CD4982">
            <w:pPr>
              <w:spacing w:after="0" w:line="240" w:lineRule="auto"/>
              <w:ind w:left="-284" w:firstLine="284"/>
              <w:jc w:val="center"/>
              <w:rPr>
                <w:rFonts w:ascii="Times New Roman" w:eastAsia="Calibri" w:hAnsi="Times New Roman" w:cs="Times New Roman"/>
                <w:b/>
                <w:lang w:eastAsia="sk-SK"/>
              </w:rPr>
            </w:pPr>
            <w:r>
              <w:rPr>
                <w:rFonts w:ascii="Times New Roman" w:eastAsia="Calibri" w:hAnsi="Times New Roman" w:cs="Times New Roman"/>
                <w:b/>
                <w:sz w:val="28"/>
                <w:lang w:eastAsia="sk-SK"/>
              </w:rPr>
              <w:t>Analýza s</w:t>
            </w:r>
            <w:r w:rsidR="00CD4982" w:rsidRPr="00CD4982">
              <w:rPr>
                <w:rFonts w:ascii="Times New Roman" w:eastAsia="Calibri" w:hAnsi="Times New Roman" w:cs="Times New Roman"/>
                <w:b/>
                <w:sz w:val="28"/>
                <w:lang w:eastAsia="sk-SK"/>
              </w:rPr>
              <w:t>ociáln</w:t>
            </w:r>
            <w:r>
              <w:rPr>
                <w:rFonts w:ascii="Times New Roman" w:eastAsia="Calibri" w:hAnsi="Times New Roman" w:cs="Times New Roman"/>
                <w:b/>
                <w:sz w:val="28"/>
                <w:lang w:eastAsia="sk-SK"/>
              </w:rPr>
              <w:t>ych</w:t>
            </w:r>
            <w:r w:rsidR="00CD4982" w:rsidRPr="00CD4982">
              <w:rPr>
                <w:rFonts w:ascii="Times New Roman" w:eastAsia="Calibri" w:hAnsi="Times New Roman" w:cs="Times New Roman"/>
                <w:b/>
                <w:sz w:val="28"/>
                <w:lang w:eastAsia="sk-SK"/>
              </w:rPr>
              <w:t xml:space="preserve"> vplyv</w:t>
            </w:r>
            <w:r>
              <w:rPr>
                <w:rFonts w:ascii="Times New Roman" w:eastAsia="Calibri" w:hAnsi="Times New Roman" w:cs="Times New Roman"/>
                <w:b/>
                <w:sz w:val="28"/>
                <w:lang w:eastAsia="sk-SK"/>
              </w:rPr>
              <w:t>ov</w:t>
            </w:r>
          </w:p>
          <w:p w14:paraId="46C13509" w14:textId="77777777" w:rsidR="00CD4982" w:rsidRPr="00CD4982" w:rsidRDefault="00CD4982" w:rsidP="00CD4982">
            <w:pPr>
              <w:spacing w:after="0" w:line="240" w:lineRule="auto"/>
              <w:jc w:val="center"/>
              <w:rPr>
                <w:rFonts w:ascii="Times New Roman" w:eastAsia="Calibri" w:hAnsi="Times New Roman" w:cs="Times New Roman"/>
                <w:b/>
                <w:lang w:eastAsia="sk-SK"/>
              </w:rPr>
            </w:pPr>
            <w:r w:rsidRPr="00CD4982">
              <w:rPr>
                <w:rFonts w:ascii="Times New Roman" w:eastAsia="Calibri"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CD4982" w:rsidRPr="00697C65" w14:paraId="46C13541" w14:textId="77777777" w:rsidTr="00CD4982">
        <w:trPr>
          <w:trHeight w:val="339"/>
        </w:trPr>
        <w:tc>
          <w:tcPr>
            <w:tcW w:w="5000" w:type="pct"/>
            <w:gridSpan w:val="2"/>
            <w:tcBorders>
              <w:bottom w:val="single" w:sz="4" w:space="0" w:color="auto"/>
            </w:tcBorders>
            <w:shd w:val="clear" w:color="auto" w:fill="D9D9D9"/>
          </w:tcPr>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51"/>
              <w:gridCol w:w="4851"/>
            </w:tblGrid>
            <w:tr w:rsidR="00697C65" w:rsidRPr="00697C65" w14:paraId="46C1350C" w14:textId="77777777" w:rsidTr="00DD5938">
              <w:trPr>
                <w:jc w:val="center"/>
              </w:trPr>
              <w:tc>
                <w:tcPr>
                  <w:tcW w:w="5000" w:type="pct"/>
                  <w:gridSpan w:val="2"/>
                  <w:tcBorders>
                    <w:bottom w:val="nil"/>
                  </w:tcBorders>
                  <w:shd w:val="clear" w:color="auto" w:fill="D9D9D9"/>
                </w:tcPr>
                <w:p w14:paraId="46C1350B"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b/>
                      <w:sz w:val="24"/>
                      <w:szCs w:val="24"/>
                    </w:rPr>
                  </w:pPr>
                  <w:r w:rsidRPr="000235FF">
                    <w:rPr>
                      <w:rFonts w:ascii="Times New Roman" w:eastAsia="Calibri" w:hAnsi="Times New Roman" w:cs="Times New Roman"/>
                      <w:b/>
                      <w:sz w:val="24"/>
                      <w:szCs w:val="24"/>
                    </w:rPr>
                    <w:t xml:space="preserve">4.1 Identifikujte, popíšte a kvantifikujte vplyv na hospodárenie domácností a špecifikujte ovplyvnené skupiny domácností, ktoré budú pozitívne/negatívne ovplyvnené. </w:t>
                  </w:r>
                </w:p>
              </w:tc>
            </w:tr>
            <w:tr w:rsidR="00697C65" w:rsidRPr="00697C65" w14:paraId="46C13510" w14:textId="77777777" w:rsidTr="00DD5938">
              <w:trPr>
                <w:trHeight w:val="736"/>
                <w:jc w:val="center"/>
              </w:trPr>
              <w:tc>
                <w:tcPr>
                  <w:tcW w:w="5000" w:type="pct"/>
                  <w:gridSpan w:val="2"/>
                  <w:tcBorders>
                    <w:bottom w:val="single" w:sz="4" w:space="0" w:color="auto"/>
                  </w:tcBorders>
                  <w:shd w:val="clear" w:color="auto" w:fill="F2F2F2"/>
                </w:tcPr>
                <w:p w14:paraId="46C1350D" w14:textId="77777777" w:rsidR="00697C65" w:rsidRPr="000235FF" w:rsidRDefault="00697C65" w:rsidP="00DD5938">
                  <w:pPr>
                    <w:framePr w:hSpace="141" w:wrap="around" w:vAnchor="page" w:hAnchor="margin" w:xAlign="center" w:y="1590"/>
                    <w:shd w:val="clear" w:color="auto" w:fill="F2F2F2"/>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Vedie návrh k zvýšeniu alebo zníženiu príjmov alebo výdavkov domácností? </w:t>
                  </w:r>
                </w:p>
                <w:p w14:paraId="46C1350E" w14:textId="77777777" w:rsidR="00697C65" w:rsidRPr="000235FF" w:rsidRDefault="00697C65" w:rsidP="00DD5938">
                  <w:pPr>
                    <w:framePr w:hSpace="141" w:wrap="around" w:vAnchor="page" w:hAnchor="margin" w:xAlign="center" w:y="1590"/>
                    <w:shd w:val="clear" w:color="auto" w:fill="F2F2F2"/>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Ktoré skupiny domácností/obyvateľstva sú takto ovplyvnené a akým spôsobom? </w:t>
                  </w:r>
                </w:p>
                <w:p w14:paraId="46C1350F" w14:textId="77777777" w:rsidR="00697C65" w:rsidRPr="000235FF" w:rsidRDefault="00697C65" w:rsidP="00DD5938">
                  <w:pPr>
                    <w:framePr w:hSpace="141" w:wrap="around" w:vAnchor="page" w:hAnchor="margin" w:xAlign="center" w:y="1590"/>
                    <w:shd w:val="clear" w:color="auto" w:fill="F2F2F2"/>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Sú medzi potenciálne ovplyvnenými skupinami skupiny v riziku chudoby alebo sociálneho vylúčenia?</w:t>
                  </w:r>
                </w:p>
              </w:tc>
            </w:tr>
            <w:tr w:rsidR="00697C65" w:rsidRPr="00697C65" w14:paraId="46C13513" w14:textId="77777777" w:rsidTr="008A3F4C">
              <w:trPr>
                <w:trHeight w:val="759"/>
                <w:jc w:val="center"/>
              </w:trPr>
              <w:tc>
                <w:tcPr>
                  <w:tcW w:w="2500" w:type="pct"/>
                  <w:tcBorders>
                    <w:top w:val="nil"/>
                    <w:bottom w:val="dotted" w:sz="4" w:space="0" w:color="auto"/>
                  </w:tcBorders>
                  <w:shd w:val="clear" w:color="auto" w:fill="FFFFFF" w:themeFill="background1"/>
                </w:tcPr>
                <w:p w14:paraId="46C13511"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Popíšte </w:t>
                  </w:r>
                  <w:r w:rsidRPr="000235FF">
                    <w:rPr>
                      <w:rFonts w:ascii="Times New Roman" w:eastAsia="Calibri" w:hAnsi="Times New Roman" w:cs="Times New Roman"/>
                      <w:b/>
                      <w:i/>
                      <w:sz w:val="20"/>
                      <w:szCs w:val="20"/>
                    </w:rPr>
                    <w:t>pozitívny</w:t>
                  </w:r>
                  <w:r w:rsidRPr="000235FF">
                    <w:rPr>
                      <w:rFonts w:ascii="Times New Roman" w:eastAsia="Calibri" w:hAnsi="Times New Roman" w:cs="Times New Roman"/>
                      <w:i/>
                      <w:sz w:val="20"/>
                      <w:szCs w:val="20"/>
                    </w:rPr>
                    <w:t xml:space="preserve"> vplyv na hospodárenie domácností s uvedením, či ide o zvýšenie príjmov alebo zníženie výdavkov:</w:t>
                  </w:r>
                </w:p>
              </w:tc>
              <w:tc>
                <w:tcPr>
                  <w:tcW w:w="2500" w:type="pct"/>
                  <w:tcBorders>
                    <w:top w:val="nil"/>
                    <w:bottom w:val="dotted" w:sz="4" w:space="0" w:color="auto"/>
                  </w:tcBorders>
                  <w:shd w:val="clear" w:color="auto" w:fill="FFFFFF" w:themeFill="background1"/>
                </w:tcPr>
                <w:p w14:paraId="46C13512"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16" w14:textId="77777777" w:rsidTr="008A3F4C">
              <w:trPr>
                <w:trHeight w:val="624"/>
                <w:jc w:val="center"/>
              </w:trPr>
              <w:tc>
                <w:tcPr>
                  <w:tcW w:w="2500" w:type="pct"/>
                  <w:tcBorders>
                    <w:top w:val="dotted" w:sz="4" w:space="0" w:color="auto"/>
                  </w:tcBorders>
                  <w:shd w:val="clear" w:color="auto" w:fill="FFFFFF" w:themeFill="background1"/>
                </w:tcPr>
                <w:p w14:paraId="46C13514"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Špecifikujte </w:t>
                  </w:r>
                  <w:r w:rsidRPr="000235FF">
                    <w:rPr>
                      <w:rFonts w:ascii="Times New Roman" w:eastAsia="Calibri" w:hAnsi="Times New Roman" w:cs="Times New Roman"/>
                      <w:b/>
                      <w:i/>
                      <w:sz w:val="20"/>
                      <w:szCs w:val="20"/>
                    </w:rPr>
                    <w:t>pozitívne</w:t>
                  </w:r>
                  <w:r w:rsidRPr="000235FF">
                    <w:rPr>
                      <w:rFonts w:ascii="Times New Roman" w:eastAsia="Calibri" w:hAnsi="Times New Roman" w:cs="Times New Roman"/>
                      <w:i/>
                      <w:sz w:val="20"/>
                      <w:szCs w:val="20"/>
                    </w:rPr>
                    <w:t xml:space="preserve"> ovplyvnené skupiny:</w:t>
                  </w:r>
                </w:p>
              </w:tc>
              <w:tc>
                <w:tcPr>
                  <w:tcW w:w="2500" w:type="pct"/>
                  <w:tcBorders>
                    <w:top w:val="dotted" w:sz="4" w:space="0" w:color="auto"/>
                  </w:tcBorders>
                  <w:shd w:val="clear" w:color="auto" w:fill="FFFFFF" w:themeFill="background1"/>
                </w:tcPr>
                <w:p w14:paraId="46C13515"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19" w14:textId="77777777" w:rsidTr="008A3F4C">
              <w:trPr>
                <w:trHeight w:val="759"/>
                <w:jc w:val="center"/>
              </w:trPr>
              <w:tc>
                <w:tcPr>
                  <w:tcW w:w="2500" w:type="pct"/>
                  <w:tcBorders>
                    <w:bottom w:val="dotted" w:sz="4" w:space="0" w:color="auto"/>
                  </w:tcBorders>
                  <w:shd w:val="clear" w:color="auto" w:fill="FFFFFF" w:themeFill="background1"/>
                </w:tcPr>
                <w:p w14:paraId="46C13517"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Popíšte </w:t>
                  </w:r>
                  <w:r w:rsidRPr="000235FF">
                    <w:rPr>
                      <w:rFonts w:ascii="Times New Roman" w:eastAsia="Calibri" w:hAnsi="Times New Roman" w:cs="Times New Roman"/>
                      <w:b/>
                      <w:i/>
                      <w:sz w:val="20"/>
                      <w:szCs w:val="20"/>
                    </w:rPr>
                    <w:t xml:space="preserve">negatívny </w:t>
                  </w:r>
                  <w:r w:rsidRPr="000235FF">
                    <w:rPr>
                      <w:rFonts w:ascii="Times New Roman" w:eastAsia="Calibri" w:hAnsi="Times New Roman" w:cs="Times New Roman"/>
                      <w:i/>
                      <w:sz w:val="20"/>
                      <w:szCs w:val="20"/>
                    </w:rPr>
                    <w:t>vplyv na hospodárenie domácností s uvedením, či ide o zníženie príjmov alebo zvýšenie výdavkov:</w:t>
                  </w:r>
                </w:p>
              </w:tc>
              <w:tc>
                <w:tcPr>
                  <w:tcW w:w="2500" w:type="pct"/>
                  <w:tcBorders>
                    <w:bottom w:val="dotted" w:sz="4" w:space="0" w:color="auto"/>
                  </w:tcBorders>
                  <w:shd w:val="clear" w:color="auto" w:fill="FFFFFF" w:themeFill="background1"/>
                </w:tcPr>
                <w:p w14:paraId="46C13518"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1C" w14:textId="77777777" w:rsidTr="008A3F4C">
              <w:trPr>
                <w:trHeight w:val="624"/>
                <w:jc w:val="center"/>
              </w:trPr>
              <w:tc>
                <w:tcPr>
                  <w:tcW w:w="2500" w:type="pct"/>
                  <w:tcBorders>
                    <w:top w:val="dotted" w:sz="4" w:space="0" w:color="auto"/>
                    <w:bottom w:val="single" w:sz="4" w:space="0" w:color="auto"/>
                  </w:tcBorders>
                  <w:shd w:val="clear" w:color="auto" w:fill="FFFFFF" w:themeFill="background1"/>
                </w:tcPr>
                <w:p w14:paraId="46C1351A"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Špecifikujte </w:t>
                  </w:r>
                  <w:r w:rsidRPr="000235FF">
                    <w:rPr>
                      <w:rFonts w:ascii="Times New Roman" w:eastAsia="Calibri" w:hAnsi="Times New Roman" w:cs="Times New Roman"/>
                      <w:b/>
                      <w:i/>
                      <w:sz w:val="20"/>
                      <w:szCs w:val="20"/>
                    </w:rPr>
                    <w:t>negatívne</w:t>
                  </w:r>
                  <w:r w:rsidRPr="000235FF">
                    <w:rPr>
                      <w:rFonts w:ascii="Times New Roman" w:eastAsia="Calibri" w:hAnsi="Times New Roman" w:cs="Times New Roman"/>
                      <w:i/>
                      <w:sz w:val="20"/>
                      <w:szCs w:val="20"/>
                    </w:rPr>
                    <w:t xml:space="preserve"> ovplyvnené skupiny:</w:t>
                  </w:r>
                </w:p>
              </w:tc>
              <w:tc>
                <w:tcPr>
                  <w:tcW w:w="2500" w:type="pct"/>
                  <w:tcBorders>
                    <w:top w:val="dotted" w:sz="4" w:space="0" w:color="auto"/>
                    <w:bottom w:val="single" w:sz="4" w:space="0" w:color="auto"/>
                  </w:tcBorders>
                  <w:shd w:val="clear" w:color="auto" w:fill="FFFFFF" w:themeFill="background1"/>
                </w:tcPr>
                <w:p w14:paraId="46C1351B"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1F" w14:textId="77777777" w:rsidTr="008A3F4C">
              <w:trPr>
                <w:trHeight w:val="680"/>
                <w:jc w:val="center"/>
              </w:trPr>
              <w:tc>
                <w:tcPr>
                  <w:tcW w:w="2500" w:type="pct"/>
                  <w:tcBorders>
                    <w:bottom w:val="nil"/>
                  </w:tcBorders>
                  <w:shd w:val="clear" w:color="auto" w:fill="FFFFFF" w:themeFill="background1"/>
                </w:tcPr>
                <w:p w14:paraId="46C1351D"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Špecifikujte ovplyvnené skupiny </w:t>
                  </w:r>
                  <w:r w:rsidRPr="000235FF">
                    <w:rPr>
                      <w:rFonts w:ascii="Times New Roman" w:eastAsia="Calibri" w:hAnsi="Times New Roman" w:cs="Times New Roman"/>
                      <w:b/>
                      <w:i/>
                      <w:sz w:val="20"/>
                      <w:szCs w:val="20"/>
                    </w:rPr>
                    <w:t>v riziku chudoby alebo sociálneho vylúčenia</w:t>
                  </w:r>
                  <w:r w:rsidRPr="000235FF">
                    <w:rPr>
                      <w:rFonts w:ascii="Times New Roman" w:eastAsia="Calibri" w:hAnsi="Times New Roman" w:cs="Times New Roman"/>
                      <w:i/>
                      <w:sz w:val="20"/>
                      <w:szCs w:val="20"/>
                    </w:rPr>
                    <w:t xml:space="preserve"> a popíšte vplyv:</w:t>
                  </w:r>
                </w:p>
              </w:tc>
              <w:tc>
                <w:tcPr>
                  <w:tcW w:w="2500" w:type="pct"/>
                  <w:tcBorders>
                    <w:bottom w:val="nil"/>
                  </w:tcBorders>
                  <w:shd w:val="clear" w:color="auto" w:fill="FFFFFF" w:themeFill="background1"/>
                </w:tcPr>
                <w:p w14:paraId="46C1351E"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23" w14:textId="77777777" w:rsidTr="00DD5938">
              <w:trPr>
                <w:trHeight w:val="680"/>
                <w:jc w:val="center"/>
              </w:trPr>
              <w:tc>
                <w:tcPr>
                  <w:tcW w:w="5000" w:type="pct"/>
                  <w:gridSpan w:val="2"/>
                  <w:shd w:val="clear" w:color="auto" w:fill="F2F2F2"/>
                </w:tcPr>
                <w:p w14:paraId="46C13520"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Kvantifikujte rast alebo pokles príjmov/výdavkov za jednotlivé ovplyvnené skupiny domácností / skupiny jednotlivcov a počet obyvateľstva/domácností ovplyvnených predkladaným materiálom.</w:t>
                  </w:r>
                </w:p>
                <w:p w14:paraId="46C13521" w14:textId="77777777" w:rsidR="00697C65" w:rsidRPr="000235FF" w:rsidRDefault="00697C65" w:rsidP="00DD5938">
                  <w:pPr>
                    <w:framePr w:hSpace="141" w:wrap="around" w:vAnchor="page" w:hAnchor="margin" w:xAlign="center" w:y="1590"/>
                    <w:tabs>
                      <w:tab w:val="left" w:pos="3505"/>
                    </w:tabs>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V prípade vyššieho počtu ovplyvnených skupín doplňte do tabuľky ďalšie riadky.</w:t>
                  </w:r>
                </w:p>
                <w:p w14:paraId="46C13522" w14:textId="77777777" w:rsidR="00697C65" w:rsidRPr="000235FF" w:rsidRDefault="00697C65" w:rsidP="00DD5938">
                  <w:pPr>
                    <w:framePr w:hSpace="141" w:wrap="around" w:vAnchor="page" w:hAnchor="margin" w:xAlign="center" w:y="1590"/>
                    <w:tabs>
                      <w:tab w:val="left" w:pos="3505"/>
                    </w:tabs>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V prípade, ak neuvádzate kvantifikáciu, uveďte dôvod.</w:t>
                  </w:r>
                </w:p>
              </w:tc>
            </w:tr>
            <w:tr w:rsidR="00697C65" w:rsidRPr="00697C65" w14:paraId="46C13525" w14:textId="77777777" w:rsidTr="008A3F4C">
              <w:trPr>
                <w:trHeight w:val="286"/>
                <w:jc w:val="center"/>
              </w:trPr>
              <w:tc>
                <w:tcPr>
                  <w:tcW w:w="5000" w:type="pct"/>
                  <w:gridSpan w:val="2"/>
                  <w:tcBorders>
                    <w:top w:val="nil"/>
                  </w:tcBorders>
                  <w:shd w:val="clear" w:color="auto" w:fill="FFFFFF" w:themeFill="background1"/>
                </w:tcPr>
                <w:p w14:paraId="46C13524"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b/>
                      <w:i/>
                      <w:sz w:val="20"/>
                      <w:szCs w:val="20"/>
                    </w:rPr>
                    <w:t>Ovplyvnená skupina č. 1:</w:t>
                  </w:r>
                </w:p>
              </w:tc>
            </w:tr>
            <w:tr w:rsidR="00697C65" w:rsidRPr="00697C65" w14:paraId="46C13528" w14:textId="77777777" w:rsidTr="008A3F4C">
              <w:trPr>
                <w:trHeight w:val="503"/>
                <w:jc w:val="center"/>
              </w:trPr>
              <w:tc>
                <w:tcPr>
                  <w:tcW w:w="2500" w:type="pct"/>
                  <w:tcBorders>
                    <w:bottom w:val="single" w:sz="4" w:space="0" w:color="BFBFBF"/>
                  </w:tcBorders>
                  <w:shd w:val="clear" w:color="auto" w:fill="FFFFFF" w:themeFill="background1"/>
                </w:tcPr>
                <w:p w14:paraId="46C13526"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Pozitívny vplyv - priemerný rast príjmov/ pokles výdavkov v skupine v eurách a/alebo v % / obdobie:</w:t>
                  </w:r>
                </w:p>
              </w:tc>
              <w:tc>
                <w:tcPr>
                  <w:tcW w:w="2500" w:type="pct"/>
                  <w:tcBorders>
                    <w:bottom w:val="single" w:sz="4" w:space="0" w:color="BFBFBF"/>
                  </w:tcBorders>
                  <w:shd w:val="clear" w:color="auto" w:fill="FFFFFF" w:themeFill="background1"/>
                </w:tcPr>
                <w:p w14:paraId="46C13527"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2B" w14:textId="77777777" w:rsidTr="008A3F4C">
              <w:trPr>
                <w:trHeight w:val="497"/>
                <w:jc w:val="center"/>
              </w:trPr>
              <w:tc>
                <w:tcPr>
                  <w:tcW w:w="2500" w:type="pct"/>
                  <w:tcBorders>
                    <w:top w:val="single" w:sz="4" w:space="0" w:color="BFBFBF"/>
                    <w:bottom w:val="single" w:sz="4" w:space="0" w:color="BFBFBF"/>
                  </w:tcBorders>
                  <w:shd w:val="clear" w:color="auto" w:fill="FFFFFF" w:themeFill="background1"/>
                </w:tcPr>
                <w:p w14:paraId="46C13529"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Negatívny vplyv - priemerný pokles príjmov/ rast výdavkov v skupine v eurách a/alebo v % / obdobie: </w:t>
                  </w:r>
                </w:p>
              </w:tc>
              <w:tc>
                <w:tcPr>
                  <w:tcW w:w="2500" w:type="pct"/>
                  <w:tcBorders>
                    <w:top w:val="single" w:sz="4" w:space="0" w:color="BFBFBF"/>
                    <w:bottom w:val="single" w:sz="4" w:space="0" w:color="BFBFBF"/>
                  </w:tcBorders>
                  <w:shd w:val="clear" w:color="auto" w:fill="FFFFFF" w:themeFill="background1"/>
                </w:tcPr>
                <w:p w14:paraId="46C1352A"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2E" w14:textId="77777777" w:rsidTr="008A3F4C">
              <w:trPr>
                <w:trHeight w:val="363"/>
                <w:jc w:val="center"/>
              </w:trPr>
              <w:tc>
                <w:tcPr>
                  <w:tcW w:w="2500" w:type="pct"/>
                  <w:tcBorders>
                    <w:top w:val="single" w:sz="4" w:space="0" w:color="BFBFBF"/>
                    <w:bottom w:val="single" w:sz="4" w:space="0" w:color="auto"/>
                  </w:tcBorders>
                  <w:shd w:val="clear" w:color="auto" w:fill="FFFFFF" w:themeFill="background1"/>
                </w:tcPr>
                <w:p w14:paraId="46C1352C"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Veľkosť skupiny (počet obyvateľov):</w:t>
                  </w:r>
                </w:p>
              </w:tc>
              <w:tc>
                <w:tcPr>
                  <w:tcW w:w="2500" w:type="pct"/>
                  <w:tcBorders>
                    <w:top w:val="single" w:sz="4" w:space="0" w:color="BFBFBF"/>
                    <w:bottom w:val="single" w:sz="4" w:space="0" w:color="auto"/>
                  </w:tcBorders>
                  <w:shd w:val="clear" w:color="auto" w:fill="FFFFFF" w:themeFill="background1"/>
                </w:tcPr>
                <w:p w14:paraId="46C1352D"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30" w14:textId="77777777" w:rsidTr="008A3F4C">
              <w:trPr>
                <w:trHeight w:val="265"/>
                <w:jc w:val="center"/>
              </w:trPr>
              <w:tc>
                <w:tcPr>
                  <w:tcW w:w="5000" w:type="pct"/>
                  <w:gridSpan w:val="2"/>
                  <w:tcBorders>
                    <w:top w:val="single" w:sz="4" w:space="0" w:color="auto"/>
                  </w:tcBorders>
                  <w:shd w:val="clear" w:color="auto" w:fill="FFFFFF" w:themeFill="background1"/>
                </w:tcPr>
                <w:p w14:paraId="46C1352F"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b/>
                      <w:i/>
                      <w:sz w:val="20"/>
                      <w:szCs w:val="20"/>
                    </w:rPr>
                    <w:t>Ovplyvnená skupina č. 2:</w:t>
                  </w:r>
                </w:p>
              </w:tc>
            </w:tr>
            <w:tr w:rsidR="00697C65" w:rsidRPr="00697C65" w14:paraId="46C13533" w14:textId="77777777" w:rsidTr="008A3F4C">
              <w:trPr>
                <w:trHeight w:val="587"/>
                <w:jc w:val="center"/>
              </w:trPr>
              <w:tc>
                <w:tcPr>
                  <w:tcW w:w="2500" w:type="pct"/>
                  <w:tcBorders>
                    <w:bottom w:val="single" w:sz="4" w:space="0" w:color="BFBFBF"/>
                  </w:tcBorders>
                  <w:shd w:val="clear" w:color="auto" w:fill="FFFFFF" w:themeFill="background1"/>
                </w:tcPr>
                <w:p w14:paraId="46C13531"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Pozitívny vplyv - priemerný rast príjmov/pokles výdavkov v skupine v eurách a/alebo v % / obdobie:</w:t>
                  </w:r>
                </w:p>
              </w:tc>
              <w:tc>
                <w:tcPr>
                  <w:tcW w:w="2500" w:type="pct"/>
                  <w:tcBorders>
                    <w:bottom w:val="single" w:sz="4" w:space="0" w:color="BFBFBF"/>
                  </w:tcBorders>
                  <w:shd w:val="clear" w:color="auto" w:fill="FFFFFF" w:themeFill="background1"/>
                </w:tcPr>
                <w:p w14:paraId="46C13532"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36" w14:textId="77777777" w:rsidTr="008A3F4C">
              <w:trPr>
                <w:trHeight w:val="497"/>
                <w:jc w:val="center"/>
              </w:trPr>
              <w:tc>
                <w:tcPr>
                  <w:tcW w:w="2500" w:type="pct"/>
                  <w:tcBorders>
                    <w:top w:val="single" w:sz="4" w:space="0" w:color="BFBFBF"/>
                    <w:bottom w:val="single" w:sz="4" w:space="0" w:color="BFBFBF"/>
                  </w:tcBorders>
                  <w:shd w:val="clear" w:color="auto" w:fill="FFFFFF" w:themeFill="background1"/>
                </w:tcPr>
                <w:p w14:paraId="46C13534"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Negatívny vplyv - priemerný pokles príjmov/ rast výdavkov v skupine v eurách a/alebo v % / obdobie: </w:t>
                  </w:r>
                </w:p>
              </w:tc>
              <w:tc>
                <w:tcPr>
                  <w:tcW w:w="2500" w:type="pct"/>
                  <w:tcBorders>
                    <w:top w:val="single" w:sz="4" w:space="0" w:color="BFBFBF"/>
                    <w:bottom w:val="single" w:sz="4" w:space="0" w:color="BFBFBF"/>
                  </w:tcBorders>
                  <w:shd w:val="clear" w:color="auto" w:fill="FFFFFF" w:themeFill="background1"/>
                </w:tcPr>
                <w:p w14:paraId="46C13535"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39" w14:textId="77777777" w:rsidTr="008A3F4C">
              <w:trPr>
                <w:trHeight w:val="363"/>
                <w:jc w:val="center"/>
              </w:trPr>
              <w:tc>
                <w:tcPr>
                  <w:tcW w:w="2500" w:type="pct"/>
                  <w:tcBorders>
                    <w:top w:val="single" w:sz="4" w:space="0" w:color="BFBFBF"/>
                  </w:tcBorders>
                  <w:shd w:val="clear" w:color="auto" w:fill="FFFFFF" w:themeFill="background1"/>
                </w:tcPr>
                <w:p w14:paraId="46C13537"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Veľkosť skupiny (počet obyvateľov):</w:t>
                  </w:r>
                </w:p>
              </w:tc>
              <w:tc>
                <w:tcPr>
                  <w:tcW w:w="2500" w:type="pct"/>
                  <w:tcBorders>
                    <w:top w:val="single" w:sz="4" w:space="0" w:color="BFBFBF"/>
                  </w:tcBorders>
                  <w:shd w:val="clear" w:color="auto" w:fill="FFFFFF" w:themeFill="background1"/>
                </w:tcPr>
                <w:p w14:paraId="46C13538"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3C" w14:textId="77777777" w:rsidTr="008A3F4C">
              <w:trPr>
                <w:trHeight w:val="670"/>
                <w:jc w:val="center"/>
              </w:trPr>
              <w:tc>
                <w:tcPr>
                  <w:tcW w:w="2500" w:type="pct"/>
                  <w:shd w:val="clear" w:color="auto" w:fill="FFFFFF" w:themeFill="background1"/>
                </w:tcPr>
                <w:p w14:paraId="46C1353A"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Dôvod chýbajúcej kvantifikácie:</w:t>
                  </w:r>
                </w:p>
              </w:tc>
              <w:tc>
                <w:tcPr>
                  <w:tcW w:w="2500" w:type="pct"/>
                  <w:shd w:val="clear" w:color="auto" w:fill="FFFFFF" w:themeFill="background1"/>
                </w:tcPr>
                <w:p w14:paraId="46C1353B"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r w:rsidR="00697C65" w:rsidRPr="00697C65" w14:paraId="46C1353F" w14:textId="77777777" w:rsidTr="008A3F4C">
              <w:trPr>
                <w:trHeight w:val="670"/>
                <w:jc w:val="center"/>
              </w:trPr>
              <w:tc>
                <w:tcPr>
                  <w:tcW w:w="2500" w:type="pct"/>
                  <w:shd w:val="clear" w:color="auto" w:fill="FFFFFF" w:themeFill="background1"/>
                </w:tcPr>
                <w:p w14:paraId="46C1353D"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lastRenderedPageBreak/>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FFFFFF" w:themeFill="background1"/>
                </w:tcPr>
                <w:p w14:paraId="46C1353E" w14:textId="77777777" w:rsidR="00697C65" w:rsidRPr="000235FF" w:rsidRDefault="00697C65" w:rsidP="00DD5938">
                  <w:pPr>
                    <w:framePr w:hSpace="141" w:wrap="around" w:vAnchor="page" w:hAnchor="margin" w:xAlign="center" w:y="1590"/>
                    <w:spacing w:line="240" w:lineRule="auto"/>
                    <w:rPr>
                      <w:rFonts w:ascii="Times New Roman" w:eastAsia="Calibri" w:hAnsi="Times New Roman" w:cs="Times New Roman"/>
                      <w:sz w:val="20"/>
                      <w:szCs w:val="20"/>
                    </w:rPr>
                  </w:pPr>
                </w:p>
              </w:tc>
            </w:tr>
          </w:tbl>
          <w:p w14:paraId="46C13540" w14:textId="77777777" w:rsidR="00CD4982" w:rsidRPr="000235FF" w:rsidRDefault="00CD4982" w:rsidP="00CD4982">
            <w:pPr>
              <w:spacing w:after="0" w:line="240" w:lineRule="auto"/>
              <w:rPr>
                <w:rFonts w:ascii="Times New Roman" w:eastAsia="Calibri" w:hAnsi="Times New Roman" w:cs="Times New Roman"/>
                <w:b/>
                <w:sz w:val="20"/>
                <w:szCs w:val="20"/>
                <w:lang w:eastAsia="sk-SK"/>
              </w:rPr>
            </w:pPr>
            <w:r w:rsidRPr="000235FF">
              <w:rPr>
                <w:rFonts w:ascii="Times New Roman" w:eastAsia="Calibri" w:hAnsi="Times New Roman" w:cs="Times New Roman"/>
                <w:b/>
                <w:sz w:val="20"/>
                <w:szCs w:val="20"/>
                <w:lang w:eastAsia="sk-SK"/>
              </w:rPr>
              <w:t>4.2 Identifikujte, popíšte a kvantifikujte vplyvy na prístup k zdrojom, právam, tovarom a službám u jednotlivých ovplyvnených skupín obyvateľstva a vplyv na sociálnu inklúziu.</w:t>
            </w:r>
          </w:p>
        </w:tc>
      </w:tr>
      <w:tr w:rsidR="00CD4982" w:rsidRPr="00CD4982" w14:paraId="46C13544" w14:textId="77777777" w:rsidTr="00CD4982">
        <w:trPr>
          <w:trHeight w:val="290"/>
        </w:trPr>
        <w:tc>
          <w:tcPr>
            <w:tcW w:w="5000" w:type="pct"/>
            <w:gridSpan w:val="2"/>
            <w:tcBorders>
              <w:bottom w:val="single" w:sz="4" w:space="0" w:color="auto"/>
            </w:tcBorders>
            <w:shd w:val="clear" w:color="auto" w:fill="F2F2F2"/>
          </w:tcPr>
          <w:p w14:paraId="46C13542" w14:textId="77777777" w:rsidR="00CD4982" w:rsidRPr="00CD4982" w:rsidRDefault="00CD4982" w:rsidP="00CD4982">
            <w:pPr>
              <w:spacing w:after="0" w:line="240" w:lineRule="auto"/>
              <w:jc w:val="both"/>
              <w:rPr>
                <w:rFonts w:ascii="Times New Roman" w:eastAsia="Calibri" w:hAnsi="Times New Roman" w:cs="Times New Roman"/>
                <w:i/>
                <w:sz w:val="20"/>
                <w:szCs w:val="24"/>
                <w:lang w:eastAsia="sk-SK"/>
              </w:rPr>
            </w:pPr>
            <w:r w:rsidRPr="00CD4982">
              <w:rPr>
                <w:rFonts w:ascii="Times New Roman" w:eastAsia="Calibri" w:hAnsi="Times New Roman" w:cs="Times New Roman"/>
                <w:i/>
                <w:sz w:val="20"/>
                <w:szCs w:val="24"/>
                <w:lang w:eastAsia="sk-SK"/>
              </w:rPr>
              <w:lastRenderedPageBreak/>
              <w:t xml:space="preserve">Má návrh vplyv na prístup k zdrojom, právam, tovarom a službám? </w:t>
            </w:r>
          </w:p>
          <w:p w14:paraId="46C13543" w14:textId="77777777" w:rsidR="00CD4982" w:rsidRPr="00CD4982" w:rsidRDefault="00CD4982" w:rsidP="00CD4982">
            <w:pPr>
              <w:spacing w:after="0" w:line="240" w:lineRule="auto"/>
              <w:jc w:val="both"/>
              <w:rPr>
                <w:rFonts w:ascii="Calibri" w:eastAsia="Calibri" w:hAnsi="Calibri" w:cs="Times New Roman"/>
                <w:i/>
                <w:sz w:val="24"/>
                <w:szCs w:val="24"/>
                <w:lang w:eastAsia="sk-SK"/>
              </w:rPr>
            </w:pPr>
            <w:r w:rsidRPr="00CD4982">
              <w:rPr>
                <w:rFonts w:ascii="Times New Roman" w:eastAsia="Calibri"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r w:rsidR="00CD4982" w:rsidRPr="00CD4982" w14:paraId="46C13554" w14:textId="77777777" w:rsidTr="00CD4982">
        <w:trPr>
          <w:trHeight w:val="557"/>
        </w:trPr>
        <w:tc>
          <w:tcPr>
            <w:tcW w:w="1993" w:type="pct"/>
            <w:tcBorders>
              <w:bottom w:val="single" w:sz="4" w:space="0" w:color="auto"/>
            </w:tcBorders>
            <w:shd w:val="clear" w:color="auto" w:fill="auto"/>
          </w:tcPr>
          <w:p w14:paraId="46C13545" w14:textId="77777777" w:rsidR="00CD4982" w:rsidRPr="00CD4982" w:rsidRDefault="00CD4982" w:rsidP="00CD4982">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Rozumie sa najmä na prístup k:</w:t>
            </w:r>
          </w:p>
          <w:p w14:paraId="46C13546"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46C13547"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6C13548"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pomoci pri úhrade výdavkov súvisiacich so zdravotným postihnutím, </w:t>
            </w:r>
          </w:p>
          <w:p w14:paraId="46C13549"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46C1354A"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46C1354B"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k formálnemu i neformálnemu vzdelávaniu a celo</w:t>
            </w:r>
            <w:r w:rsidRPr="00CD4982">
              <w:rPr>
                <w:rFonts w:ascii="Times New Roman" w:eastAsia="Calibri" w:hAnsi="Times New Roman" w:cs="Times New Roman"/>
                <w:i/>
                <w:sz w:val="18"/>
                <w:szCs w:val="18"/>
                <w:lang w:eastAsia="sk-SK"/>
              </w:rPr>
              <w:softHyphen/>
              <w:t xml:space="preserve">životnému vzdelávaniu, </w:t>
            </w:r>
          </w:p>
          <w:p w14:paraId="46C1354C"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bývaniu a súvisiacim základným komunálnym službám,</w:t>
            </w:r>
          </w:p>
          <w:p w14:paraId="46C1354D"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doprave,</w:t>
            </w:r>
          </w:p>
          <w:p w14:paraId="46C1354E"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ďalším službám najmä službám všeobecného záujmu a tovarom,</w:t>
            </w:r>
          </w:p>
          <w:p w14:paraId="46C1354F"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spravodlivosti, právnej ochrane, právnym službám,</w:t>
            </w:r>
          </w:p>
          <w:p w14:paraId="46C13550" w14:textId="77777777" w:rsidR="00CD4982" w:rsidRPr="00CD4982" w:rsidRDefault="00CD4982" w:rsidP="00CD4982">
            <w:pPr>
              <w:numPr>
                <w:ilvl w:val="0"/>
                <w:numId w:val="11"/>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informáciám</w:t>
            </w:r>
          </w:p>
          <w:p w14:paraId="46C13551" w14:textId="77777777" w:rsidR="00CD4982" w:rsidRPr="00CD4982" w:rsidRDefault="00CD4982" w:rsidP="00CD4982">
            <w:pPr>
              <w:numPr>
                <w:ilvl w:val="0"/>
                <w:numId w:val="11"/>
              </w:numPr>
              <w:spacing w:after="0" w:line="240" w:lineRule="auto"/>
              <w:jc w:val="both"/>
              <w:rPr>
                <w:rFonts w:ascii="Calibri" w:eastAsia="Calibri" w:hAnsi="Calibri" w:cs="Times New Roman"/>
                <w:i/>
                <w:sz w:val="20"/>
                <w:szCs w:val="20"/>
                <w:lang w:eastAsia="sk-SK"/>
              </w:rPr>
            </w:pPr>
            <w:r w:rsidRPr="00CD4982">
              <w:rPr>
                <w:rFonts w:ascii="Times New Roman" w:eastAsia="Calibri" w:hAnsi="Times New Roman" w:cs="Times New Roman"/>
                <w:i/>
                <w:sz w:val="18"/>
                <w:szCs w:val="18"/>
                <w:lang w:eastAsia="sk-SK"/>
              </w:rPr>
              <w:t>k iným právam (napr. politickým).</w:t>
            </w:r>
          </w:p>
        </w:tc>
        <w:tc>
          <w:tcPr>
            <w:tcW w:w="3007" w:type="pct"/>
            <w:tcBorders>
              <w:bottom w:val="single" w:sz="4" w:space="0" w:color="auto"/>
            </w:tcBorders>
            <w:shd w:val="clear" w:color="auto" w:fill="auto"/>
          </w:tcPr>
          <w:p w14:paraId="2E8F1F60" w14:textId="77777777" w:rsidR="00AC4410" w:rsidRPr="0046666C" w:rsidRDefault="00AC4410" w:rsidP="00AC4410">
            <w:pPr>
              <w:spacing w:line="240" w:lineRule="auto"/>
              <w:jc w:val="both"/>
              <w:rPr>
                <w:rFonts w:ascii="Times New Roman" w:hAnsi="Times New Roman" w:cs="Times New Roman"/>
                <w:i/>
              </w:rPr>
            </w:pPr>
            <w:r>
              <w:rPr>
                <w:rFonts w:ascii="Times New Roman" w:hAnsi="Times New Roman" w:cs="Times New Roman"/>
                <w:i/>
              </w:rPr>
              <w:t>Pre ďalší rozvoj športu (rekreačného ako aj vrcholového)</w:t>
            </w:r>
            <w:r w:rsidRPr="0046666C">
              <w:rPr>
                <w:rFonts w:ascii="Times New Roman" w:hAnsi="Times New Roman" w:cs="Times New Roman"/>
                <w:i/>
              </w:rPr>
              <w:t xml:space="preserve"> je</w:t>
            </w:r>
            <w:r>
              <w:rPr>
                <w:rFonts w:ascii="Times New Roman" w:hAnsi="Times New Roman" w:cs="Times New Roman"/>
                <w:i/>
              </w:rPr>
              <w:t xml:space="preserve"> nevyhnutné</w:t>
            </w:r>
            <w:r w:rsidRPr="0046666C">
              <w:rPr>
                <w:rFonts w:ascii="Times New Roman" w:hAnsi="Times New Roman" w:cs="Times New Roman"/>
                <w:i/>
              </w:rPr>
              <w:t xml:space="preserve"> hlavne zlepšiť celkový stav a kvalitu športovej infraštruktúry, a to jej postupnou výstavbou, modernizáciou a rekonštrukciou. Dôležitou podmienkou pri tom </w:t>
            </w:r>
            <w:r>
              <w:rPr>
                <w:rFonts w:ascii="Times New Roman" w:hAnsi="Times New Roman" w:cs="Times New Roman"/>
                <w:i/>
              </w:rPr>
              <w:t>bude</w:t>
            </w:r>
            <w:r w:rsidRPr="0046666C">
              <w:rPr>
                <w:rFonts w:ascii="Times New Roman" w:hAnsi="Times New Roman" w:cs="Times New Roman"/>
                <w:i/>
              </w:rPr>
              <w:t xml:space="preserve"> splnenie náročných technických parametrov pre organizovanie športových súťaží, ktoré sú stanovené športovo-technickými predpismi medzinárodných športových federácií. </w:t>
            </w:r>
          </w:p>
          <w:p w14:paraId="195ECDE1" w14:textId="02BDCB72" w:rsidR="00633EE2" w:rsidRPr="00633EE2" w:rsidRDefault="00C376C7" w:rsidP="00C376C7">
            <w:pPr>
              <w:spacing w:line="240" w:lineRule="auto"/>
              <w:jc w:val="both"/>
              <w:rPr>
                <w:rFonts w:ascii="Times New Roman" w:hAnsi="Times New Roman" w:cs="Times New Roman"/>
                <w:i/>
              </w:rPr>
            </w:pPr>
            <w:r w:rsidRPr="00AC4410">
              <w:rPr>
                <w:rFonts w:ascii="Times New Roman" w:hAnsi="Times New Roman" w:cs="Times New Roman"/>
                <w:i/>
              </w:rPr>
              <w:t xml:space="preserve">Za zásadnú považujeme problematiku podpory športovej infraštruktúry pre deti a mládež, vrátane jej využitia aj širokou verejnosťou. </w:t>
            </w:r>
            <w:r>
              <w:rPr>
                <w:rFonts w:ascii="Times New Roman" w:hAnsi="Times New Roman" w:cs="Times New Roman"/>
                <w:i/>
              </w:rPr>
              <w:t>Z tohto dôvodu je podpora cielená napr. na pilotný projekt výstavby multifunkčnej viacúčelovej športovej haly, ktorá bude využiteľná</w:t>
            </w:r>
            <w:r w:rsidRPr="00AC4410">
              <w:rPr>
                <w:rFonts w:ascii="Times New Roman" w:hAnsi="Times New Roman" w:cs="Times New Roman"/>
                <w:i/>
              </w:rPr>
              <w:t xml:space="preserve"> nielen pre potreby organizovaného športu, ale aj na </w:t>
            </w:r>
            <w:proofErr w:type="spellStart"/>
            <w:r w:rsidRPr="00AC4410">
              <w:rPr>
                <w:rFonts w:ascii="Times New Roman" w:hAnsi="Times New Roman" w:cs="Times New Roman"/>
                <w:i/>
              </w:rPr>
              <w:t>voľnočasové</w:t>
            </w:r>
            <w:proofErr w:type="spellEnd"/>
            <w:r w:rsidRPr="00AC4410">
              <w:rPr>
                <w:rFonts w:ascii="Times New Roman" w:hAnsi="Times New Roman" w:cs="Times New Roman"/>
                <w:i/>
              </w:rPr>
              <w:t xml:space="preserve"> aktivity</w:t>
            </w:r>
            <w:r>
              <w:rPr>
                <w:rFonts w:ascii="Times New Roman" w:hAnsi="Times New Roman" w:cs="Times New Roman"/>
                <w:i/>
              </w:rPr>
              <w:t xml:space="preserve"> detí, mládeže a občanov.</w:t>
            </w:r>
            <w:r w:rsidR="00633EE2">
              <w:rPr>
                <w:rFonts w:ascii="Times New Roman" w:hAnsi="Times New Roman" w:cs="Times New Roman"/>
                <w:i/>
              </w:rPr>
              <w:t xml:space="preserve"> Výstavbou, modernizáciou </w:t>
            </w:r>
            <w:r w:rsidR="00633EE2" w:rsidRPr="0046666C">
              <w:rPr>
                <w:rFonts w:ascii="Times New Roman" w:hAnsi="Times New Roman" w:cs="Times New Roman"/>
                <w:i/>
              </w:rPr>
              <w:t>a</w:t>
            </w:r>
            <w:r w:rsidR="00633EE2">
              <w:rPr>
                <w:rFonts w:ascii="Times New Roman" w:hAnsi="Times New Roman" w:cs="Times New Roman"/>
                <w:i/>
              </w:rPr>
              <w:t> </w:t>
            </w:r>
            <w:r w:rsidR="00633EE2" w:rsidRPr="0046666C">
              <w:rPr>
                <w:rFonts w:ascii="Times New Roman" w:hAnsi="Times New Roman" w:cs="Times New Roman"/>
                <w:i/>
              </w:rPr>
              <w:t>rekonštrukciou</w:t>
            </w:r>
            <w:r w:rsidR="00633EE2">
              <w:rPr>
                <w:rFonts w:ascii="Times New Roman" w:hAnsi="Times New Roman" w:cs="Times New Roman"/>
                <w:i/>
              </w:rPr>
              <w:t xml:space="preserve"> športovej infraštruktúry pre deti a mládež sa zároveň skvalitnia </w:t>
            </w:r>
            <w:r w:rsidR="00633EE2" w:rsidRPr="00633EE2">
              <w:rPr>
                <w:rFonts w:ascii="Times New Roman" w:hAnsi="Times New Roman" w:cs="Times New Roman"/>
                <w:i/>
                <w:color w:val="000000"/>
              </w:rPr>
              <w:t>služby pre obyvateľov v oblasti športu pre všetkých.</w:t>
            </w:r>
          </w:p>
          <w:p w14:paraId="6B0AED11" w14:textId="3AC2AAD8" w:rsidR="0046666C" w:rsidRPr="00B03301" w:rsidRDefault="00B03301" w:rsidP="00B03301">
            <w:pPr>
              <w:spacing w:line="240" w:lineRule="auto"/>
              <w:jc w:val="both"/>
              <w:rPr>
                <w:rFonts w:ascii="Times New Roman" w:hAnsi="Times New Roman" w:cs="Times New Roman"/>
                <w:i/>
              </w:rPr>
            </w:pPr>
            <w:r>
              <w:rPr>
                <w:rFonts w:ascii="Times New Roman" w:hAnsi="Times New Roman" w:cs="Times New Roman"/>
                <w:i/>
              </w:rPr>
              <w:t xml:space="preserve">Rekonštrukcia telocviční na základných a stredných školách zlepší ich technický stav, ktorý je v mnohých prípadoch nevyhovujúci. Zároveň je tu aj možnosť telocvične doplniť o potrebný športový materiál a ďalšie vybavenie. Telocvične po modernizácii budú slúžiť nielen pre školské športové aktivity, ale zároveň aj mimoškolské športové aktivity, a to pre všetky skupiny žiakov, vrátane </w:t>
            </w:r>
            <w:proofErr w:type="spellStart"/>
            <w:r>
              <w:rPr>
                <w:rFonts w:ascii="Times New Roman" w:hAnsi="Times New Roman" w:cs="Times New Roman"/>
                <w:i/>
              </w:rPr>
              <w:t>marginalizovaných</w:t>
            </w:r>
            <w:proofErr w:type="spellEnd"/>
            <w:r>
              <w:rPr>
                <w:rFonts w:ascii="Times New Roman" w:hAnsi="Times New Roman" w:cs="Times New Roman"/>
                <w:i/>
              </w:rPr>
              <w:t xml:space="preserve"> skupín obyvateľstva, ako aj pre občanov so zdravotným postihnutím.</w:t>
            </w:r>
          </w:p>
          <w:p w14:paraId="46C13552" w14:textId="77777777" w:rsidR="00CD4982" w:rsidRPr="00CD4982" w:rsidRDefault="00CD4982" w:rsidP="00CD4982">
            <w:pPr>
              <w:spacing w:after="0" w:line="240" w:lineRule="auto"/>
              <w:rPr>
                <w:rFonts w:ascii="Times New Roman" w:eastAsia="Calibri" w:hAnsi="Times New Roman" w:cs="Times New Roman"/>
                <w:i/>
                <w:sz w:val="20"/>
                <w:szCs w:val="20"/>
                <w:lang w:eastAsia="sk-SK"/>
              </w:rPr>
            </w:pPr>
          </w:p>
          <w:p w14:paraId="46C13553" w14:textId="77777777" w:rsidR="00CD4982" w:rsidRPr="00CD4982" w:rsidRDefault="00CD4982" w:rsidP="00CD4982">
            <w:pPr>
              <w:spacing w:after="0" w:line="240" w:lineRule="auto"/>
              <w:rPr>
                <w:rFonts w:ascii="Times New Roman" w:eastAsia="Calibri" w:hAnsi="Times New Roman" w:cs="Times New Roman"/>
                <w:i/>
                <w:sz w:val="20"/>
                <w:szCs w:val="20"/>
                <w:lang w:eastAsia="sk-SK"/>
              </w:rPr>
            </w:pPr>
          </w:p>
        </w:tc>
      </w:tr>
      <w:tr w:rsidR="00CD4982" w:rsidRPr="00CD4982" w14:paraId="46C13557" w14:textId="77777777" w:rsidTr="00CD4982">
        <w:tc>
          <w:tcPr>
            <w:tcW w:w="5000" w:type="pct"/>
            <w:gridSpan w:val="2"/>
            <w:tcBorders>
              <w:bottom w:val="single" w:sz="4" w:space="0" w:color="auto"/>
            </w:tcBorders>
            <w:shd w:val="clear" w:color="auto" w:fill="F2F2F2"/>
          </w:tcPr>
          <w:p w14:paraId="46C13555" w14:textId="77777777" w:rsidR="00CD4982" w:rsidRPr="00CD4982" w:rsidRDefault="00CD4982" w:rsidP="00CD4982">
            <w:pPr>
              <w:spacing w:after="0" w:line="240" w:lineRule="auto"/>
              <w:jc w:val="both"/>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46C13556" w14:textId="77777777" w:rsidR="00CD4982" w:rsidRPr="00CD4982" w:rsidRDefault="00CD4982" w:rsidP="00CD4982">
            <w:pPr>
              <w:spacing w:after="0" w:line="240" w:lineRule="auto"/>
              <w:jc w:val="both"/>
              <w:rPr>
                <w:rFonts w:ascii="Calibri" w:eastAsia="Calibri" w:hAnsi="Calibri" w:cs="Times New Roman"/>
                <w:i/>
                <w:lang w:eastAsia="sk-SK"/>
              </w:rPr>
            </w:pPr>
            <w:r w:rsidRPr="00CD498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CD4982" w:rsidRPr="00CD4982" w14:paraId="46C13566" w14:textId="77777777" w:rsidTr="00CD4982">
        <w:trPr>
          <w:trHeight w:val="677"/>
        </w:trPr>
        <w:tc>
          <w:tcPr>
            <w:tcW w:w="1993" w:type="pct"/>
            <w:tcBorders>
              <w:bottom w:val="single" w:sz="4" w:space="0" w:color="auto"/>
            </w:tcBorders>
            <w:shd w:val="clear" w:color="auto" w:fill="auto"/>
          </w:tcPr>
          <w:p w14:paraId="46C13558" w14:textId="77777777" w:rsidR="00CD4982" w:rsidRPr="00CD4982" w:rsidRDefault="003849C7" w:rsidP="00CD4982">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Zraniteľné skupiny alebo s</w:t>
            </w:r>
            <w:r w:rsidR="00CD4982" w:rsidRPr="00CD4982">
              <w:rPr>
                <w:rFonts w:ascii="Times New Roman" w:eastAsia="Calibri" w:hAnsi="Times New Roman" w:cs="Times New Roman"/>
                <w:i/>
                <w:sz w:val="18"/>
                <w:szCs w:val="18"/>
                <w:lang w:eastAsia="sk-SK"/>
              </w:rPr>
              <w:t>kupiny v riziku chudoby alebo sociálneho vylúčenia</w:t>
            </w:r>
            <w:r>
              <w:rPr>
                <w:rFonts w:ascii="Times New Roman" w:eastAsia="Calibri" w:hAnsi="Times New Roman" w:cs="Times New Roman"/>
                <w:i/>
                <w:sz w:val="18"/>
                <w:szCs w:val="18"/>
                <w:lang w:eastAsia="sk-SK"/>
              </w:rPr>
              <w:t xml:space="preserve"> sú napr.</w:t>
            </w:r>
            <w:r w:rsidR="00CD4982" w:rsidRPr="00CD4982">
              <w:rPr>
                <w:rFonts w:ascii="Times New Roman" w:eastAsia="Calibri" w:hAnsi="Times New Roman" w:cs="Times New Roman"/>
                <w:i/>
                <w:sz w:val="18"/>
                <w:szCs w:val="18"/>
                <w:lang w:eastAsia="sk-SK"/>
              </w:rPr>
              <w:t>:</w:t>
            </w:r>
          </w:p>
          <w:p w14:paraId="46C13559"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46C1355A"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nezamestnaní, najmä dlhodobo nezamestnaní, mladí nezamestnaní a nezamestnaní nad 50 rokov,</w:t>
            </w:r>
          </w:p>
          <w:p w14:paraId="46C1355B"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deti (0 – 17),</w:t>
            </w:r>
          </w:p>
          <w:p w14:paraId="46C1355C"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mladí ľudia (18 – 25 rokov),</w:t>
            </w:r>
          </w:p>
          <w:p w14:paraId="46C1355D"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starší ľudia, napr. ľudia vo veku nad 65 rokov alebo dôchodcovia,</w:t>
            </w:r>
          </w:p>
          <w:p w14:paraId="46C1355E"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ľudia so zdravotným postihnutím,</w:t>
            </w:r>
          </w:p>
          <w:p w14:paraId="46C1355F"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proofErr w:type="spellStart"/>
            <w:r w:rsidRPr="00CD4982">
              <w:rPr>
                <w:rFonts w:ascii="Times New Roman" w:eastAsia="Calibri" w:hAnsi="Times New Roman" w:cs="Times New Roman"/>
                <w:i/>
                <w:sz w:val="18"/>
                <w:szCs w:val="18"/>
                <w:lang w:eastAsia="sk-SK"/>
              </w:rPr>
              <w:lastRenderedPageBreak/>
              <w:t>marginalizované</w:t>
            </w:r>
            <w:proofErr w:type="spellEnd"/>
            <w:r w:rsidRPr="00CD4982">
              <w:rPr>
                <w:rFonts w:ascii="Times New Roman" w:eastAsia="Calibri" w:hAnsi="Times New Roman" w:cs="Times New Roman"/>
                <w:i/>
                <w:sz w:val="18"/>
                <w:szCs w:val="18"/>
                <w:lang w:eastAsia="sk-SK"/>
              </w:rPr>
              <w:t xml:space="preserve"> rómske komunity </w:t>
            </w:r>
          </w:p>
          <w:p w14:paraId="46C13560"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domácnosti s 3 a viac deťmi,</w:t>
            </w:r>
          </w:p>
          <w:p w14:paraId="46C13561"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jednorodičovské domácnosti s deťmi (neúplné rodiny, ktoré tvoria najmä osamelé matky s deťmi),</w:t>
            </w:r>
          </w:p>
          <w:p w14:paraId="46C13562" w14:textId="7460BEFA"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príslušníci tretích krajín, azylanti, žiadatelia </w:t>
            </w:r>
            <w:r w:rsidR="00B73ECC">
              <w:rPr>
                <w:rFonts w:ascii="Times New Roman" w:eastAsia="Calibri" w:hAnsi="Times New Roman" w:cs="Times New Roman"/>
                <w:i/>
                <w:sz w:val="18"/>
                <w:szCs w:val="18"/>
                <w:lang w:eastAsia="sk-SK"/>
              </w:rPr>
              <w:t xml:space="preserve"> </w:t>
            </w:r>
            <w:r w:rsidRPr="00CD4982">
              <w:rPr>
                <w:rFonts w:ascii="Times New Roman" w:eastAsia="Calibri" w:hAnsi="Times New Roman" w:cs="Times New Roman"/>
                <w:i/>
                <w:sz w:val="18"/>
                <w:szCs w:val="18"/>
                <w:lang w:eastAsia="sk-SK"/>
              </w:rPr>
              <w:t>o azyl,</w:t>
            </w:r>
          </w:p>
          <w:p w14:paraId="46C13563" w14:textId="77777777" w:rsidR="00CD4982" w:rsidRPr="00CD4982" w:rsidRDefault="00CD4982" w:rsidP="00CD4982">
            <w:pPr>
              <w:numPr>
                <w:ilvl w:val="0"/>
                <w:numId w:val="12"/>
              </w:numPr>
              <w:spacing w:after="0" w:line="240" w:lineRule="auto"/>
              <w:jc w:val="both"/>
              <w:rPr>
                <w:rFonts w:ascii="Calibri" w:eastAsia="Calibri" w:hAnsi="Calibri" w:cs="Times New Roman"/>
                <w:i/>
                <w:sz w:val="18"/>
                <w:szCs w:val="18"/>
                <w:lang w:eastAsia="sk-SK"/>
              </w:rPr>
            </w:pPr>
            <w:r w:rsidRPr="00CD498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3007" w:type="pct"/>
            <w:tcBorders>
              <w:bottom w:val="single" w:sz="4" w:space="0" w:color="auto"/>
            </w:tcBorders>
            <w:shd w:val="clear" w:color="auto" w:fill="auto"/>
          </w:tcPr>
          <w:p w14:paraId="46C13564" w14:textId="21993CC0" w:rsidR="00CD4982" w:rsidRDefault="00AB56D8" w:rsidP="00AB56D8">
            <w:pPr>
              <w:spacing w:after="0" w:line="240" w:lineRule="auto"/>
              <w:rPr>
                <w:rFonts w:ascii="Times New Roman" w:eastAsia="Calibri" w:hAnsi="Times New Roman" w:cs="Times New Roman"/>
                <w:i/>
                <w:lang w:eastAsia="sk-SK"/>
              </w:rPr>
            </w:pPr>
            <w:r>
              <w:rPr>
                <w:rFonts w:ascii="Times New Roman" w:eastAsia="Calibri" w:hAnsi="Times New Roman" w:cs="Times New Roman"/>
                <w:i/>
                <w:lang w:eastAsia="sk-SK"/>
              </w:rPr>
              <w:lastRenderedPageBreak/>
              <w:t xml:space="preserve">Výstavba, modernizácia a rekonštrukcia športovej infraštruktúry bude mať pozitívny vplyv </w:t>
            </w:r>
            <w:r w:rsidR="006039BA">
              <w:rPr>
                <w:rFonts w:ascii="Times New Roman" w:eastAsia="Calibri" w:hAnsi="Times New Roman" w:cs="Times New Roman"/>
                <w:i/>
                <w:lang w:eastAsia="sk-SK"/>
              </w:rPr>
              <w:t xml:space="preserve">aj </w:t>
            </w:r>
            <w:r>
              <w:rPr>
                <w:rFonts w:ascii="Times New Roman" w:eastAsia="Calibri" w:hAnsi="Times New Roman" w:cs="Times New Roman"/>
                <w:i/>
                <w:lang w:eastAsia="sk-SK"/>
              </w:rPr>
              <w:t xml:space="preserve">na športovcov so zdravotným </w:t>
            </w:r>
            <w:r w:rsidR="00256FFC">
              <w:rPr>
                <w:rFonts w:ascii="Times New Roman" w:eastAsia="Calibri" w:hAnsi="Times New Roman" w:cs="Times New Roman"/>
                <w:i/>
                <w:lang w:eastAsia="sk-SK"/>
              </w:rPr>
              <w:t>postihnutím</w:t>
            </w:r>
            <w:r>
              <w:rPr>
                <w:rFonts w:ascii="Times New Roman" w:eastAsia="Calibri" w:hAnsi="Times New Roman" w:cs="Times New Roman"/>
                <w:i/>
                <w:lang w:eastAsia="sk-SK"/>
              </w:rPr>
              <w:t xml:space="preserve">. </w:t>
            </w:r>
            <w:r w:rsidR="004713E8">
              <w:rPr>
                <w:rFonts w:ascii="Times New Roman" w:eastAsia="Calibri" w:hAnsi="Times New Roman" w:cs="Times New Roman"/>
                <w:i/>
                <w:lang w:eastAsia="sk-SK"/>
              </w:rPr>
              <w:t>Podmienkou pre realizáciu všetkých projektov</w:t>
            </w:r>
            <w:r>
              <w:rPr>
                <w:rFonts w:ascii="Times New Roman" w:eastAsia="Calibri" w:hAnsi="Times New Roman" w:cs="Times New Roman"/>
                <w:i/>
                <w:lang w:eastAsia="sk-SK"/>
              </w:rPr>
              <w:t xml:space="preserve"> športovej infraštruktúry </w:t>
            </w:r>
            <w:r w:rsidR="004713E8">
              <w:rPr>
                <w:rFonts w:ascii="Times New Roman" w:eastAsia="Calibri" w:hAnsi="Times New Roman" w:cs="Times New Roman"/>
                <w:i/>
                <w:lang w:eastAsia="sk-SK"/>
              </w:rPr>
              <w:t>je skutočnosť</w:t>
            </w:r>
            <w:r w:rsidR="009424EB">
              <w:rPr>
                <w:rFonts w:ascii="Times New Roman" w:eastAsia="Calibri" w:hAnsi="Times New Roman" w:cs="Times New Roman"/>
                <w:i/>
                <w:lang w:eastAsia="sk-SK"/>
              </w:rPr>
              <w:t xml:space="preserve">, aby </w:t>
            </w:r>
            <w:r w:rsidR="004713E8">
              <w:rPr>
                <w:rFonts w:ascii="Times New Roman" w:eastAsia="Calibri" w:hAnsi="Times New Roman" w:cs="Times New Roman"/>
                <w:i/>
                <w:lang w:eastAsia="sk-SK"/>
              </w:rPr>
              <w:t xml:space="preserve">občanom so zdravotným </w:t>
            </w:r>
            <w:r w:rsidR="00256FFC">
              <w:rPr>
                <w:rFonts w:ascii="Times New Roman" w:eastAsia="Calibri" w:hAnsi="Times New Roman" w:cs="Times New Roman"/>
                <w:i/>
                <w:lang w:eastAsia="sk-SK"/>
              </w:rPr>
              <w:t>postihnutím</w:t>
            </w:r>
            <w:r w:rsidR="004713E8">
              <w:rPr>
                <w:rFonts w:ascii="Times New Roman" w:eastAsia="Calibri" w:hAnsi="Times New Roman" w:cs="Times New Roman"/>
                <w:i/>
                <w:lang w:eastAsia="sk-SK"/>
              </w:rPr>
              <w:t xml:space="preserve"> bol umožnený bezbariérový prístup na športoviská. Uvedená podmienka bude uvedená v zmluve o poskytnutí finančného príspevku</w:t>
            </w:r>
            <w:r w:rsidR="00BD2C95">
              <w:rPr>
                <w:rFonts w:ascii="Times New Roman" w:eastAsia="Calibri" w:hAnsi="Times New Roman" w:cs="Times New Roman"/>
                <w:i/>
                <w:lang w:eastAsia="sk-SK"/>
              </w:rPr>
              <w:t xml:space="preserve"> zo štátneho rozpočtu prostredníctvom rozpočtu rezortu školstva.</w:t>
            </w:r>
          </w:p>
          <w:p w14:paraId="53E3CE31" w14:textId="77777777" w:rsidR="00256FFC" w:rsidRDefault="00256FFC" w:rsidP="00AB56D8">
            <w:pPr>
              <w:spacing w:after="0" w:line="240" w:lineRule="auto"/>
              <w:rPr>
                <w:rFonts w:ascii="Times New Roman" w:eastAsia="Calibri" w:hAnsi="Times New Roman" w:cs="Times New Roman"/>
                <w:i/>
                <w:lang w:eastAsia="sk-SK"/>
              </w:rPr>
            </w:pPr>
          </w:p>
          <w:p w14:paraId="3E8B75FB" w14:textId="3940853A" w:rsidR="00CD4982" w:rsidRDefault="004C03E5" w:rsidP="00CD4982">
            <w:pPr>
              <w:spacing w:after="0" w:line="240" w:lineRule="auto"/>
              <w:rPr>
                <w:rFonts w:ascii="Times New Roman" w:hAnsi="Times New Roman" w:cs="Times New Roman"/>
                <w:bCs/>
                <w:i/>
              </w:rPr>
            </w:pPr>
            <w:r w:rsidRPr="00206767">
              <w:rPr>
                <w:rFonts w:ascii="Times New Roman" w:hAnsi="Times New Roman" w:cs="Times New Roman"/>
                <w:bCs/>
                <w:i/>
              </w:rPr>
              <w:t xml:space="preserve">Zlepšenie podmienok pre rekreačné a </w:t>
            </w:r>
            <w:r w:rsidR="00206767">
              <w:rPr>
                <w:rFonts w:ascii="Times New Roman" w:hAnsi="Times New Roman" w:cs="Times New Roman"/>
                <w:bCs/>
                <w:i/>
              </w:rPr>
              <w:t xml:space="preserve">športové aktivity obyvateľov poskytne zároveň možnosti aj pre integráciu rómskej komunity. Šport je jednou z aktivít, ktorá je pre túto komunitu veľmi zaujímavá a existuje množstvo príkladov, kedy </w:t>
            </w:r>
            <w:r w:rsidR="006039BA">
              <w:rPr>
                <w:rFonts w:ascii="Times New Roman" w:hAnsi="Times New Roman" w:cs="Times New Roman"/>
                <w:bCs/>
                <w:i/>
              </w:rPr>
              <w:lastRenderedPageBreak/>
              <w:t xml:space="preserve">sa </w:t>
            </w:r>
            <w:r w:rsidR="00F5336D">
              <w:rPr>
                <w:rFonts w:ascii="Times New Roman" w:hAnsi="Times New Roman" w:cs="Times New Roman"/>
                <w:bCs/>
                <w:i/>
              </w:rPr>
              <w:t>práve „R</w:t>
            </w:r>
            <w:bookmarkStart w:id="0" w:name="_GoBack"/>
            <w:bookmarkEnd w:id="0"/>
            <w:r w:rsidR="00206767">
              <w:rPr>
                <w:rFonts w:ascii="Times New Roman" w:hAnsi="Times New Roman" w:cs="Times New Roman"/>
                <w:bCs/>
                <w:i/>
              </w:rPr>
              <w:t>ómovia“</w:t>
            </w:r>
            <w:r w:rsidR="006039BA">
              <w:rPr>
                <w:rFonts w:ascii="Times New Roman" w:hAnsi="Times New Roman" w:cs="Times New Roman"/>
                <w:bCs/>
                <w:i/>
              </w:rPr>
              <w:t xml:space="preserve"> </w:t>
            </w:r>
            <w:r w:rsidR="00206767">
              <w:rPr>
                <w:rFonts w:ascii="Times New Roman" w:hAnsi="Times New Roman" w:cs="Times New Roman"/>
                <w:bCs/>
                <w:i/>
              </w:rPr>
              <w:t>dokázali v niektorých športoch presadiť aj na vrcholovej úrovni.</w:t>
            </w:r>
          </w:p>
          <w:p w14:paraId="0739ED16" w14:textId="77777777" w:rsidR="00B73ECC" w:rsidRDefault="00B73ECC" w:rsidP="00CD4982">
            <w:pPr>
              <w:spacing w:after="0" w:line="240" w:lineRule="auto"/>
              <w:rPr>
                <w:rFonts w:ascii="Times New Roman" w:hAnsi="Times New Roman" w:cs="Times New Roman"/>
                <w:bCs/>
                <w:i/>
              </w:rPr>
            </w:pPr>
          </w:p>
          <w:p w14:paraId="46C13565" w14:textId="0792AE5E" w:rsidR="00B73ECC" w:rsidRPr="00B73ECC" w:rsidRDefault="00B73ECC" w:rsidP="006039BA">
            <w:pPr>
              <w:spacing w:after="0" w:line="240" w:lineRule="auto"/>
              <w:rPr>
                <w:rFonts w:ascii="Times New Roman" w:eastAsia="Calibri" w:hAnsi="Times New Roman" w:cs="Times New Roman"/>
                <w:i/>
                <w:lang w:eastAsia="sk-SK"/>
              </w:rPr>
            </w:pPr>
            <w:r w:rsidRPr="00B73ECC">
              <w:rPr>
                <w:rFonts w:ascii="Times New Roman" w:hAnsi="Times New Roman" w:cs="Times New Roman"/>
                <w:i/>
              </w:rPr>
              <w:t>Šport má jedinečnú silu prilákať, zmobilizovať a</w:t>
            </w:r>
            <w:r>
              <w:rPr>
                <w:rFonts w:ascii="Times New Roman" w:hAnsi="Times New Roman" w:cs="Times New Roman"/>
                <w:i/>
              </w:rPr>
              <w:t> </w:t>
            </w:r>
            <w:r w:rsidRPr="00B73ECC">
              <w:rPr>
                <w:rFonts w:ascii="Times New Roman" w:hAnsi="Times New Roman" w:cs="Times New Roman"/>
                <w:i/>
              </w:rPr>
              <w:t>inšpirovať</w:t>
            </w:r>
            <w:r>
              <w:rPr>
                <w:rFonts w:ascii="Times New Roman" w:hAnsi="Times New Roman" w:cs="Times New Roman"/>
                <w:i/>
              </w:rPr>
              <w:t xml:space="preserve">, </w:t>
            </w:r>
            <w:r w:rsidRPr="003518EA">
              <w:rPr>
                <w:rFonts w:ascii="Times New Roman" w:hAnsi="Times New Roman" w:cs="Times New Roman"/>
                <w:sz w:val="24"/>
                <w:szCs w:val="24"/>
              </w:rPr>
              <w:t xml:space="preserve"> </w:t>
            </w:r>
            <w:r w:rsidRPr="00B73ECC">
              <w:rPr>
                <w:rFonts w:ascii="Times New Roman" w:hAnsi="Times New Roman" w:cs="Times New Roman"/>
                <w:i/>
              </w:rPr>
              <w:t>zároveň</w:t>
            </w:r>
            <w:r>
              <w:rPr>
                <w:rFonts w:ascii="Times New Roman" w:hAnsi="Times New Roman" w:cs="Times New Roman"/>
                <w:sz w:val="24"/>
                <w:szCs w:val="24"/>
              </w:rPr>
              <w:t xml:space="preserve"> </w:t>
            </w:r>
            <w:r w:rsidRPr="00B73ECC">
              <w:rPr>
                <w:rFonts w:ascii="Times New Roman" w:hAnsi="Times New Roman" w:cs="Times New Roman"/>
                <w:i/>
              </w:rPr>
              <w:t xml:space="preserve">je účinným nástrojom sociálneho začlenenia, a to pre všetky </w:t>
            </w:r>
            <w:proofErr w:type="spellStart"/>
            <w:r w:rsidRPr="00B73ECC">
              <w:rPr>
                <w:rFonts w:ascii="Times New Roman" w:hAnsi="Times New Roman" w:cs="Times New Roman"/>
                <w:i/>
              </w:rPr>
              <w:t>marginalizované</w:t>
            </w:r>
            <w:proofErr w:type="spellEnd"/>
            <w:r w:rsidRPr="00B73ECC">
              <w:rPr>
                <w:rFonts w:ascii="Times New Roman" w:hAnsi="Times New Roman" w:cs="Times New Roman"/>
                <w:i/>
              </w:rPr>
              <w:t xml:space="preserve"> sociálne skupiny (chudobní ľudia, </w:t>
            </w:r>
            <w:r w:rsidR="006039BA">
              <w:rPr>
                <w:rFonts w:ascii="Times New Roman" w:hAnsi="Times New Roman" w:cs="Times New Roman"/>
                <w:i/>
              </w:rPr>
              <w:t xml:space="preserve"> </w:t>
            </w:r>
            <w:r w:rsidRPr="00B73ECC">
              <w:rPr>
                <w:rFonts w:ascii="Times New Roman" w:hAnsi="Times New Roman" w:cs="Times New Roman"/>
                <w:i/>
              </w:rPr>
              <w:t xml:space="preserve">prisťahovalci, negramotní alebo osoby s nízkym vzdelaním, </w:t>
            </w:r>
            <w:r w:rsidR="00977F24">
              <w:rPr>
                <w:rFonts w:ascii="Times New Roman" w:hAnsi="Times New Roman" w:cs="Times New Roman"/>
                <w:i/>
              </w:rPr>
              <w:t>samozrejme aj</w:t>
            </w:r>
            <w:r>
              <w:rPr>
                <w:rFonts w:ascii="Times New Roman" w:hAnsi="Times New Roman" w:cs="Times New Roman"/>
                <w:i/>
              </w:rPr>
              <w:t xml:space="preserve"> pre</w:t>
            </w:r>
            <w:r w:rsidRPr="00B73ECC">
              <w:rPr>
                <w:rFonts w:ascii="Times New Roman" w:hAnsi="Times New Roman" w:cs="Times New Roman"/>
                <w:i/>
              </w:rPr>
              <w:t xml:space="preserve"> osoby so zdravotným postihnutím</w:t>
            </w:r>
            <w:r w:rsidR="006039BA">
              <w:rPr>
                <w:rFonts w:ascii="Times New Roman" w:hAnsi="Times New Roman" w:cs="Times New Roman"/>
                <w:i/>
              </w:rPr>
              <w:t>)</w:t>
            </w:r>
            <w:r w:rsidRPr="00B73ECC">
              <w:rPr>
                <w:rFonts w:ascii="Times New Roman" w:hAnsi="Times New Roman" w:cs="Times New Roman"/>
                <w:i/>
              </w:rPr>
              <w:t>.</w:t>
            </w:r>
            <w:r w:rsidR="00B9356F">
              <w:rPr>
                <w:rFonts w:ascii="Times New Roman" w:hAnsi="Times New Roman" w:cs="Times New Roman"/>
                <w:i/>
              </w:rPr>
              <w:t xml:space="preserve"> </w:t>
            </w:r>
            <w:r w:rsidR="006039BA">
              <w:rPr>
                <w:rFonts w:ascii="Times New Roman" w:eastAsia="Calibri" w:hAnsi="Times New Roman" w:cs="Times New Roman"/>
                <w:i/>
                <w:lang w:eastAsia="sk-SK"/>
              </w:rPr>
              <w:t>V</w:t>
            </w:r>
            <w:r w:rsidR="00B9356F">
              <w:rPr>
                <w:rFonts w:ascii="Times New Roman" w:eastAsia="Calibri" w:hAnsi="Times New Roman" w:cs="Times New Roman"/>
                <w:i/>
                <w:lang w:eastAsia="sk-SK"/>
              </w:rPr>
              <w:t xml:space="preserve">ýstavba, modernizácia a rekonštrukcia športovej infraštruktúry </w:t>
            </w:r>
            <w:r w:rsidR="006039BA">
              <w:rPr>
                <w:rFonts w:ascii="Times New Roman" w:eastAsia="Calibri" w:hAnsi="Times New Roman" w:cs="Times New Roman"/>
                <w:i/>
                <w:lang w:eastAsia="sk-SK"/>
              </w:rPr>
              <w:t xml:space="preserve"> je preto </w:t>
            </w:r>
            <w:r w:rsidR="00295680">
              <w:rPr>
                <w:rFonts w:ascii="Times New Roman" w:eastAsia="Calibri" w:hAnsi="Times New Roman" w:cs="Times New Roman"/>
                <w:i/>
                <w:lang w:eastAsia="sk-SK"/>
              </w:rPr>
              <w:t xml:space="preserve">dôležitým </w:t>
            </w:r>
            <w:r w:rsidR="00B9356F">
              <w:rPr>
                <w:rFonts w:ascii="Times New Roman" w:eastAsia="Calibri" w:hAnsi="Times New Roman" w:cs="Times New Roman"/>
                <w:i/>
                <w:lang w:eastAsia="sk-SK"/>
              </w:rPr>
              <w:t>pred</w:t>
            </w:r>
            <w:r w:rsidR="009A208D">
              <w:rPr>
                <w:rFonts w:ascii="Times New Roman" w:eastAsia="Calibri" w:hAnsi="Times New Roman" w:cs="Times New Roman"/>
                <w:i/>
                <w:lang w:eastAsia="sk-SK"/>
              </w:rPr>
              <w:t>pokladom k tomu</w:t>
            </w:r>
            <w:r w:rsidR="00B9356F">
              <w:rPr>
                <w:rFonts w:ascii="Times New Roman" w:eastAsia="Calibri" w:hAnsi="Times New Roman" w:cs="Times New Roman"/>
                <w:i/>
                <w:lang w:eastAsia="sk-SK"/>
              </w:rPr>
              <w:t>, aby mohol byť tento cieľ naplnený.</w:t>
            </w:r>
          </w:p>
        </w:tc>
      </w:tr>
      <w:tr w:rsidR="00CD4982" w:rsidRPr="00CD4982" w14:paraId="46C13569" w14:textId="77777777" w:rsidTr="00CD4982">
        <w:tc>
          <w:tcPr>
            <w:tcW w:w="5000" w:type="pct"/>
            <w:gridSpan w:val="2"/>
            <w:shd w:val="clear" w:color="auto" w:fill="D9D9D9"/>
          </w:tcPr>
          <w:p w14:paraId="46C13567" w14:textId="77777777" w:rsidR="00CD4982" w:rsidRPr="00CD4982" w:rsidRDefault="00CD4982" w:rsidP="00CD4982">
            <w:pPr>
              <w:spacing w:after="0" w:line="240" w:lineRule="auto"/>
              <w:rPr>
                <w:rFonts w:ascii="Times New Roman" w:eastAsia="Calibri" w:hAnsi="Times New Roman" w:cs="Times New Roman"/>
                <w:b/>
                <w:sz w:val="24"/>
                <w:szCs w:val="24"/>
                <w:lang w:eastAsia="sk-SK"/>
              </w:rPr>
            </w:pPr>
            <w:r w:rsidRPr="00CD4982">
              <w:rPr>
                <w:rFonts w:ascii="Times New Roman" w:eastAsia="Calibri" w:hAnsi="Times New Roman" w:cs="Times New Roman"/>
                <w:b/>
                <w:sz w:val="24"/>
                <w:szCs w:val="24"/>
                <w:lang w:eastAsia="sk-SK"/>
              </w:rPr>
              <w:lastRenderedPageBreak/>
              <w:t>4.3 Identifikujte a popíšte vplyv na rovnosť príležitostí.</w:t>
            </w:r>
          </w:p>
          <w:p w14:paraId="46C13568" w14:textId="77777777" w:rsidR="00CD4982" w:rsidRPr="00CD4982" w:rsidRDefault="00CD4982" w:rsidP="00CD4982">
            <w:pPr>
              <w:spacing w:after="0" w:line="240" w:lineRule="auto"/>
              <w:ind w:left="340"/>
              <w:jc w:val="both"/>
              <w:rPr>
                <w:rFonts w:ascii="Calibri" w:eastAsia="Calibri" w:hAnsi="Calibri" w:cs="Times New Roman"/>
                <w:sz w:val="24"/>
                <w:szCs w:val="24"/>
                <w:lang w:eastAsia="sk-SK"/>
              </w:rPr>
            </w:pPr>
            <w:r w:rsidRPr="00CD4982">
              <w:rPr>
                <w:rFonts w:ascii="Times New Roman" w:eastAsia="Calibri" w:hAnsi="Times New Roman" w:cs="Times New Roman"/>
                <w:b/>
                <w:sz w:val="24"/>
                <w:szCs w:val="24"/>
                <w:lang w:eastAsia="sk-SK"/>
              </w:rPr>
              <w:t>Identifikujte, popíšte a kvantifikujte vplyv na rodovú rovnosť.</w:t>
            </w:r>
          </w:p>
        </w:tc>
      </w:tr>
      <w:tr w:rsidR="00CD4982" w:rsidRPr="00CD4982" w14:paraId="46C1356B" w14:textId="77777777" w:rsidTr="00CD4982">
        <w:tc>
          <w:tcPr>
            <w:tcW w:w="5000" w:type="pct"/>
            <w:gridSpan w:val="2"/>
            <w:tcBorders>
              <w:bottom w:val="single" w:sz="4" w:space="0" w:color="auto"/>
            </w:tcBorders>
            <w:shd w:val="clear" w:color="auto" w:fill="F2F2F2"/>
          </w:tcPr>
          <w:p w14:paraId="46C1356A" w14:textId="77777777" w:rsidR="00CD4982" w:rsidRPr="00CD4982" w:rsidRDefault="00CD4982" w:rsidP="00CD4982">
            <w:pPr>
              <w:spacing w:after="0" w:line="240" w:lineRule="auto"/>
              <w:jc w:val="both"/>
              <w:rPr>
                <w:rFonts w:ascii="Times New Roman" w:eastAsia="Calibri" w:hAnsi="Times New Roman" w:cs="Times New Roman"/>
                <w:i/>
                <w:sz w:val="24"/>
                <w:szCs w:val="24"/>
                <w:lang w:eastAsia="sk-SK"/>
              </w:rPr>
            </w:pPr>
            <w:r w:rsidRPr="00CD4982">
              <w:rPr>
                <w:rFonts w:ascii="Times New Roman" w:eastAsia="Calibri"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r w:rsidR="00CD4982" w:rsidRPr="00CD4982" w14:paraId="46C13570" w14:textId="77777777" w:rsidTr="00CD4982">
        <w:trPr>
          <w:trHeight w:val="928"/>
        </w:trPr>
        <w:tc>
          <w:tcPr>
            <w:tcW w:w="5000" w:type="pct"/>
            <w:gridSpan w:val="2"/>
            <w:tcBorders>
              <w:bottom w:val="single" w:sz="4" w:space="0" w:color="auto"/>
            </w:tcBorders>
            <w:shd w:val="clear" w:color="auto" w:fill="auto"/>
          </w:tcPr>
          <w:p w14:paraId="46C1356C" w14:textId="77777777" w:rsidR="00CD4982" w:rsidRPr="00CD4982" w:rsidRDefault="00CD4982" w:rsidP="00CD4982">
            <w:pPr>
              <w:spacing w:after="0" w:line="240" w:lineRule="auto"/>
              <w:rPr>
                <w:rFonts w:ascii="Times New Roman" w:eastAsia="Calibri" w:hAnsi="Times New Roman" w:cs="Times New Roman"/>
                <w:i/>
                <w:lang w:eastAsia="sk-SK"/>
              </w:rPr>
            </w:pPr>
          </w:p>
          <w:p w14:paraId="46C1356D" w14:textId="77777777" w:rsidR="00CD4982" w:rsidRPr="00CD4982" w:rsidRDefault="00CD4982" w:rsidP="00CD4982">
            <w:pPr>
              <w:spacing w:after="0" w:line="240" w:lineRule="auto"/>
              <w:rPr>
                <w:rFonts w:ascii="Times New Roman" w:eastAsia="Calibri" w:hAnsi="Times New Roman" w:cs="Times New Roman"/>
                <w:i/>
                <w:lang w:eastAsia="sk-SK"/>
              </w:rPr>
            </w:pPr>
          </w:p>
          <w:p w14:paraId="46C1356E" w14:textId="77777777" w:rsidR="00CD4982" w:rsidRPr="00CD4982" w:rsidRDefault="00CD4982" w:rsidP="00CD4982">
            <w:pPr>
              <w:spacing w:after="0" w:line="240" w:lineRule="auto"/>
              <w:rPr>
                <w:rFonts w:ascii="Times New Roman" w:eastAsia="Calibri" w:hAnsi="Times New Roman" w:cs="Times New Roman"/>
                <w:i/>
                <w:lang w:eastAsia="sk-SK"/>
              </w:rPr>
            </w:pPr>
          </w:p>
          <w:p w14:paraId="46C1356F" w14:textId="77777777" w:rsidR="00CD4982" w:rsidRPr="00CD4982" w:rsidRDefault="00CD4982" w:rsidP="00CD4982">
            <w:pPr>
              <w:spacing w:after="0" w:line="240" w:lineRule="auto"/>
              <w:rPr>
                <w:rFonts w:ascii="Times New Roman" w:eastAsia="Calibri" w:hAnsi="Times New Roman" w:cs="Times New Roman"/>
                <w:i/>
                <w:lang w:eastAsia="sk-SK"/>
              </w:rPr>
            </w:pPr>
          </w:p>
        </w:tc>
      </w:tr>
      <w:tr w:rsidR="00CD4982" w:rsidRPr="00CD4982" w14:paraId="46C13572" w14:textId="77777777" w:rsidTr="00CD4982">
        <w:trPr>
          <w:trHeight w:val="345"/>
        </w:trPr>
        <w:tc>
          <w:tcPr>
            <w:tcW w:w="5000" w:type="pct"/>
            <w:gridSpan w:val="2"/>
            <w:tcBorders>
              <w:bottom w:val="single" w:sz="4" w:space="0" w:color="auto"/>
            </w:tcBorders>
            <w:shd w:val="clear" w:color="auto" w:fill="F2F2F2"/>
            <w:vAlign w:val="center"/>
          </w:tcPr>
          <w:p w14:paraId="46C13571" w14:textId="77777777" w:rsidR="00CD4982" w:rsidRPr="00CD4982" w:rsidRDefault="00CD4982" w:rsidP="00CD4982">
            <w:pPr>
              <w:spacing w:after="0" w:line="240" w:lineRule="auto"/>
              <w:rPr>
                <w:rFonts w:ascii="Times New Roman" w:eastAsia="Calibri" w:hAnsi="Times New Roman" w:cs="Times New Roman"/>
                <w:i/>
                <w:sz w:val="20"/>
                <w:szCs w:val="20"/>
                <w:lang w:eastAsia="sk-SK"/>
              </w:rPr>
            </w:pPr>
            <w:r w:rsidRPr="00CD4982">
              <w:rPr>
                <w:rFonts w:ascii="Times New Roman" w:eastAsia="Calibri"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r w:rsidR="00CD4982" w:rsidRPr="00CD4982" w14:paraId="46C1357D" w14:textId="77777777" w:rsidTr="00CD4982">
        <w:trPr>
          <w:trHeight w:val="1235"/>
        </w:trPr>
        <w:tc>
          <w:tcPr>
            <w:tcW w:w="1993" w:type="pct"/>
            <w:tcBorders>
              <w:bottom w:val="single" w:sz="4" w:space="0" w:color="auto"/>
            </w:tcBorders>
            <w:shd w:val="clear" w:color="auto" w:fill="auto"/>
          </w:tcPr>
          <w:p w14:paraId="46C13573" w14:textId="77777777" w:rsidR="00CD4982" w:rsidRPr="00CD4982" w:rsidRDefault="00CD4982" w:rsidP="00CD4982">
            <w:p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46C13574"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vyrovnávania ekonomickej nezávislosti, </w:t>
            </w:r>
          </w:p>
          <w:p w14:paraId="46C13575"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zosúladenie pracovného, súkromného a rodinného života, </w:t>
            </w:r>
          </w:p>
          <w:p w14:paraId="46C13576"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podpora rovnej participácie na rozhodovaní, </w:t>
            </w:r>
          </w:p>
          <w:p w14:paraId="46C13577"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 xml:space="preserve">boj proti rodovo podmienenému násiliu a obchodovaniu s ľuďmi, </w:t>
            </w:r>
          </w:p>
          <w:p w14:paraId="46C13578" w14:textId="77777777" w:rsidR="00CD4982" w:rsidRPr="00CD4982" w:rsidRDefault="00CD4982" w:rsidP="00CD4982">
            <w:pPr>
              <w:numPr>
                <w:ilvl w:val="0"/>
                <w:numId w:val="12"/>
              </w:numPr>
              <w:spacing w:after="0" w:line="240" w:lineRule="auto"/>
              <w:jc w:val="both"/>
              <w:rPr>
                <w:rFonts w:ascii="Times New Roman" w:eastAsia="Calibri" w:hAnsi="Times New Roman" w:cs="Times New Roman"/>
                <w:i/>
                <w:sz w:val="18"/>
                <w:szCs w:val="18"/>
                <w:lang w:eastAsia="sk-SK"/>
              </w:rPr>
            </w:pPr>
            <w:r w:rsidRPr="00CD4982">
              <w:rPr>
                <w:rFonts w:ascii="Times New Roman" w:eastAsia="Calibri" w:hAnsi="Times New Roman" w:cs="Times New Roman"/>
                <w:i/>
                <w:sz w:val="18"/>
                <w:szCs w:val="18"/>
                <w:lang w:eastAsia="sk-SK"/>
              </w:rPr>
              <w:t>eliminácia rodových stereotypov.</w:t>
            </w:r>
          </w:p>
        </w:tc>
        <w:tc>
          <w:tcPr>
            <w:tcW w:w="3007" w:type="pct"/>
            <w:tcBorders>
              <w:bottom w:val="single" w:sz="4" w:space="0" w:color="auto"/>
            </w:tcBorders>
            <w:shd w:val="clear" w:color="auto" w:fill="auto"/>
          </w:tcPr>
          <w:p w14:paraId="46C13579" w14:textId="77777777" w:rsidR="00CD4982" w:rsidRPr="00CD4982" w:rsidRDefault="00CD4982" w:rsidP="00CD4982">
            <w:pPr>
              <w:spacing w:after="0" w:line="240" w:lineRule="auto"/>
              <w:rPr>
                <w:rFonts w:ascii="Times New Roman" w:eastAsia="Calibri" w:hAnsi="Times New Roman" w:cs="Times New Roman"/>
                <w:i/>
                <w:lang w:eastAsia="sk-SK"/>
              </w:rPr>
            </w:pPr>
          </w:p>
          <w:p w14:paraId="46C1357A" w14:textId="77777777" w:rsidR="00CD4982" w:rsidRPr="00CD4982" w:rsidRDefault="00CD4982" w:rsidP="00CD4982">
            <w:pPr>
              <w:spacing w:after="0" w:line="240" w:lineRule="auto"/>
              <w:rPr>
                <w:rFonts w:ascii="Times New Roman" w:eastAsia="Calibri" w:hAnsi="Times New Roman" w:cs="Times New Roman"/>
                <w:i/>
                <w:lang w:eastAsia="sk-SK"/>
              </w:rPr>
            </w:pPr>
          </w:p>
          <w:p w14:paraId="46C1357B" w14:textId="77777777" w:rsidR="00CD4982" w:rsidRPr="00CD4982" w:rsidRDefault="00CD4982" w:rsidP="00CD4982">
            <w:pPr>
              <w:spacing w:after="0" w:line="240" w:lineRule="auto"/>
              <w:rPr>
                <w:rFonts w:ascii="Times New Roman" w:eastAsia="Calibri" w:hAnsi="Times New Roman" w:cs="Times New Roman"/>
                <w:i/>
                <w:lang w:eastAsia="sk-SK"/>
              </w:rPr>
            </w:pPr>
          </w:p>
          <w:p w14:paraId="46C1357C" w14:textId="77777777" w:rsidR="00CD4982" w:rsidRPr="00CD4982" w:rsidRDefault="00CD4982" w:rsidP="00CD4982">
            <w:pPr>
              <w:spacing w:after="0" w:line="240" w:lineRule="auto"/>
              <w:rPr>
                <w:rFonts w:ascii="Times New Roman" w:eastAsia="Calibri" w:hAnsi="Times New Roman" w:cs="Times New Roman"/>
                <w:i/>
                <w:lang w:eastAsia="sk-SK"/>
              </w:rPr>
            </w:pPr>
          </w:p>
        </w:tc>
      </w:tr>
    </w:tbl>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697C65" w:rsidRPr="00697C65" w14:paraId="46C13580" w14:textId="77777777" w:rsidTr="00DD5938">
        <w:trPr>
          <w:jc w:val="center"/>
        </w:trPr>
        <w:tc>
          <w:tcPr>
            <w:tcW w:w="5000" w:type="pct"/>
            <w:gridSpan w:val="2"/>
            <w:shd w:val="clear" w:color="auto" w:fill="D9D9D9"/>
          </w:tcPr>
          <w:p w14:paraId="46C1357E" w14:textId="77777777" w:rsidR="00697C65" w:rsidRPr="000235FF" w:rsidRDefault="00697C65" w:rsidP="00DD5938">
            <w:pPr>
              <w:spacing w:line="240" w:lineRule="auto"/>
              <w:rPr>
                <w:rFonts w:ascii="Times New Roman" w:eastAsia="Calibri" w:hAnsi="Times New Roman" w:cs="Times New Roman"/>
                <w:b/>
                <w:sz w:val="24"/>
                <w:szCs w:val="24"/>
              </w:rPr>
            </w:pPr>
            <w:r w:rsidRPr="000235FF">
              <w:rPr>
                <w:rFonts w:ascii="Times New Roman" w:eastAsia="Calibri" w:hAnsi="Times New Roman" w:cs="Times New Roman"/>
                <w:b/>
                <w:sz w:val="24"/>
                <w:szCs w:val="24"/>
              </w:rPr>
              <w:t>„4.4 Identifikujte, popíšte a kvantifikujte vplyvy na zamestnanosť a na trh práce.</w:t>
            </w:r>
          </w:p>
          <w:p w14:paraId="46C1357F" w14:textId="77777777" w:rsidR="00697C65" w:rsidRPr="000235FF" w:rsidRDefault="00697C65" w:rsidP="00DD5938">
            <w:pPr>
              <w:spacing w:line="240" w:lineRule="auto"/>
              <w:rPr>
                <w:rFonts w:ascii="Times New Roman" w:eastAsia="Calibri" w:hAnsi="Times New Roman" w:cs="Times New Roman"/>
                <w:i/>
                <w:sz w:val="24"/>
                <w:szCs w:val="24"/>
              </w:rPr>
            </w:pPr>
            <w:r w:rsidRPr="000235FF">
              <w:rPr>
                <w:rFonts w:ascii="Times New Roman" w:eastAsia="Calibri" w:hAnsi="Times New Roman" w:cs="Times New Roman"/>
                <w:i/>
                <w:sz w:val="24"/>
                <w:szCs w:val="24"/>
              </w:rPr>
              <w:t xml:space="preserve">V prípade kladnej odpovede pripojte </w:t>
            </w:r>
            <w:r w:rsidRPr="000235FF">
              <w:rPr>
                <w:rFonts w:ascii="Times New Roman" w:eastAsia="Calibri" w:hAnsi="Times New Roman" w:cs="Times New Roman"/>
                <w:b/>
                <w:i/>
                <w:sz w:val="24"/>
                <w:szCs w:val="24"/>
              </w:rPr>
              <w:t>odôvodnenie</w:t>
            </w:r>
            <w:r w:rsidRPr="000235FF">
              <w:rPr>
                <w:rFonts w:ascii="Times New Roman" w:eastAsia="Calibri" w:hAnsi="Times New Roman" w:cs="Times New Roman"/>
                <w:i/>
                <w:sz w:val="24"/>
                <w:szCs w:val="24"/>
              </w:rPr>
              <w:t xml:space="preserve"> v súlade s Metodickým postupom pre analýzu sociálnych vplyvov. </w:t>
            </w:r>
          </w:p>
        </w:tc>
      </w:tr>
      <w:tr w:rsidR="00697C65" w:rsidRPr="00697C65" w14:paraId="46C13582" w14:textId="77777777" w:rsidTr="00DD5938">
        <w:trPr>
          <w:trHeight w:val="287"/>
          <w:jc w:val="center"/>
        </w:trPr>
        <w:tc>
          <w:tcPr>
            <w:tcW w:w="5000" w:type="pct"/>
            <w:gridSpan w:val="2"/>
            <w:tcBorders>
              <w:top w:val="nil"/>
              <w:bottom w:val="single" w:sz="4" w:space="0" w:color="auto"/>
            </w:tcBorders>
            <w:shd w:val="clear" w:color="auto" w:fill="F2F2F2"/>
          </w:tcPr>
          <w:p w14:paraId="46C13581" w14:textId="77777777" w:rsidR="00697C65" w:rsidRPr="000235FF" w:rsidRDefault="00697C65" w:rsidP="00DD5938">
            <w:pPr>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Uľahčuje návrh vznik nových pracovných miest? Ak áno, ako? Ak je to možné, doplňte kvantifikáciu.</w:t>
            </w:r>
          </w:p>
        </w:tc>
      </w:tr>
      <w:tr w:rsidR="00697C65" w:rsidRPr="00697C65" w14:paraId="46C13585" w14:textId="77777777" w:rsidTr="00DD5938">
        <w:trPr>
          <w:trHeight w:val="567"/>
          <w:jc w:val="center"/>
        </w:trPr>
        <w:tc>
          <w:tcPr>
            <w:tcW w:w="1993" w:type="pct"/>
            <w:tcBorders>
              <w:top w:val="nil"/>
              <w:bottom w:val="single" w:sz="4" w:space="0" w:color="auto"/>
            </w:tcBorders>
            <w:shd w:val="clear" w:color="auto" w:fill="FFFFFF"/>
          </w:tcPr>
          <w:p w14:paraId="46C13583" w14:textId="77777777" w:rsidR="00697C65" w:rsidRPr="000235FF" w:rsidRDefault="00697C65" w:rsidP="00DD5938">
            <w:pPr>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Identifikujte, v ktorých sektoroch a odvetviach ekonomiky, v ktorých regiónoch, pre aké skupiny zamestnancov, o aké typy zamestnania /pracovných úväzkov pôjde a pod. </w:t>
            </w:r>
          </w:p>
        </w:tc>
        <w:tc>
          <w:tcPr>
            <w:tcW w:w="3007" w:type="pct"/>
            <w:tcBorders>
              <w:top w:val="nil"/>
              <w:bottom w:val="single" w:sz="4" w:space="0" w:color="auto"/>
            </w:tcBorders>
            <w:shd w:val="clear" w:color="auto" w:fill="FFFFFF"/>
          </w:tcPr>
          <w:p w14:paraId="46C13584" w14:textId="77777777" w:rsidR="00697C65" w:rsidRPr="000235FF" w:rsidRDefault="00697C65" w:rsidP="00DD5938">
            <w:pPr>
              <w:spacing w:line="240" w:lineRule="auto"/>
              <w:rPr>
                <w:rFonts w:ascii="Times New Roman" w:eastAsia="Calibri" w:hAnsi="Times New Roman" w:cs="Times New Roman"/>
                <w:sz w:val="20"/>
                <w:szCs w:val="20"/>
              </w:rPr>
            </w:pPr>
          </w:p>
        </w:tc>
      </w:tr>
      <w:tr w:rsidR="00697C65" w:rsidRPr="00697C65" w14:paraId="46C13587" w14:textId="77777777" w:rsidTr="00DD5938">
        <w:trPr>
          <w:trHeight w:val="270"/>
          <w:jc w:val="center"/>
        </w:trPr>
        <w:tc>
          <w:tcPr>
            <w:tcW w:w="5000" w:type="pct"/>
            <w:gridSpan w:val="2"/>
            <w:tcBorders>
              <w:bottom w:val="single" w:sz="4" w:space="0" w:color="auto"/>
            </w:tcBorders>
            <w:shd w:val="clear" w:color="auto" w:fill="F2F2F2"/>
          </w:tcPr>
          <w:p w14:paraId="46C13586" w14:textId="77777777" w:rsidR="00697C65" w:rsidRPr="000235FF" w:rsidRDefault="00697C65" w:rsidP="00DD5938">
            <w:pPr>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Vedie návrh k zániku pracovných miest?</w:t>
            </w:r>
            <w:r w:rsidRPr="000235FF">
              <w:rPr>
                <w:rFonts w:ascii="Times New Roman" w:eastAsia="Calibri" w:hAnsi="Times New Roman" w:cs="Times New Roman"/>
                <w:sz w:val="20"/>
                <w:szCs w:val="20"/>
              </w:rPr>
              <w:t xml:space="preserve"> </w:t>
            </w:r>
            <w:r w:rsidRPr="000235FF">
              <w:rPr>
                <w:rFonts w:ascii="Times New Roman" w:eastAsia="Calibri" w:hAnsi="Times New Roman" w:cs="Times New Roman"/>
                <w:i/>
                <w:sz w:val="20"/>
                <w:szCs w:val="20"/>
              </w:rPr>
              <w:t>Ak áno, ako a akých? Ak je to možné, doplňte kvantifikáciu.</w:t>
            </w:r>
          </w:p>
        </w:tc>
      </w:tr>
      <w:tr w:rsidR="00697C65" w:rsidRPr="00697C65" w14:paraId="46C1358A" w14:textId="77777777" w:rsidTr="00DD5938">
        <w:trPr>
          <w:trHeight w:val="454"/>
          <w:jc w:val="center"/>
        </w:trPr>
        <w:tc>
          <w:tcPr>
            <w:tcW w:w="1993" w:type="pct"/>
            <w:tcBorders>
              <w:bottom w:val="single" w:sz="4" w:space="0" w:color="auto"/>
            </w:tcBorders>
            <w:shd w:val="clear" w:color="auto" w:fill="FFFFFF"/>
          </w:tcPr>
          <w:p w14:paraId="46C13588" w14:textId="77777777" w:rsidR="00697C65" w:rsidRPr="000235FF" w:rsidRDefault="00697C65" w:rsidP="00DD5938">
            <w:pPr>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 xml:space="preserve">Identifikujte, v ktorých sektoroch a odvetviach ekonomiky, v ktorých regiónoch, o aké typy zamestnania /pracovných úväzkov pôjde a pod. Identifikujte možné dôsledky, skupiny zamestnancov, ktoré budú viac </w:t>
            </w:r>
            <w:r w:rsidRPr="000235FF">
              <w:rPr>
                <w:rFonts w:ascii="Times New Roman" w:eastAsia="Calibri" w:hAnsi="Times New Roman" w:cs="Times New Roman"/>
                <w:i/>
                <w:sz w:val="20"/>
                <w:szCs w:val="20"/>
              </w:rPr>
              <w:lastRenderedPageBreak/>
              <w:t>ovplyvnené a rozsah vplyvu.</w:t>
            </w:r>
          </w:p>
        </w:tc>
        <w:tc>
          <w:tcPr>
            <w:tcW w:w="3007" w:type="pct"/>
            <w:tcBorders>
              <w:bottom w:val="single" w:sz="4" w:space="0" w:color="auto"/>
            </w:tcBorders>
            <w:shd w:val="clear" w:color="auto" w:fill="FFFFFF"/>
          </w:tcPr>
          <w:p w14:paraId="46C13589" w14:textId="77777777" w:rsidR="00697C65" w:rsidRPr="000235FF" w:rsidRDefault="00697C65" w:rsidP="00DD5938">
            <w:pPr>
              <w:spacing w:line="240" w:lineRule="auto"/>
              <w:rPr>
                <w:rFonts w:ascii="Times New Roman" w:eastAsia="Calibri" w:hAnsi="Times New Roman" w:cs="Times New Roman"/>
                <w:sz w:val="20"/>
                <w:szCs w:val="20"/>
              </w:rPr>
            </w:pPr>
          </w:p>
        </w:tc>
      </w:tr>
      <w:tr w:rsidR="00697C65" w:rsidRPr="00697C65" w14:paraId="46C1358C" w14:textId="77777777" w:rsidTr="00DD5938">
        <w:trPr>
          <w:trHeight w:val="248"/>
          <w:jc w:val="center"/>
        </w:trPr>
        <w:tc>
          <w:tcPr>
            <w:tcW w:w="5000" w:type="pct"/>
            <w:gridSpan w:val="2"/>
            <w:tcBorders>
              <w:bottom w:val="single" w:sz="4" w:space="0" w:color="auto"/>
            </w:tcBorders>
            <w:shd w:val="clear" w:color="auto" w:fill="F2F2F2"/>
          </w:tcPr>
          <w:p w14:paraId="46C1358B" w14:textId="77777777" w:rsidR="00697C65" w:rsidRPr="000235FF" w:rsidRDefault="00697C65" w:rsidP="00DD5938">
            <w:pPr>
              <w:spacing w:line="240" w:lineRule="auto"/>
              <w:rPr>
                <w:rFonts w:ascii="Times New Roman" w:eastAsia="Calibri" w:hAnsi="Times New Roman" w:cs="Times New Roman"/>
                <w:sz w:val="20"/>
                <w:szCs w:val="20"/>
              </w:rPr>
            </w:pPr>
            <w:r w:rsidRPr="000235FF">
              <w:rPr>
                <w:rFonts w:ascii="Times New Roman" w:eastAsia="Calibri" w:hAnsi="Times New Roman" w:cs="Times New Roman"/>
                <w:i/>
                <w:sz w:val="20"/>
                <w:szCs w:val="20"/>
              </w:rPr>
              <w:lastRenderedPageBreak/>
              <w:t>Ovplyvňuje návrh dopyt po práci?</w:t>
            </w:r>
            <w:r w:rsidRPr="000235FF">
              <w:rPr>
                <w:rFonts w:ascii="Times New Roman" w:eastAsia="Calibri" w:hAnsi="Times New Roman" w:cs="Times New Roman"/>
                <w:sz w:val="20"/>
                <w:szCs w:val="20"/>
              </w:rPr>
              <w:t xml:space="preserve"> </w:t>
            </w:r>
            <w:r w:rsidRPr="000235FF">
              <w:rPr>
                <w:rFonts w:ascii="Times New Roman" w:eastAsia="Calibri" w:hAnsi="Times New Roman" w:cs="Times New Roman"/>
                <w:i/>
                <w:sz w:val="20"/>
                <w:szCs w:val="20"/>
              </w:rPr>
              <w:t>Ak áno, ako?</w:t>
            </w:r>
          </w:p>
        </w:tc>
      </w:tr>
      <w:tr w:rsidR="00697C65" w:rsidRPr="00697C65" w14:paraId="46C1358F" w14:textId="77777777" w:rsidTr="00DD5938">
        <w:trPr>
          <w:trHeight w:val="209"/>
          <w:jc w:val="center"/>
        </w:trPr>
        <w:tc>
          <w:tcPr>
            <w:tcW w:w="1993" w:type="pct"/>
            <w:tcBorders>
              <w:bottom w:val="single" w:sz="4" w:space="0" w:color="auto"/>
            </w:tcBorders>
            <w:shd w:val="clear" w:color="auto" w:fill="FFFFFF"/>
          </w:tcPr>
          <w:p w14:paraId="46C1358D" w14:textId="77777777" w:rsidR="00697C65" w:rsidRPr="000235FF" w:rsidRDefault="00697C65" w:rsidP="00DD5938">
            <w:pPr>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Dopyt po práci závisí na jednej strane na produkcii tovarov a služieb v ekonomike a na druhej strane na cene práce.</w:t>
            </w:r>
          </w:p>
        </w:tc>
        <w:tc>
          <w:tcPr>
            <w:tcW w:w="3007" w:type="pct"/>
            <w:tcBorders>
              <w:bottom w:val="single" w:sz="4" w:space="0" w:color="auto"/>
            </w:tcBorders>
            <w:shd w:val="clear" w:color="auto" w:fill="FFFFFF"/>
          </w:tcPr>
          <w:p w14:paraId="46C1358E" w14:textId="77777777" w:rsidR="00697C65" w:rsidRPr="000235FF" w:rsidRDefault="00697C65" w:rsidP="00DD5938">
            <w:pPr>
              <w:spacing w:line="240" w:lineRule="auto"/>
              <w:rPr>
                <w:rFonts w:ascii="Times New Roman" w:eastAsia="Calibri" w:hAnsi="Times New Roman" w:cs="Times New Roman"/>
                <w:sz w:val="20"/>
                <w:szCs w:val="20"/>
              </w:rPr>
            </w:pPr>
          </w:p>
        </w:tc>
      </w:tr>
      <w:tr w:rsidR="00697C65" w:rsidRPr="00697C65" w14:paraId="46C13591" w14:textId="77777777" w:rsidTr="00DD5938">
        <w:trPr>
          <w:trHeight w:val="208"/>
          <w:jc w:val="center"/>
        </w:trPr>
        <w:tc>
          <w:tcPr>
            <w:tcW w:w="5000" w:type="pct"/>
            <w:gridSpan w:val="2"/>
            <w:tcBorders>
              <w:bottom w:val="single" w:sz="4" w:space="0" w:color="auto"/>
            </w:tcBorders>
            <w:shd w:val="clear" w:color="auto" w:fill="F2F2F2"/>
          </w:tcPr>
          <w:p w14:paraId="46C13590" w14:textId="77777777" w:rsidR="00697C65" w:rsidRPr="000235FF" w:rsidRDefault="00697C65" w:rsidP="00DD5938">
            <w:pPr>
              <w:spacing w:line="240" w:lineRule="auto"/>
              <w:rPr>
                <w:rFonts w:ascii="Times New Roman" w:eastAsia="Calibri" w:hAnsi="Times New Roman" w:cs="Times New Roman"/>
                <w:sz w:val="20"/>
                <w:szCs w:val="20"/>
              </w:rPr>
            </w:pPr>
            <w:r w:rsidRPr="000235FF">
              <w:rPr>
                <w:rFonts w:ascii="Times New Roman" w:eastAsia="Calibri" w:hAnsi="Times New Roman" w:cs="Times New Roman"/>
                <w:i/>
                <w:sz w:val="20"/>
                <w:szCs w:val="20"/>
              </w:rPr>
              <w:t>Má návrh dosah na fungovanie trhu práce?</w:t>
            </w:r>
            <w:r w:rsidRPr="000235FF">
              <w:rPr>
                <w:rFonts w:ascii="Times New Roman" w:eastAsia="Calibri" w:hAnsi="Times New Roman" w:cs="Times New Roman"/>
                <w:sz w:val="20"/>
                <w:szCs w:val="20"/>
              </w:rPr>
              <w:t xml:space="preserve"> </w:t>
            </w:r>
            <w:r w:rsidRPr="000235FF">
              <w:rPr>
                <w:rFonts w:ascii="Times New Roman" w:eastAsia="Calibri" w:hAnsi="Times New Roman" w:cs="Times New Roman"/>
                <w:i/>
                <w:sz w:val="20"/>
                <w:szCs w:val="20"/>
              </w:rPr>
              <w:t>Ak áno, aký?</w:t>
            </w:r>
          </w:p>
        </w:tc>
      </w:tr>
      <w:tr w:rsidR="00697C65" w:rsidRPr="00697C65" w14:paraId="46C13594" w14:textId="77777777" w:rsidTr="00DD5938">
        <w:trPr>
          <w:trHeight w:val="794"/>
          <w:jc w:val="center"/>
        </w:trPr>
        <w:tc>
          <w:tcPr>
            <w:tcW w:w="1993" w:type="pct"/>
            <w:tcBorders>
              <w:bottom w:val="single" w:sz="4" w:space="0" w:color="auto"/>
            </w:tcBorders>
            <w:shd w:val="clear" w:color="auto" w:fill="FFFFFF"/>
          </w:tcPr>
          <w:p w14:paraId="46C13592" w14:textId="77777777" w:rsidR="00697C65" w:rsidRPr="000235FF" w:rsidRDefault="00697C65" w:rsidP="00DD5938">
            <w:pPr>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Týka sa makroekonomických dosahov ako je napr. participácia na trhu práce, dlhodobá nezamestnanosť, regionálne rozdiely v mierach zamestnanosti.</w:t>
            </w:r>
            <w:r w:rsidRPr="000235FF">
              <w:rPr>
                <w:rFonts w:ascii="Times New Roman" w:eastAsia="Calibri" w:hAnsi="Times New Roman" w:cs="Times New Roman"/>
                <w:sz w:val="20"/>
                <w:szCs w:val="20"/>
              </w:rPr>
              <w:t xml:space="preserve"> </w:t>
            </w:r>
            <w:r w:rsidRPr="000235FF">
              <w:rPr>
                <w:rFonts w:ascii="Times New Roman" w:eastAsia="Calibri" w:hAnsi="Times New Roman" w:cs="Times New Roman"/>
                <w:i/>
                <w:sz w:val="20"/>
                <w:szCs w:val="20"/>
              </w:rPr>
              <w:t>Ponuka práce môže byť ovplyvnená rôznymi premennými napr. úrovňou miezd, inštitucionálnym nastavením (napr.  zosúladenie pracovného a súkromného života alebo uľahčovanie rôznych foriem mobility).</w:t>
            </w:r>
          </w:p>
        </w:tc>
        <w:tc>
          <w:tcPr>
            <w:tcW w:w="3007" w:type="pct"/>
            <w:tcBorders>
              <w:bottom w:val="single" w:sz="4" w:space="0" w:color="auto"/>
            </w:tcBorders>
            <w:shd w:val="clear" w:color="auto" w:fill="FFFFFF"/>
          </w:tcPr>
          <w:p w14:paraId="46C13593" w14:textId="77777777" w:rsidR="00697C65" w:rsidRPr="000235FF" w:rsidRDefault="00697C65" w:rsidP="00DD5938">
            <w:pPr>
              <w:spacing w:line="240" w:lineRule="auto"/>
              <w:rPr>
                <w:rFonts w:ascii="Times New Roman" w:eastAsia="Calibri" w:hAnsi="Times New Roman" w:cs="Times New Roman"/>
                <w:sz w:val="20"/>
                <w:szCs w:val="20"/>
              </w:rPr>
            </w:pPr>
          </w:p>
        </w:tc>
      </w:tr>
      <w:tr w:rsidR="00697C65" w:rsidRPr="00697C65" w14:paraId="46C13596" w14:textId="77777777" w:rsidTr="00DD5938">
        <w:trPr>
          <w:trHeight w:val="324"/>
          <w:jc w:val="center"/>
        </w:trPr>
        <w:tc>
          <w:tcPr>
            <w:tcW w:w="5000" w:type="pct"/>
            <w:gridSpan w:val="2"/>
            <w:tcBorders>
              <w:bottom w:val="single" w:sz="4" w:space="0" w:color="auto"/>
            </w:tcBorders>
            <w:shd w:val="clear" w:color="auto" w:fill="F2F2F2"/>
          </w:tcPr>
          <w:p w14:paraId="46C13595" w14:textId="77777777" w:rsidR="00697C65" w:rsidRPr="000235FF" w:rsidRDefault="00697C65" w:rsidP="00DD5938">
            <w:pPr>
              <w:spacing w:line="240" w:lineRule="auto"/>
              <w:rPr>
                <w:rFonts w:ascii="Times New Roman" w:eastAsia="Calibri" w:hAnsi="Times New Roman" w:cs="Times New Roman"/>
                <w:sz w:val="20"/>
                <w:szCs w:val="20"/>
              </w:rPr>
            </w:pPr>
            <w:r w:rsidRPr="000235FF">
              <w:rPr>
                <w:rFonts w:ascii="Times New Roman" w:eastAsia="Calibri" w:hAnsi="Times New Roman" w:cs="Times New Roman"/>
                <w:i/>
                <w:sz w:val="20"/>
                <w:szCs w:val="20"/>
              </w:rPr>
              <w:t>Má návrh špecifické negatívne dôsledky pre isté skupiny profesií, skupín zamestnancov či živnostníkov?</w:t>
            </w:r>
            <w:r w:rsidRPr="000235FF">
              <w:rPr>
                <w:rFonts w:ascii="Times New Roman" w:eastAsia="Calibri" w:hAnsi="Times New Roman" w:cs="Times New Roman"/>
                <w:sz w:val="20"/>
                <w:szCs w:val="20"/>
              </w:rPr>
              <w:t xml:space="preserve"> </w:t>
            </w:r>
            <w:r w:rsidRPr="000235FF">
              <w:rPr>
                <w:rFonts w:ascii="Times New Roman" w:eastAsia="Calibri" w:hAnsi="Times New Roman" w:cs="Times New Roman"/>
                <w:i/>
                <w:sz w:val="20"/>
                <w:szCs w:val="20"/>
              </w:rPr>
              <w:t>Ak áno, aké a pre ktoré skupiny?</w:t>
            </w:r>
          </w:p>
        </w:tc>
      </w:tr>
      <w:tr w:rsidR="00697C65" w:rsidRPr="00697C65" w14:paraId="46C13599" w14:textId="77777777" w:rsidTr="00DD5938">
        <w:trPr>
          <w:trHeight w:val="216"/>
          <w:jc w:val="center"/>
        </w:trPr>
        <w:tc>
          <w:tcPr>
            <w:tcW w:w="1993" w:type="pct"/>
            <w:tcBorders>
              <w:bottom w:val="single" w:sz="4" w:space="0" w:color="auto"/>
            </w:tcBorders>
            <w:shd w:val="clear" w:color="auto" w:fill="FFFFFF"/>
          </w:tcPr>
          <w:p w14:paraId="46C13597" w14:textId="77777777" w:rsidR="00697C65" w:rsidRPr="000235FF" w:rsidRDefault="00697C65" w:rsidP="00DD5938">
            <w:pPr>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Návrh môže ohrozovať napr. pracovníkov istých profesií favorizovaním špecifických aktivít či technológií.</w:t>
            </w:r>
          </w:p>
        </w:tc>
        <w:tc>
          <w:tcPr>
            <w:tcW w:w="3007" w:type="pct"/>
            <w:tcBorders>
              <w:bottom w:val="single" w:sz="4" w:space="0" w:color="auto"/>
            </w:tcBorders>
            <w:shd w:val="clear" w:color="auto" w:fill="FFFFFF"/>
          </w:tcPr>
          <w:p w14:paraId="46C13598" w14:textId="77777777" w:rsidR="00697C65" w:rsidRPr="000235FF" w:rsidRDefault="00697C65" w:rsidP="00DD5938">
            <w:pPr>
              <w:spacing w:line="240" w:lineRule="auto"/>
              <w:rPr>
                <w:rFonts w:ascii="Times New Roman" w:eastAsia="Calibri" w:hAnsi="Times New Roman" w:cs="Times New Roman"/>
                <w:sz w:val="20"/>
                <w:szCs w:val="20"/>
              </w:rPr>
            </w:pPr>
          </w:p>
        </w:tc>
      </w:tr>
      <w:tr w:rsidR="00697C65" w:rsidRPr="00697C65" w14:paraId="46C1359B" w14:textId="77777777" w:rsidTr="00DD5938">
        <w:trPr>
          <w:trHeight w:val="219"/>
          <w:jc w:val="center"/>
        </w:trPr>
        <w:tc>
          <w:tcPr>
            <w:tcW w:w="5000" w:type="pct"/>
            <w:gridSpan w:val="2"/>
            <w:tcBorders>
              <w:bottom w:val="single" w:sz="4" w:space="0" w:color="auto"/>
            </w:tcBorders>
            <w:shd w:val="clear" w:color="auto" w:fill="F2F2F2"/>
          </w:tcPr>
          <w:p w14:paraId="46C1359A" w14:textId="77777777" w:rsidR="00697C65" w:rsidRPr="000235FF" w:rsidRDefault="00697C65" w:rsidP="00DD5938">
            <w:pPr>
              <w:spacing w:line="240" w:lineRule="auto"/>
              <w:rPr>
                <w:rFonts w:ascii="Times New Roman" w:eastAsia="Calibri" w:hAnsi="Times New Roman" w:cs="Times New Roman"/>
                <w:sz w:val="20"/>
                <w:szCs w:val="20"/>
              </w:rPr>
            </w:pPr>
            <w:r w:rsidRPr="000235FF">
              <w:rPr>
                <w:rFonts w:ascii="Times New Roman" w:eastAsia="Calibri" w:hAnsi="Times New Roman" w:cs="Times New Roman"/>
                <w:i/>
                <w:sz w:val="20"/>
                <w:szCs w:val="20"/>
              </w:rPr>
              <w:t>Ovplyvňuje návrh špecifické vekové skupiny zamestnancov? Ak áno, aké? Akým spôsobom?</w:t>
            </w:r>
          </w:p>
        </w:tc>
      </w:tr>
      <w:tr w:rsidR="00697C65" w:rsidRPr="00697C65" w14:paraId="46C1359E" w14:textId="77777777" w:rsidTr="00DD5938">
        <w:trPr>
          <w:trHeight w:val="497"/>
          <w:jc w:val="center"/>
        </w:trPr>
        <w:tc>
          <w:tcPr>
            <w:tcW w:w="1993" w:type="pct"/>
            <w:tcBorders>
              <w:bottom w:val="single" w:sz="4" w:space="0" w:color="auto"/>
            </w:tcBorders>
            <w:shd w:val="clear" w:color="auto" w:fill="FFFFFF"/>
          </w:tcPr>
          <w:p w14:paraId="46C1359C" w14:textId="77777777" w:rsidR="00697C65" w:rsidRPr="000235FF" w:rsidRDefault="00697C65" w:rsidP="00DD5938">
            <w:pPr>
              <w:spacing w:line="240" w:lineRule="auto"/>
              <w:rPr>
                <w:rFonts w:ascii="Times New Roman" w:eastAsia="Calibri" w:hAnsi="Times New Roman" w:cs="Times New Roman"/>
                <w:i/>
                <w:sz w:val="20"/>
                <w:szCs w:val="20"/>
              </w:rPr>
            </w:pPr>
            <w:r w:rsidRPr="000235FF">
              <w:rPr>
                <w:rFonts w:ascii="Times New Roman" w:eastAsia="Calibri" w:hAnsi="Times New Roman" w:cs="Times New Roman"/>
                <w:i/>
                <w:sz w:val="20"/>
                <w:szCs w:val="20"/>
              </w:rPr>
              <w:t>Identifikujte, či návrh môže ovplyvniť rozhodnutia zamestnancov alebo zamestnávateľov a môže byť zdrojom neskoršieho vstupu na trh práce alebo predčasného odchodu z trhu práce jednotlivcov.“</w:t>
            </w:r>
          </w:p>
        </w:tc>
        <w:tc>
          <w:tcPr>
            <w:tcW w:w="3007" w:type="pct"/>
            <w:tcBorders>
              <w:bottom w:val="single" w:sz="4" w:space="0" w:color="auto"/>
            </w:tcBorders>
            <w:shd w:val="clear" w:color="auto" w:fill="FFFFFF"/>
          </w:tcPr>
          <w:p w14:paraId="46C1359D" w14:textId="77777777" w:rsidR="00697C65" w:rsidRPr="000235FF" w:rsidRDefault="00697C65" w:rsidP="00DD5938">
            <w:pPr>
              <w:spacing w:line="240" w:lineRule="auto"/>
              <w:rPr>
                <w:rFonts w:ascii="Times New Roman" w:eastAsia="Calibri" w:hAnsi="Times New Roman" w:cs="Times New Roman"/>
                <w:sz w:val="20"/>
                <w:szCs w:val="20"/>
              </w:rPr>
            </w:pPr>
          </w:p>
        </w:tc>
      </w:tr>
    </w:tbl>
    <w:p w14:paraId="46C1359F" w14:textId="77777777" w:rsidR="001D6749" w:rsidRPr="001D6749" w:rsidRDefault="001D6749" w:rsidP="00CD4982">
      <w:pPr>
        <w:spacing w:after="0" w:line="240" w:lineRule="auto"/>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br w:type="page"/>
      </w:r>
      <w:r w:rsidRPr="001D6749">
        <w:rPr>
          <w:rFonts w:ascii="Times New Roman" w:eastAsia="Times New Roman" w:hAnsi="Times New Roman" w:cs="Times New Roman"/>
          <w:b/>
          <w:sz w:val="28"/>
          <w:szCs w:val="28"/>
          <w:lang w:eastAsia="sk-SK"/>
        </w:rPr>
        <w:lastRenderedPageBreak/>
        <w:t>Metodický postup pre analýzu sociálnych vplyvov</w:t>
      </w:r>
    </w:p>
    <w:p w14:paraId="46C135A0" w14:textId="77777777" w:rsidR="001D6749" w:rsidRPr="001D6749" w:rsidRDefault="001D6749" w:rsidP="001D6749">
      <w:pPr>
        <w:spacing w:after="0" w:line="240" w:lineRule="auto"/>
        <w:jc w:val="both"/>
        <w:rPr>
          <w:rFonts w:ascii="Times New Roman" w:eastAsia="Times New Roman" w:hAnsi="Times New Roman" w:cs="Times New Roman"/>
          <w:b/>
          <w:sz w:val="24"/>
          <w:szCs w:val="24"/>
          <w:lang w:eastAsia="sk-SK"/>
        </w:rPr>
      </w:pPr>
    </w:p>
    <w:p w14:paraId="46C135A1" w14:textId="77777777" w:rsidR="001D6749" w:rsidRPr="001D6749" w:rsidRDefault="001D6749" w:rsidP="001D6749">
      <w:pPr>
        <w:spacing w:after="240" w:line="240" w:lineRule="auto"/>
        <w:jc w:val="both"/>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t>Všeobecne</w:t>
      </w:r>
    </w:p>
    <w:p w14:paraId="46C135A2" w14:textId="77777777" w:rsidR="001D6749" w:rsidRPr="001D6749" w:rsidRDefault="001D6749" w:rsidP="001D6749">
      <w:pPr>
        <w:tabs>
          <w:tab w:val="left" w:pos="0"/>
          <w:tab w:val="left" w:pos="1191"/>
        </w:tabs>
        <w:spacing w:after="0" w:line="240" w:lineRule="auto"/>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 xml:space="preserve">Hlavným dôvodom vypracovania doložky v časti sociálne vplyvy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w:t>
      </w:r>
      <w:proofErr w:type="spellStart"/>
      <w:r w:rsidRPr="001D6749">
        <w:rPr>
          <w:rFonts w:ascii="Times New Roman" w:eastAsia="Times New Roman" w:hAnsi="Times New Roman" w:cs="Times New Roman"/>
          <w:sz w:val="24"/>
          <w:szCs w:val="24"/>
          <w:lang w:eastAsia="sk-SK"/>
        </w:rPr>
        <w:t>exklúziou</w:t>
      </w:r>
      <w:proofErr w:type="spellEnd"/>
      <w:r w:rsidRPr="001D6749">
        <w:rPr>
          <w:rFonts w:ascii="Times New Roman" w:eastAsia="Times New Roman" w:hAnsi="Times New Roman" w:cs="Times New Roman"/>
          <w:sz w:val="24"/>
          <w:szCs w:val="24"/>
          <w:vertAlign w:val="superscript"/>
          <w:lang w:eastAsia="sk-SK"/>
        </w:rPr>
        <w:footnoteReference w:id="1"/>
      </w:r>
      <w:r w:rsidRPr="001D6749">
        <w:rPr>
          <w:rFonts w:ascii="Times New Roman" w:eastAsia="Times New Roman" w:hAnsi="Times New Roman" w:cs="Times New Roman"/>
          <w:sz w:val="24"/>
          <w:szCs w:val="24"/>
          <w:lang w:eastAsia="sk-SK"/>
        </w:rPr>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1D6749">
        <w:rPr>
          <w:rFonts w:ascii="Times New Roman" w:eastAsia="Times New Roman" w:hAnsi="Times New Roman" w:cs="Times New Roman"/>
          <w:sz w:val="20"/>
          <w:szCs w:val="20"/>
          <w:lang w:eastAsia="sk-SK"/>
        </w:rPr>
        <w:t xml:space="preserve"> </w:t>
      </w:r>
      <w:r w:rsidRPr="001D6749">
        <w:rPr>
          <w:rFonts w:ascii="Times New Roman" w:eastAsia="Times New Roman" w:hAnsi="Times New Roman" w:cs="Times New Roman"/>
          <w:sz w:val="24"/>
          <w:szCs w:val="24"/>
          <w:lang w:eastAsia="sk-SK"/>
        </w:rPr>
        <w:t>sociálnej inklúzie</w:t>
      </w:r>
      <w:r w:rsidRPr="001D6749">
        <w:rPr>
          <w:rFonts w:ascii="Times New Roman" w:eastAsia="Times New Roman" w:hAnsi="Times New Roman" w:cs="Times New Roman"/>
          <w:sz w:val="24"/>
          <w:szCs w:val="24"/>
          <w:vertAlign w:val="superscript"/>
          <w:lang w:eastAsia="sk-SK"/>
        </w:rPr>
        <w:footnoteReference w:id="2"/>
      </w:r>
      <w:r w:rsidRPr="001D6749">
        <w:rPr>
          <w:rFonts w:ascii="Times New Roman" w:eastAsia="Times New Roman" w:hAnsi="Times New Roman" w:cs="Times New Roman"/>
          <w:sz w:val="24"/>
          <w:szCs w:val="24"/>
          <w:lang w:eastAsia="sk-SK"/>
        </w:rPr>
        <w:t xml:space="preserve"> a kohézie</w:t>
      </w:r>
      <w:r w:rsidRPr="001D6749">
        <w:rPr>
          <w:rFonts w:ascii="Times New Roman" w:eastAsia="Times New Roman" w:hAnsi="Times New Roman" w:cs="Times New Roman"/>
          <w:i/>
          <w:sz w:val="20"/>
          <w:szCs w:val="20"/>
          <w:lang w:eastAsia="sk-SK"/>
        </w:rPr>
        <w:t>,</w:t>
      </w:r>
      <w:r w:rsidRPr="001D6749">
        <w:rPr>
          <w:rFonts w:ascii="Times New Roman" w:eastAsia="Times New Roman" w:hAnsi="Times New Roman" w:cs="Times New Roman"/>
          <w:sz w:val="24"/>
          <w:szCs w:val="24"/>
          <w:lang w:eastAsia="sk-SK"/>
        </w:rPr>
        <w:t> </w:t>
      </w:r>
      <w:proofErr w:type="spellStart"/>
      <w:r w:rsidRPr="001D6749">
        <w:rPr>
          <w:rFonts w:ascii="Times New Roman" w:eastAsia="Times New Roman" w:hAnsi="Times New Roman" w:cs="Times New Roman"/>
          <w:sz w:val="24"/>
          <w:szCs w:val="24"/>
          <w:lang w:eastAsia="sk-SK"/>
        </w:rPr>
        <w:t>antidiskrimináciou</w:t>
      </w:r>
      <w:proofErr w:type="spellEnd"/>
      <w:r w:rsidRPr="001D6749">
        <w:rPr>
          <w:rFonts w:ascii="Times New Roman" w:eastAsia="Times New Roman" w:hAnsi="Times New Roman" w:cs="Times New Roman"/>
          <w:sz w:val="24"/>
          <w:szCs w:val="24"/>
          <w:lang w:eastAsia="sk-SK"/>
        </w:rPr>
        <w:t>, posilňovaním rovnosti príležitostí žien a mužov a so zvyšovaním zamestnanosti.</w:t>
      </w:r>
    </w:p>
    <w:p w14:paraId="46C135A3" w14:textId="77777777" w:rsidR="001D6749" w:rsidRPr="001D6749" w:rsidRDefault="001D6749" w:rsidP="001D6749">
      <w:p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szCs w:val="24"/>
          <w:lang w:eastAsia="sk-SK"/>
        </w:rPr>
        <w:tab/>
        <w:t>Pri vypracúvaní PPK a analýzy vplyvov môže predkladateľ vychádzať najmä z </w:t>
      </w:r>
      <w:r w:rsidRPr="001D6749">
        <w:rPr>
          <w:rFonts w:ascii="Times New Roman" w:eastAsia="Times New Roman" w:hAnsi="Times New Roman" w:cs="Times New Roman"/>
          <w:sz w:val="24"/>
          <w:lang w:eastAsia="sk-SK"/>
        </w:rPr>
        <w:t>nasledovných zdrojov údajov:</w:t>
      </w:r>
    </w:p>
    <w:p w14:paraId="46C135A4"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Štatistika rodinných účtov</w:t>
      </w:r>
      <w:r w:rsidRPr="001D6749">
        <w:rPr>
          <w:rFonts w:ascii="Times New Roman" w:eastAsia="Times New Roman" w:hAnsi="Times New Roman" w:cs="Times New Roman"/>
          <w:sz w:val="24"/>
          <w:lang w:eastAsia="sk-SK"/>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14:paraId="46C135A5"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Zisťovanie o príjmoch a životných podmienkach domácností</w:t>
      </w:r>
      <w:r w:rsidRPr="001D6749">
        <w:rPr>
          <w:rFonts w:ascii="Times New Roman" w:eastAsia="Times New Roman" w:hAnsi="Times New Roman" w:cs="Times New Roman"/>
          <w:sz w:val="24"/>
          <w:lang w:eastAsia="sk-SK"/>
        </w:rPr>
        <w:t xml:space="preserve"> </w:t>
      </w:r>
      <w:r w:rsidRPr="001D6749">
        <w:rPr>
          <w:rFonts w:ascii="Times New Roman" w:eastAsia="Times New Roman" w:hAnsi="Times New Roman" w:cs="Times New Roman"/>
          <w:b/>
          <w:sz w:val="24"/>
          <w:lang w:eastAsia="sk-SK"/>
        </w:rPr>
        <w:t xml:space="preserve">EU SILC </w:t>
      </w:r>
      <w:r w:rsidRPr="001D6749">
        <w:rPr>
          <w:rFonts w:ascii="Times New Roman" w:eastAsia="Times New Roman" w:hAnsi="Times New Roman" w:cs="Times New Roman"/>
          <w:sz w:val="24"/>
          <w:lang w:eastAsia="sk-SK"/>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p>
    <w:p w14:paraId="46C135A6" w14:textId="77777777" w:rsidR="001D6749" w:rsidRPr="001D6749" w:rsidRDefault="001D6749" w:rsidP="001D6749">
      <w:pPr>
        <w:numPr>
          <w:ilvl w:val="0"/>
          <w:numId w:val="1"/>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b/>
          <w:sz w:val="24"/>
          <w:szCs w:val="24"/>
          <w:lang w:eastAsia="sk-SK"/>
        </w:rPr>
        <w:t>Sčítanie obyvateľstva, domov a bytov</w:t>
      </w:r>
      <w:r w:rsidRPr="001D6749">
        <w:rPr>
          <w:rFonts w:ascii="Times New Roman" w:eastAsia="Times New Roman" w:hAnsi="Times New Roman" w:cs="Times New Roman"/>
          <w:sz w:val="24"/>
          <w:szCs w:val="24"/>
          <w:lang w:eastAsia="sk-SK"/>
        </w:rPr>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sú prístupné buď v podobe publikácií alebo v elektronickej podobe na Štatistickom úrade SR.</w:t>
      </w:r>
    </w:p>
    <w:p w14:paraId="46C135A7"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 xml:space="preserve">Indexy spotrebiteľských cien </w:t>
      </w:r>
      <w:r w:rsidRPr="001D6749">
        <w:rPr>
          <w:rFonts w:ascii="Times New Roman" w:eastAsia="Times New Roman" w:hAnsi="Times New Roman" w:cs="Times New Roman"/>
          <w:sz w:val="24"/>
          <w:lang w:eastAsia="sk-SK"/>
        </w:rPr>
        <w:t xml:space="preserve">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w:t>
      </w:r>
      <w:r w:rsidRPr="001D6749">
        <w:rPr>
          <w:rFonts w:ascii="Times New Roman" w:eastAsia="Times New Roman" w:hAnsi="Times New Roman" w:cs="Times New Roman"/>
          <w:sz w:val="24"/>
          <w:lang w:eastAsia="sk-SK"/>
        </w:rPr>
        <w:lastRenderedPageBreak/>
        <w:t>toho časové rady údajov o spotrebiteľských cenách sú dostupné aj elektronicky na internetovej stránke Štatistického úradu SR.</w:t>
      </w:r>
    </w:p>
    <w:p w14:paraId="46C135A8"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Zdroje údajov o vývoji zamestnanosti /nezamestnanosti,</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ktoré zverejňuje tak</w:t>
      </w:r>
      <w:r w:rsidRPr="001D6749">
        <w:rPr>
          <w:rFonts w:ascii="Times New Roman" w:eastAsia="Times New Roman" w:hAnsi="Times New Roman" w:cs="Times New Roman"/>
          <w:i/>
          <w:sz w:val="24"/>
          <w:lang w:eastAsia="sk-SK"/>
        </w:rPr>
        <w:t xml:space="preserve"> </w:t>
      </w:r>
      <w:r w:rsidRPr="001D6749">
        <w:rPr>
          <w:rFonts w:ascii="Times New Roman" w:eastAsia="Times New Roman" w:hAnsi="Times New Roman" w:cs="Times New Roman"/>
          <w:sz w:val="24"/>
          <w:lang w:eastAsia="sk-SK"/>
        </w:rPr>
        <w:t xml:space="preserve">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w:t>
      </w:r>
    </w:p>
    <w:p w14:paraId="46C135A9"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Ministerstva práce, sociálnych vecí a rodiny SR</w:t>
      </w:r>
      <w:r w:rsidRPr="001D6749">
        <w:rPr>
          <w:rFonts w:ascii="Times New Roman" w:eastAsia="Times New Roman" w:hAnsi="Times New Roman" w:cs="Times New Roman"/>
          <w:sz w:val="24"/>
          <w:lang w:eastAsia="sk-SK"/>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14:paraId="46C135AA" w14:textId="77777777" w:rsidR="001D6749" w:rsidRPr="001D6749" w:rsidRDefault="001D6749" w:rsidP="001D6749">
      <w:pPr>
        <w:numPr>
          <w:ilvl w:val="0"/>
          <w:numId w:val="1"/>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Administratívne zdroje údajov Sociálnej poisťovne</w:t>
      </w:r>
      <w:r w:rsidRPr="001D6749">
        <w:rPr>
          <w:rFonts w:ascii="Times New Roman" w:eastAsia="Times New Roman" w:hAnsi="Times New Roman" w:cs="Times New Roman"/>
          <w:sz w:val="24"/>
          <w:lang w:eastAsia="sk-SK"/>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14:paraId="46C135AB" w14:textId="77777777" w:rsidR="001D6749" w:rsidRPr="001D6749" w:rsidRDefault="001D6749" w:rsidP="001D6749">
      <w:pPr>
        <w:numPr>
          <w:ilvl w:val="0"/>
          <w:numId w:val="1"/>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b/>
          <w:sz w:val="24"/>
          <w:lang w:eastAsia="sk-SK"/>
        </w:rPr>
        <w:t>Informácie o prístupe k zdrojom, právam, tovarom a službám u rôznych zraniteľných skupín, k problematike rovnosti príležitostí a </w:t>
      </w:r>
      <w:proofErr w:type="spellStart"/>
      <w:r w:rsidRPr="001D6749">
        <w:rPr>
          <w:rFonts w:ascii="Times New Roman" w:eastAsia="Times New Roman" w:hAnsi="Times New Roman" w:cs="Times New Roman"/>
          <w:b/>
          <w:sz w:val="24"/>
          <w:lang w:eastAsia="sk-SK"/>
        </w:rPr>
        <w:t>antidiskriminácie</w:t>
      </w:r>
      <w:proofErr w:type="spellEnd"/>
      <w:r w:rsidRPr="001D6749">
        <w:rPr>
          <w:rFonts w:ascii="Times New Roman" w:eastAsia="Times New Roman" w:hAnsi="Times New Roman" w:cs="Times New Roman"/>
          <w:b/>
          <w:sz w:val="24"/>
          <w:lang w:eastAsia="sk-SK"/>
        </w:rPr>
        <w:t>, rodovej rovnosti</w:t>
      </w:r>
      <w:r w:rsidRPr="001D6749">
        <w:rPr>
          <w:rFonts w:ascii="Times New Roman" w:eastAsia="Times New Roman" w:hAnsi="Times New Roman" w:cs="Times New Roman"/>
          <w:sz w:val="24"/>
          <w:lang w:eastAsia="sk-SK"/>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14:paraId="46C135AC" w14:textId="77777777" w:rsidR="001D6749" w:rsidRPr="001D6749" w:rsidRDefault="001D6749" w:rsidP="001D6749">
      <w:pPr>
        <w:spacing w:after="0" w:line="240" w:lineRule="auto"/>
        <w:jc w:val="both"/>
        <w:outlineLvl w:val="0"/>
        <w:rPr>
          <w:rFonts w:ascii="Times New Roman" w:eastAsia="Times New Roman" w:hAnsi="Times New Roman" w:cs="Times New Roman"/>
          <w:b/>
          <w:sz w:val="28"/>
          <w:szCs w:val="28"/>
          <w:lang w:eastAsia="sk-SK"/>
        </w:rPr>
      </w:pPr>
    </w:p>
    <w:p w14:paraId="46C135AD" w14:textId="77777777" w:rsidR="001D6749" w:rsidRPr="001D6749" w:rsidRDefault="001D6749" w:rsidP="001D6749">
      <w:pPr>
        <w:spacing w:before="240" w:after="240" w:line="240" w:lineRule="auto"/>
        <w:jc w:val="both"/>
        <w:outlineLvl w:val="0"/>
        <w:rPr>
          <w:rFonts w:ascii="Times New Roman" w:eastAsia="Times New Roman" w:hAnsi="Times New Roman" w:cs="Times New Roman"/>
          <w:b/>
          <w:sz w:val="28"/>
          <w:szCs w:val="28"/>
          <w:lang w:eastAsia="sk-SK"/>
        </w:rPr>
      </w:pPr>
      <w:r w:rsidRPr="001D6749">
        <w:rPr>
          <w:rFonts w:ascii="Times New Roman" w:eastAsia="Times New Roman" w:hAnsi="Times New Roman" w:cs="Times New Roman"/>
          <w:b/>
          <w:sz w:val="28"/>
          <w:szCs w:val="28"/>
          <w:lang w:eastAsia="sk-SK"/>
        </w:rPr>
        <w:t>Identifikácia sociálnych vplyvov v doložke vybraných vplyvov</w:t>
      </w:r>
    </w:p>
    <w:p w14:paraId="46C135AE"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doložke vybraných vplyvov predkladateľ identifikuje, či predkladaný materiál má niektorý zo  sociálnych vplyvov uvedených v bodoch 4.1 – 4.4 v tabuľke na str. 1 - 3; ak áno, označí príslušný charakter sociálnych vplyvov (pozitívny a/alebo negatívny). Ak predkladaný materiál nemá žiadny z uvedených sociálnych vplyvov alebo je vplyv 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1D6749">
        <w:rPr>
          <w:rFonts w:ascii="Times New Roman" w:eastAsia="Times New Roman" w:hAnsi="Times New Roman" w:cs="Times New Roman"/>
          <w:sz w:val="24"/>
          <w:lang w:eastAsia="sk-SK"/>
        </w:rPr>
        <w:t xml:space="preserve">Ak má predkladaný materiál negatívne vplyvy na hospodárenie domácností, zamestnanosť </w:t>
      </w:r>
      <w:r w:rsidRPr="001D6749">
        <w:rPr>
          <w:rFonts w:ascii="Times New Roman" w:eastAsia="Times New Roman" w:hAnsi="Times New Roman" w:cs="Times New Roman"/>
          <w:sz w:val="24"/>
          <w:szCs w:val="24"/>
          <w:lang w:eastAsia="sk-SK"/>
        </w:rPr>
        <w:t>alebo prehlbuje existujúce nerovnosti</w:t>
      </w:r>
      <w:r w:rsidRPr="001D6749">
        <w:rPr>
          <w:rFonts w:ascii="Times New Roman" w:eastAsia="Times New Roman" w:hAnsi="Times New Roman" w:cs="Times New Roman"/>
          <w:sz w:val="24"/>
          <w:lang w:eastAsia="sk-SK"/>
        </w:rPr>
        <w:t xml:space="preserve"> či </w:t>
      </w:r>
      <w:r w:rsidRPr="001D6749">
        <w:rPr>
          <w:rFonts w:ascii="Times New Roman" w:eastAsia="Times New Roman" w:hAnsi="Times New Roman" w:cs="Times New Roman"/>
          <w:sz w:val="24"/>
          <w:szCs w:val="24"/>
          <w:lang w:eastAsia="sk-SK"/>
        </w:rPr>
        <w:t xml:space="preserve">zhoršuje prístup k právam, tovarom a službám istých skupín obyvateľstva </w:t>
      </w:r>
      <w:r w:rsidRPr="001D6749">
        <w:rPr>
          <w:rFonts w:ascii="Times New Roman" w:eastAsia="Times New Roman" w:hAnsi="Times New Roman" w:cs="Times New Roman"/>
          <w:sz w:val="24"/>
          <w:lang w:eastAsia="sk-SK"/>
        </w:rPr>
        <w:t xml:space="preserve">a napriek tomu sa predkladá na rokovanie vlády, </w:t>
      </w:r>
      <w:r w:rsidRPr="001D6749">
        <w:rPr>
          <w:rFonts w:ascii="Times New Roman" w:eastAsia="Times New Roman" w:hAnsi="Times New Roman" w:cs="Times New Roman"/>
          <w:sz w:val="24"/>
          <w:szCs w:val="24"/>
          <w:lang w:eastAsia="sk-SK"/>
        </w:rPr>
        <w:t>predkladateľ môže navrhnúť opatrenia, ktoré by mohli tento potenciálny stav kompenzovať.</w:t>
      </w:r>
    </w:p>
    <w:p w14:paraId="46C135AF"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14:paraId="46C135B0" w14:textId="77777777" w:rsidR="001D6749" w:rsidRPr="001D6749" w:rsidRDefault="001D6749" w:rsidP="001D6749">
      <w:pPr>
        <w:spacing w:after="0" w:line="240" w:lineRule="auto"/>
        <w:outlineLvl w:val="0"/>
        <w:rPr>
          <w:rFonts w:ascii="Times New Roman" w:eastAsia="Times New Roman" w:hAnsi="Times New Roman" w:cs="Times New Roman"/>
          <w:b/>
          <w:sz w:val="28"/>
          <w:szCs w:val="28"/>
          <w:lang w:eastAsia="sk-SK"/>
        </w:rPr>
      </w:pPr>
    </w:p>
    <w:p w14:paraId="46C135B1" w14:textId="77777777" w:rsidR="001D6749" w:rsidRPr="001F7932" w:rsidRDefault="001D6749" w:rsidP="001F7932">
      <w:pPr>
        <w:spacing w:after="0" w:line="240" w:lineRule="auto"/>
        <w:outlineLvl w:val="0"/>
        <w:rPr>
          <w:rFonts w:ascii="Times New Roman" w:eastAsia="Times New Roman" w:hAnsi="Times New Roman" w:cs="Times New Roman"/>
          <w:b/>
          <w:sz w:val="28"/>
          <w:szCs w:val="28"/>
          <w:u w:val="single"/>
          <w:lang w:eastAsia="sk-SK"/>
        </w:rPr>
      </w:pPr>
      <w:r w:rsidRPr="001D6749">
        <w:rPr>
          <w:rFonts w:ascii="Times New Roman" w:eastAsia="Times New Roman" w:hAnsi="Times New Roman" w:cs="Times New Roman"/>
          <w:b/>
          <w:sz w:val="28"/>
          <w:szCs w:val="28"/>
          <w:u w:val="single"/>
          <w:lang w:eastAsia="sk-SK"/>
        </w:rPr>
        <w:br w:type="page"/>
      </w:r>
      <w:r w:rsidRPr="001D6749">
        <w:rPr>
          <w:rFonts w:ascii="Times New Roman" w:eastAsia="Times New Roman" w:hAnsi="Times New Roman" w:cs="Times New Roman"/>
          <w:b/>
          <w:sz w:val="28"/>
          <w:szCs w:val="28"/>
          <w:u w:val="single"/>
          <w:lang w:eastAsia="sk-SK"/>
        </w:rPr>
        <w:lastRenderedPageBreak/>
        <w:t>Analýza sociálnych vplyvov</w:t>
      </w:r>
    </w:p>
    <w:p w14:paraId="46C135B2" w14:textId="77777777"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Ak je v doložke vybraných vplyvov označený pozitívny a/alebo negatívny sociálny vplyv materiálu, predkladateľ vypracuje podrobnejšie posúdenie v jednotlivých oblastiach sociálnych vplyvov podľa bodov 4.1 – 4.4. v tabuľke na str. 1 - 3, tzv. analýzu sociálnych vplyvov. Ak v niektorej z uvedených oblastí sociálnych vplyvov nebol identifikovaný vplyv, predkladateľ v príslušnom bode analýzy uvedie poznámku „bez vplyvu“. Nasledovný postup uvádza kroky pre vypracovanie analýzy sociálnych vplyvov. </w:t>
      </w:r>
    </w:p>
    <w:p w14:paraId="46C135B3"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46C135B4"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 xml:space="preserve">Zhodnotenie vplyvov na hospodárenie domácností </w:t>
      </w:r>
    </w:p>
    <w:p w14:paraId="46C135B5" w14:textId="77777777" w:rsidR="001D6749" w:rsidRPr="001D6749" w:rsidRDefault="001D6749" w:rsidP="001F7932">
      <w:pPr>
        <w:spacing w:before="240"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identifikovaní vplyvov na hospodárenie domácností je potrebné brať do úvahy najmä: </w:t>
      </w:r>
    </w:p>
    <w:p w14:paraId="46C135B6" w14:textId="77777777"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pracovné príjmy (zmena sadzby dane z príjmov, zvýšenie platov alebo miezd, zmena vo vyhodnotení odpočítateľných položiek zo základu dane a pod.),</w:t>
      </w:r>
    </w:p>
    <w:p w14:paraId="46C135B7" w14:textId="77777777" w:rsidR="001D6749" w:rsidRPr="001D6749" w:rsidRDefault="001D6749" w:rsidP="001D6749">
      <w:pPr>
        <w:numPr>
          <w:ilvl w:val="0"/>
          <w:numId w:val="4"/>
        </w:numPr>
        <w:tabs>
          <w:tab w:val="num" w:pos="1080"/>
        </w:tabs>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sociálne príjmy (zmeny v definovaní cieľových skupín, zmeny vo výškach sociálnych dávok),</w:t>
      </w:r>
    </w:p>
    <w:p w14:paraId="46C135B8" w14:textId="77777777" w:rsidR="001D6749" w:rsidRPr="001D6749" w:rsidRDefault="001D6749" w:rsidP="001D6749">
      <w:pPr>
        <w:numPr>
          <w:ilvl w:val="0"/>
          <w:numId w:val="4"/>
        </w:numPr>
        <w:spacing w:after="0" w:line="240" w:lineRule="auto"/>
        <w:ind w:left="714"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vyššie alebo nižšie výdavky na zabezpečenie hospodárenia domácností (zmeny v sadzbách spotrebných daní, DPH, zavedenie spoplatnenia štúdia, deregulácia , inflácia, a pod.), požiadavka na výdavky domácností kapitálového typu (napr. nákup bezpečnostných doplnkov do automobilových vozidiel ako sú sedačky pre maloleté deti, stavebné úpravy alebo nákup meračov spotreby energií atď.),</w:t>
      </w:r>
    </w:p>
    <w:p w14:paraId="46C135B9" w14:textId="77777777" w:rsidR="001D6749" w:rsidRPr="001D6749" w:rsidRDefault="001D6749" w:rsidP="001D6749">
      <w:pPr>
        <w:numPr>
          <w:ilvl w:val="0"/>
          <w:numId w:val="4"/>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zlepšenie alebo zhoršenie prístupu k nákupným možnostiam tovarov a služieb </w:t>
      </w:r>
      <w:r w:rsidRPr="001D6749">
        <w:rPr>
          <w:rFonts w:ascii="Times New Roman" w:eastAsia="Times New Roman" w:hAnsi="Times New Roman" w:cs="Times New Roman"/>
          <w:sz w:val="24"/>
          <w:szCs w:val="24"/>
          <w:lang w:eastAsia="sk-SK"/>
        </w:rPr>
        <w:br/>
        <w:t>pre domácnosti.</w:t>
      </w:r>
    </w:p>
    <w:p w14:paraId="46C135BA" w14:textId="77777777" w:rsidR="001D6749" w:rsidRPr="001D6749" w:rsidRDefault="001D6749" w:rsidP="001D6749">
      <w:pPr>
        <w:tabs>
          <w:tab w:val="left" w:pos="0"/>
        </w:tabs>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14:paraId="46C135BB"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Je možné, že predkladaný materiál ovplyvní určité špecifické skupiny obyvateľov a domácnosti viac než ostatné, či už pozitívne alebo negatívne</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Pre dosiahnutie komplexného obrazu o potenciálnych efektoch predkladaného materiálu na hospodárenie domácností treba zvažovať potenciálne vplyvy na konkrétne skupiny obyvateľstva, ktoré ním môžu byť dotknuté. Podľa možností sa treba zamerať na posúdenie vplyvu na domácnosti, ktoré čelia zvýšenému riziku chudoby a sociálneho vylúčenia:</w:t>
      </w:r>
    </w:p>
    <w:p w14:paraId="46C135B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14:paraId="46C135BD"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nezamestnanými členmi,</w:t>
      </w:r>
    </w:p>
    <w:p w14:paraId="46C135BE"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14:paraId="46C135BF"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14:paraId="46C135C0"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starších ľudí (nad 65 rokov alebo dôchodcov)</w:t>
      </w:r>
    </w:p>
    <w:p w14:paraId="46C135C1"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členmi so zdravotným postihnutím,</w:t>
      </w:r>
    </w:p>
    <w:p w14:paraId="46C135C2"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žijúce v </w:t>
      </w:r>
      <w:proofErr w:type="spellStart"/>
      <w:r w:rsidRPr="001D6749">
        <w:rPr>
          <w:rFonts w:ascii="Times New Roman" w:eastAsia="Times New Roman" w:hAnsi="Times New Roman" w:cs="Times New Roman"/>
          <w:sz w:val="24"/>
          <w:szCs w:val="24"/>
          <w:lang w:eastAsia="sk-SK"/>
        </w:rPr>
        <w:t>marginalizovaných</w:t>
      </w:r>
      <w:proofErr w:type="spellEnd"/>
      <w:r w:rsidRPr="001D6749">
        <w:rPr>
          <w:rFonts w:ascii="Times New Roman" w:eastAsia="Times New Roman" w:hAnsi="Times New Roman" w:cs="Times New Roman"/>
          <w:sz w:val="24"/>
          <w:szCs w:val="24"/>
          <w:lang w:eastAsia="sk-SK"/>
        </w:rPr>
        <w:t xml:space="preserve"> rómskych komunitách, </w:t>
      </w:r>
    </w:p>
    <w:p w14:paraId="46C135C3"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príslušníkov tretích krajín, azylanti, žiadatelia o azyl,</w:t>
      </w:r>
    </w:p>
    <w:p w14:paraId="46C135C4"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ľudia opúšťajúci detské domovy alebo iné inštitucionálne zariadenia.</w:t>
      </w:r>
    </w:p>
    <w:p w14:paraId="46C135C5"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46C135C6"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ab/>
        <w:t>Možno tiež uvažovať nad tým, že predpokladaná zmena môže nastať v rôznom časovom období (napr. ihneď, do 3 rokov, po 3 rokoch) a že daná zmena sa môže uskutočniť s rôznou pravdepodobnosťou (s nízkou až veľkou pravdepodobnosťou).</w:t>
      </w:r>
    </w:p>
    <w:p w14:paraId="46C135C7" w14:textId="77777777" w:rsidR="001D6749" w:rsidRPr="001D6749" w:rsidRDefault="001D6749" w:rsidP="001D6749">
      <w:pPr>
        <w:spacing w:after="120" w:line="240" w:lineRule="auto"/>
        <w:ind w:firstLine="360"/>
        <w:jc w:val="both"/>
        <w:rPr>
          <w:rFonts w:ascii="Times New Roman" w:eastAsia="Times New Roman" w:hAnsi="Times New Roman" w:cs="Times New Roman"/>
          <w:sz w:val="24"/>
          <w:szCs w:val="24"/>
          <w:lang w:eastAsia="sk-SK"/>
        </w:rPr>
      </w:pPr>
    </w:p>
    <w:p w14:paraId="46C135C8"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 prípade identifikovania vplyvov na hospodárenie domácností predkladateľ kvantifikuje vplyv na príjmy či výdavky domácností u jednotlivých ovplyvnených skupín obyvateľstva.</w:t>
      </w:r>
    </w:p>
    <w:p w14:paraId="46C135C9"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minimálnom variante kvantifikácie vplyvu, ktorý je možné použiť pri menej významných vplyvoch na hospodárenie domácností, predkladateľ uvedie:</w:t>
      </w:r>
    </w:p>
    <w:p w14:paraId="46C135CA" w14:textId="77777777"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zmenu (rast alebo pokles) príjmov / výdavkov za každú ovplyvnenú skupinu v eurách </w:t>
      </w:r>
      <w:r w:rsidRPr="001D6749">
        <w:rPr>
          <w:rFonts w:ascii="Times New Roman" w:eastAsia="Times New Roman" w:hAnsi="Times New Roman" w:cs="Times New Roman"/>
          <w:sz w:val="24"/>
          <w:szCs w:val="24"/>
          <w:lang w:eastAsia="sk-SK"/>
        </w:rPr>
        <w:br/>
        <w:t>a / alebo v % v predpokladanom časovom období,</w:t>
      </w:r>
    </w:p>
    <w:p w14:paraId="46C135CB" w14:textId="77777777" w:rsidR="001D6749" w:rsidRPr="001D6749" w:rsidRDefault="001D6749" w:rsidP="001D6749">
      <w:pPr>
        <w:numPr>
          <w:ilvl w:val="0"/>
          <w:numId w:val="2"/>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odhad veľkosti jednotlivých ovplyvnených skupín (absolútny počet obyvateľov, prípadne podiel na celkovom počte obyvateľov).</w:t>
      </w:r>
    </w:p>
    <w:p w14:paraId="46C135CC"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Pri významných vplyvoch na hospodárenie domácností predkladateľ:</w:t>
      </w:r>
    </w:p>
    <w:p w14:paraId="46C135CD" w14:textId="77777777" w:rsidR="001D6749" w:rsidRPr="001D6749" w:rsidRDefault="001D6749" w:rsidP="001D6749">
      <w:pPr>
        <w:numPr>
          <w:ilvl w:val="0"/>
          <w:numId w:val="10"/>
        </w:numPr>
        <w:tabs>
          <w:tab w:val="left" w:pos="851"/>
          <w:tab w:val="left" w:pos="1191"/>
          <w:tab w:val="left" w:pos="1531"/>
        </w:tabs>
        <w:spacing w:after="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14:paraId="46C135CE"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 xml:space="preserve">na základe súčasného stavu výšky príjmov alebo výdavkov jednotlivých </w:t>
      </w:r>
      <w:r w:rsidRPr="001D6749">
        <w:rPr>
          <w:rFonts w:ascii="Times New Roman" w:eastAsia="Times New Roman" w:hAnsi="Times New Roman" w:cs="Times New Roman"/>
          <w:b/>
          <w:sz w:val="24"/>
          <w:lang w:eastAsia="sk-SK"/>
        </w:rPr>
        <w:t>ovplyvnených skupín</w:t>
      </w:r>
      <w:r w:rsidRPr="001D6749">
        <w:rPr>
          <w:rFonts w:ascii="Times New Roman" w:eastAsia="Times New Roman" w:hAnsi="Times New Roman" w:cs="Times New Roman"/>
          <w:sz w:val="24"/>
          <w:lang w:eastAsia="sk-SK"/>
        </w:rPr>
        <w:t xml:space="preserve">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14:paraId="46C135CF"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zvýšenie výdavkov, vypočíta podiel výdavkov na príjme jednotlivca/domácnosti,</w:t>
      </w:r>
    </w:p>
    <w:p w14:paraId="46C135D0" w14:textId="77777777" w:rsidR="001D6749" w:rsidRPr="001D6749" w:rsidRDefault="001D6749" w:rsidP="001D6749">
      <w:pPr>
        <w:numPr>
          <w:ilvl w:val="0"/>
          <w:numId w:val="10"/>
        </w:numPr>
        <w:tabs>
          <w:tab w:val="left" w:pos="851"/>
          <w:tab w:val="left" w:pos="1191"/>
          <w:tab w:val="left" w:pos="1531"/>
        </w:tabs>
        <w:spacing w:after="0" w:line="240" w:lineRule="auto"/>
        <w:ind w:left="714" w:hanging="357"/>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pokiaľ ide o významné zvýšenie alebo zníženie príjmov domácností, ktoré sa dotkne aj ľudí v riziku chudoby, kvantifikuje vplyv na rozsah chudoby resp. na mieru rizika chudoby,</w:t>
      </w:r>
    </w:p>
    <w:p w14:paraId="46C135D1" w14:textId="77777777" w:rsidR="001D6749" w:rsidRPr="001D6749" w:rsidRDefault="001D6749" w:rsidP="001D6749">
      <w:pPr>
        <w:numPr>
          <w:ilvl w:val="0"/>
          <w:numId w:val="10"/>
        </w:numPr>
        <w:tabs>
          <w:tab w:val="left" w:pos="851"/>
          <w:tab w:val="left" w:pos="1191"/>
          <w:tab w:val="left" w:pos="1531"/>
        </w:tabs>
        <w:spacing w:after="120" w:line="240" w:lineRule="auto"/>
        <w:jc w:val="both"/>
        <w:rPr>
          <w:rFonts w:ascii="Times New Roman" w:eastAsia="Times New Roman" w:hAnsi="Times New Roman" w:cs="Times New Roman"/>
          <w:sz w:val="24"/>
          <w:lang w:eastAsia="sk-SK"/>
        </w:rPr>
      </w:pPr>
      <w:r w:rsidRPr="001D6749">
        <w:rPr>
          <w:rFonts w:ascii="Times New Roman" w:eastAsia="Times New Roman" w:hAnsi="Times New Roman" w:cs="Times New Roman"/>
          <w:sz w:val="24"/>
          <w:lang w:eastAsia="sk-SK"/>
        </w:rPr>
        <w:t>kvantifikuje celkový počet obyvateľstva/domácností, rodín ovplyvnených predkladaným materiálom podľa jednotlivých skupín a charakteru vplyvu.</w:t>
      </w:r>
    </w:p>
    <w:p w14:paraId="46C135D2"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46C135D3"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prístup k zdrojom, právam, tovarom a službám u jednotlivých ovplyvnených skupín obyvateľstva a vplyvov na sociálnu inklúziu:</w:t>
      </w:r>
    </w:p>
    <w:p w14:paraId="46C135D4" w14:textId="77777777" w:rsidR="001D6749" w:rsidRPr="001D6749" w:rsidRDefault="001D6749" w:rsidP="001F7932">
      <w:pPr>
        <w:spacing w:before="240" w:after="120" w:line="240" w:lineRule="auto"/>
        <w:ind w:left="360"/>
        <w:jc w:val="both"/>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sz w:val="24"/>
          <w:szCs w:val="24"/>
          <w:lang w:eastAsia="sk-SK"/>
        </w:rPr>
        <w:t>Pod prístupom k zdrojom, právam, tovarom a službám sa rozumie najmä prístup k:</w:t>
      </w:r>
    </w:p>
    <w:p w14:paraId="46C135D5"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sociálnej ochrane, sociálno-právnej ochrane, sociálnym službám (vrátane služieb starostlivosti o deti, starších ľudí a ľudí so zdravotným postihnutím), </w:t>
      </w:r>
    </w:p>
    <w:p w14:paraId="46C135D6"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kvalitnej práci (dôstojným pracovným podmienkam, zamestnaneckým </w:t>
      </w:r>
      <w:proofErr w:type="spellStart"/>
      <w:r w:rsidRPr="001D6749">
        <w:rPr>
          <w:rFonts w:ascii="Times New Roman" w:eastAsia="Times New Roman" w:hAnsi="Times New Roman" w:cs="Times New Roman"/>
          <w:sz w:val="24"/>
          <w:szCs w:val="24"/>
          <w:lang w:eastAsia="sk-SK"/>
        </w:rPr>
        <w:t>benefitom</w:t>
      </w:r>
      <w:proofErr w:type="spellEnd"/>
      <w:r w:rsidRPr="001D6749">
        <w:rPr>
          <w:rFonts w:ascii="Times New Roman" w:eastAsia="Times New Roman" w:hAnsi="Times New Roman" w:cs="Times New Roman"/>
          <w:sz w:val="24"/>
          <w:szCs w:val="24"/>
          <w:lang w:eastAsia="sk-SK"/>
        </w:rPr>
        <w:t xml:space="preserve"> a výhodám), ochrane zdravia a bezpečnosti pri práci pre zamestnancov a existujúcim zamestnaneckým právam,</w:t>
      </w:r>
    </w:p>
    <w:p w14:paraId="46C135D7"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pomoci pri úhrade výdavkov súvisiacich so zdravotným postihnutím, </w:t>
      </w:r>
    </w:p>
    <w:p w14:paraId="46C135D8"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zamestnaniu, na trh práce (napr. uľahčenie zosúladenia rodinných a pracovných povinností, služby zamestnanosti), k školeniam, odbornému vzdelávaniu a príprave na trh práce,</w:t>
      </w:r>
    </w:p>
    <w:p w14:paraId="46C135D9"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zdravotnej starostlivosti vrátane cenovo dostupných pomôcok pre občanov so zdravotným postihnutím, </w:t>
      </w:r>
    </w:p>
    <w:p w14:paraId="46C135DA"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k formálnemu i neformálnemu vzdelávaniu a celoživotnému vzdelávaniu, </w:t>
      </w:r>
    </w:p>
    <w:p w14:paraId="46C135DB"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bývaniu a súvisiacim základným komunálnym službám,</w:t>
      </w:r>
    </w:p>
    <w:p w14:paraId="46C135D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doprave,</w:t>
      </w:r>
    </w:p>
    <w:p w14:paraId="46C135DD"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ďalším službám najmä službám všeobecného záujmu a tovarom,</w:t>
      </w:r>
    </w:p>
    <w:p w14:paraId="46C135DE"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spravodlivosti, právnej ochrane, právnym službám,</w:t>
      </w:r>
    </w:p>
    <w:p w14:paraId="46C135DF"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informáciám,</w:t>
      </w:r>
    </w:p>
    <w:p w14:paraId="46C135E0"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k iným právam (napr. politickým).</w:t>
      </w:r>
    </w:p>
    <w:p w14:paraId="46C135E1" w14:textId="77777777"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analyzuje vplyv v tejto oblasti s ohľadom na dostupnosť finančnú, geografickú, kvalitu, organizovanie a pod.</w:t>
      </w:r>
    </w:p>
    <w:p w14:paraId="46C135E2" w14:textId="77777777" w:rsidR="001D6749" w:rsidRPr="001D6749" w:rsidRDefault="001D6749" w:rsidP="001D6749">
      <w:pPr>
        <w:spacing w:after="12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 j. koľkých sa pravdepodobne návrh obsiahnutý v prekladanom materiáli dotkne.</w:t>
      </w:r>
    </w:p>
    <w:p w14:paraId="46C135E3" w14:textId="77777777"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p>
    <w:p w14:paraId="46C135E4" w14:textId="77777777" w:rsidR="001D6749" w:rsidRPr="001D6749" w:rsidRDefault="001D6749" w:rsidP="001D6749">
      <w:pPr>
        <w:spacing w:after="0" w:line="240" w:lineRule="auto"/>
        <w:ind w:firstLine="539"/>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či návrh má vplyv na niektorú zo </w:t>
      </w:r>
      <w:r w:rsidRPr="001D6749">
        <w:rPr>
          <w:rFonts w:ascii="Times New Roman" w:eastAsia="Times New Roman" w:hAnsi="Times New Roman" w:cs="Times New Roman"/>
          <w:b/>
          <w:sz w:val="24"/>
          <w:szCs w:val="24"/>
          <w:lang w:eastAsia="sk-SK"/>
        </w:rPr>
        <w:t>zraniteľných skupín obyvateľstva alebo skupín v riziku chudoby a sociálneho vylúčenia</w:t>
      </w:r>
      <w:r w:rsidRPr="001D6749">
        <w:rPr>
          <w:rFonts w:ascii="Times New Roman" w:eastAsia="Times New Roman" w:hAnsi="Times New Roman" w:cs="Times New Roman"/>
          <w:sz w:val="24"/>
          <w:szCs w:val="24"/>
          <w:lang w:eastAsia="sk-SK"/>
        </w:rPr>
        <w:t>,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14:paraId="46C135E5"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Zraniteľnými skupinami a skupinami v riziku chudoby a sociálneho vylúčenia, na ktoré treba zvlášť zamerať pozornosť, sú:</w:t>
      </w:r>
    </w:p>
    <w:p w14:paraId="46C135E6"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nízkym príjmom (napr. žijúce iba zo sociálnych príjmov, alebo z príjmov pod hranicou rizika chudoby, alebo s príjmom pod životným minimom, alebo patriace medzi 25% domácností s najnižším príjmom),</w:t>
      </w:r>
    </w:p>
    <w:p w14:paraId="46C135E7"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nezamestnaní, najmä dlhodobo nezamestnaní, mladí nezamestnaní a nezamestnaní nad 50 rokov,</w:t>
      </w:r>
    </w:p>
    <w:p w14:paraId="46C135E8"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deti (0 – 17),</w:t>
      </w:r>
    </w:p>
    <w:p w14:paraId="46C135E9"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mladí ľudia (18 – 25 rokov),</w:t>
      </w:r>
    </w:p>
    <w:p w14:paraId="46C135EA"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starší ľudia, napr. ľudia vo veku nad 65 rokov alebo dôchodcovia,</w:t>
      </w:r>
    </w:p>
    <w:p w14:paraId="46C135EB"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ľudia so zdravotným postihnutím,</w:t>
      </w:r>
    </w:p>
    <w:p w14:paraId="46C135EC"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proofErr w:type="spellStart"/>
      <w:r w:rsidRPr="001D6749">
        <w:rPr>
          <w:rFonts w:ascii="Times New Roman" w:eastAsia="Times New Roman" w:hAnsi="Times New Roman" w:cs="Times New Roman"/>
          <w:sz w:val="24"/>
          <w:szCs w:val="24"/>
          <w:lang w:eastAsia="sk-SK"/>
        </w:rPr>
        <w:t>marginalizované</w:t>
      </w:r>
      <w:proofErr w:type="spellEnd"/>
      <w:r w:rsidRPr="001D6749">
        <w:rPr>
          <w:rFonts w:ascii="Times New Roman" w:eastAsia="Times New Roman" w:hAnsi="Times New Roman" w:cs="Times New Roman"/>
          <w:sz w:val="24"/>
          <w:szCs w:val="24"/>
          <w:lang w:eastAsia="sk-SK"/>
        </w:rPr>
        <w:t xml:space="preserve"> rómske komunity </w:t>
      </w:r>
    </w:p>
    <w:p w14:paraId="46C135ED"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domácnosti s 3 a viac deťmi,</w:t>
      </w:r>
    </w:p>
    <w:p w14:paraId="46C135EE" w14:textId="77777777" w:rsidR="001D6749" w:rsidRPr="001D6749" w:rsidRDefault="001D6749" w:rsidP="001D6749">
      <w:pPr>
        <w:numPr>
          <w:ilvl w:val="0"/>
          <w:numId w:val="3"/>
        </w:numPr>
        <w:spacing w:after="0" w:line="240" w:lineRule="auto"/>
        <w:ind w:left="896" w:hanging="357"/>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jednorodičovské domácnosti s deťmi (neúplné rodiny, ktoré tvoria najmä osamelé matky s deťmi),</w:t>
      </w:r>
    </w:p>
    <w:p w14:paraId="46C135EF" w14:textId="77777777"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príslušníci tretích krajín, azylanti, žiadatelia o azyl,</w:t>
      </w:r>
    </w:p>
    <w:p w14:paraId="46C135F0" w14:textId="77777777" w:rsidR="001D6749" w:rsidRPr="001D6749" w:rsidRDefault="001D6749" w:rsidP="001D6749">
      <w:pPr>
        <w:numPr>
          <w:ilvl w:val="0"/>
          <w:numId w:val="3"/>
        </w:num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iné zraniteľné skupiny, ako sú napr. bezdomovci, ľudia opúšťajúci detské domovy alebo iné inštitucionálne zariadenia.</w:t>
      </w:r>
    </w:p>
    <w:p w14:paraId="46C135F1" w14:textId="77777777" w:rsidR="001D6749" w:rsidRPr="001D6749" w:rsidRDefault="001D6749" w:rsidP="001D6749">
      <w:pPr>
        <w:spacing w:after="12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w:t>
      </w:r>
      <w:proofErr w:type="spellStart"/>
      <w:r w:rsidRPr="001D6749">
        <w:rPr>
          <w:rFonts w:ascii="Times New Roman" w:eastAsia="Times New Roman" w:hAnsi="Times New Roman" w:cs="Times New Roman"/>
          <w:sz w:val="24"/>
          <w:szCs w:val="24"/>
          <w:lang w:eastAsia="sk-SK"/>
        </w:rPr>
        <w:t>bezdomovectvom</w:t>
      </w:r>
      <w:proofErr w:type="spellEnd"/>
      <w:r w:rsidRPr="001D6749">
        <w:rPr>
          <w:rFonts w:ascii="Times New Roman" w:eastAsia="Times New Roman" w:hAnsi="Times New Roman" w:cs="Times New Roman"/>
          <w:sz w:val="24"/>
          <w:szCs w:val="24"/>
          <w:lang w:eastAsia="sk-SK"/>
        </w:rPr>
        <w:t>,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14:paraId="46C135F2"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 xml:space="preserve">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w:t>
      </w:r>
      <w:r w:rsidRPr="001D6749">
        <w:rPr>
          <w:rFonts w:ascii="Times New Roman" w:eastAsia="Times New Roman" w:hAnsi="Times New Roman" w:cs="Times New Roman"/>
          <w:sz w:val="24"/>
          <w:szCs w:val="24"/>
          <w:lang w:eastAsia="sk-SK"/>
        </w:rPr>
        <w:lastRenderedPageBreak/>
        <w:t>Ak sú k dispozícii potrebné údaje, predkladateľ vyčísli zastúpenie potenciálne ovplyvnenej skupiny, t.j. koľkých sa pravdepodobne návrh obsiahnutý v prekladanom materiáli dotkne.</w:t>
      </w:r>
    </w:p>
    <w:p w14:paraId="46C135F3"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46C135F4" w14:textId="77777777" w:rsidR="001D6749" w:rsidRPr="001D6749" w:rsidRDefault="001D6749" w:rsidP="001D6749">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rovnosť príležitostí a rodovú rovnosť</w:t>
      </w:r>
    </w:p>
    <w:p w14:paraId="46C135F5" w14:textId="77777777" w:rsidR="001D6749" w:rsidRPr="001D6749" w:rsidRDefault="001D6749" w:rsidP="001F7932">
      <w:pPr>
        <w:spacing w:before="240"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Posúdenie možného vplyvu na rovnosť príležitostí a rodovú rovnosť znamená posúdiť vplyv z hľadiska</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významných faktorov diskriminácie, ktorými</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sú</w:t>
      </w:r>
      <w:r w:rsidRPr="001D6749">
        <w:rPr>
          <w:rFonts w:ascii="Times New Roman" w:eastAsia="Times New Roman" w:hAnsi="Times New Roman" w:cs="Times New Roman"/>
          <w:i/>
          <w:sz w:val="24"/>
          <w:szCs w:val="24"/>
          <w:lang w:eastAsia="sk-SK"/>
        </w:rPr>
        <w:t xml:space="preserve"> </w:t>
      </w:r>
      <w:r w:rsidRPr="001D6749">
        <w:rPr>
          <w:rFonts w:ascii="Times New Roman" w:eastAsia="Times New Roman" w:hAnsi="Times New Roman" w:cs="Times New Roman"/>
          <w:sz w:val="24"/>
          <w:szCs w:val="24"/>
          <w:lang w:eastAsia="sk-SK"/>
        </w:rPr>
        <w:t xml:space="preserve">pohlavie, rasa, etnický pôvod, náboženské vyznanie, viera, zdravotné postihnutie, vek, či sexuálna orientácia. Predkladateľ preto pri každom tomto faktore diskriminácie a z nej plynúcej nerovnosti posúdi, aký vplyv môže mať na ne predkladaný materiál. Tento vplyv môže byť: </w:t>
      </w:r>
    </w:p>
    <w:p w14:paraId="46C135F6" w14:textId="77777777"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pozitívny, pomáha ju znížiť (resp. podporuje rovnosť príležitostí),</w:t>
      </w:r>
    </w:p>
    <w:p w14:paraId="46C135F7" w14:textId="77777777" w:rsidR="001D6749" w:rsidRPr="001D6749" w:rsidRDefault="001D6749" w:rsidP="001D6749">
      <w:pPr>
        <w:numPr>
          <w:ilvl w:val="0"/>
          <w:numId w:val="3"/>
        </w:numPr>
        <w:spacing w:after="0" w:line="240" w:lineRule="auto"/>
        <w:ind w:left="896" w:hanging="357"/>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žiadny, zachováva nezmenený stav (nemá vplyv),</w:t>
      </w:r>
    </w:p>
    <w:p w14:paraId="46C135F8" w14:textId="77777777" w:rsidR="001D6749" w:rsidRPr="001D6749" w:rsidRDefault="001D6749" w:rsidP="001D6749">
      <w:pPr>
        <w:numPr>
          <w:ilvl w:val="0"/>
          <w:numId w:val="3"/>
        </w:numPr>
        <w:spacing w:after="120" w:line="240" w:lineRule="auto"/>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negatívny, prehlbuje nerovnosť (resp. bude viesť k zväčšovaniu nerovností).</w:t>
      </w:r>
    </w:p>
    <w:p w14:paraId="46C135F9" w14:textId="77777777" w:rsidR="001D6749" w:rsidRPr="001D6749" w:rsidRDefault="001D6749" w:rsidP="001D6749">
      <w:pPr>
        <w:spacing w:after="120" w:line="240" w:lineRule="auto"/>
        <w:ind w:left="900"/>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r>
    </w:p>
    <w:p w14:paraId="46C135FA"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V rámci identifikovania </w:t>
      </w:r>
      <w:r w:rsidRPr="001D6749">
        <w:rPr>
          <w:rFonts w:ascii="Times New Roman" w:eastAsia="Times New Roman" w:hAnsi="Times New Roman" w:cs="Times New Roman"/>
          <w:b/>
          <w:sz w:val="24"/>
          <w:szCs w:val="24"/>
          <w:lang w:eastAsia="sk-SK"/>
        </w:rPr>
        <w:t>vplyvu na rovnosť príležitostí</w:t>
      </w:r>
      <w:r w:rsidRPr="001D6749">
        <w:rPr>
          <w:rFonts w:ascii="Times New Roman" w:eastAsia="Times New Roman" w:hAnsi="Times New Roman" w:cs="Times New Roman"/>
          <w:sz w:val="24"/>
          <w:szCs w:val="24"/>
          <w:lang w:eastAsia="sk-SK"/>
        </w:rPr>
        <w:t xml:space="preserve"> sa zvažuje, či návrh umožňuje priamo nerovnaké zaobchádzanie so skupinami alebo jednotlivcami na základe pohlavia, rasy, etnicity, náboženstva alebo viery, zdravotného postihnutia veku a sexuálnej orientácie alebo môže viesť k nepriamej diskriminácii. Analýza vplyvu na rovnosť príležitostí je potrebná, aby sa predkladateľ vyhol aj možným nezamýšľaným negatívnym dosahom (znevýhodneniam) na ktorúkoľvek zo skupín chránenú v rámci legislatívy vzťahujúcej sa k rovnosti príležitostí a </w:t>
      </w:r>
      <w:proofErr w:type="spellStart"/>
      <w:r w:rsidRPr="001D6749">
        <w:rPr>
          <w:rFonts w:ascii="Times New Roman" w:eastAsia="Times New Roman" w:hAnsi="Times New Roman" w:cs="Times New Roman"/>
          <w:sz w:val="24"/>
          <w:szCs w:val="24"/>
          <w:lang w:eastAsia="sk-SK"/>
        </w:rPr>
        <w:t>antidiskriminácii</w:t>
      </w:r>
      <w:proofErr w:type="spellEnd"/>
      <w:r w:rsidRPr="001D6749">
        <w:rPr>
          <w:rFonts w:ascii="Times New Roman" w:eastAsia="Times New Roman" w:hAnsi="Times New Roman" w:cs="Times New Roman"/>
          <w:sz w:val="24"/>
          <w:szCs w:val="24"/>
          <w:lang w:eastAsia="sk-SK"/>
        </w:rPr>
        <w:t>. Analýza má potvrdiť, že je zabezpečená formálna rovnosť (</w:t>
      </w:r>
      <w:proofErr w:type="spellStart"/>
      <w:r w:rsidRPr="001D6749">
        <w:rPr>
          <w:rFonts w:ascii="Times New Roman" w:eastAsia="Times New Roman" w:hAnsi="Times New Roman" w:cs="Times New Roman"/>
          <w:sz w:val="24"/>
          <w:szCs w:val="24"/>
          <w:lang w:eastAsia="sk-SK"/>
        </w:rPr>
        <w:t>de</w:t>
      </w:r>
      <w:proofErr w:type="spellEnd"/>
      <w:r w:rsidRPr="001D6749">
        <w:rPr>
          <w:rFonts w:ascii="Times New Roman" w:eastAsia="Times New Roman" w:hAnsi="Times New Roman" w:cs="Times New Roman"/>
          <w:sz w:val="24"/>
          <w:szCs w:val="24"/>
          <w:lang w:eastAsia="sk-SK"/>
        </w:rPr>
        <w:t xml:space="preserve"> jure) ako aj materiálna rovnosť (</w:t>
      </w:r>
      <w:proofErr w:type="spellStart"/>
      <w:r w:rsidRPr="001D6749">
        <w:rPr>
          <w:rFonts w:ascii="Times New Roman" w:eastAsia="Times New Roman" w:hAnsi="Times New Roman" w:cs="Times New Roman"/>
          <w:sz w:val="24"/>
          <w:szCs w:val="24"/>
          <w:lang w:eastAsia="sk-SK"/>
        </w:rPr>
        <w:t>de</w:t>
      </w:r>
      <w:proofErr w:type="spellEnd"/>
      <w:r w:rsidRPr="001D6749">
        <w:rPr>
          <w:rFonts w:ascii="Times New Roman" w:eastAsia="Times New Roman" w:hAnsi="Times New Roman" w:cs="Times New Roman"/>
          <w:sz w:val="24"/>
          <w:szCs w:val="24"/>
          <w:lang w:eastAsia="sk-SK"/>
        </w:rPr>
        <w:t xml:space="preserve"> facto),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sú chápané ako opatrenia potrebné pre jedincov vyžadujúcich zvýšenú ochranu alebo podporu, ktoré nespôsobujú žiadnu ujmu v právnom postavení jednotlivcov, a ktoré by mali viesť k zníženiu diskriminácie a naplneniu rovnosti.</w:t>
      </w:r>
    </w:p>
    <w:p w14:paraId="46C135FB"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46C135FC"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Hlavné oblasti hodnotenia vplyvu na rovnosť príležitostí:</w:t>
      </w:r>
    </w:p>
    <w:p w14:paraId="46C135FD"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zamestnanosť,</w:t>
      </w:r>
    </w:p>
    <w:p w14:paraId="46C135FE"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prístup k zamestnaniu, </w:t>
      </w:r>
      <w:proofErr w:type="spellStart"/>
      <w:r w:rsidRPr="001D6749">
        <w:rPr>
          <w:rFonts w:ascii="Times New Roman" w:eastAsia="Times New Roman" w:hAnsi="Times New Roman" w:cs="Times New Roman"/>
          <w:sz w:val="24"/>
          <w:szCs w:val="24"/>
          <w:lang w:eastAsia="sk-SK"/>
        </w:rPr>
        <w:t>samozamestnaniu</w:t>
      </w:r>
      <w:proofErr w:type="spellEnd"/>
      <w:r w:rsidRPr="001D6749">
        <w:rPr>
          <w:rFonts w:ascii="Times New Roman" w:eastAsia="Times New Roman" w:hAnsi="Times New Roman" w:cs="Times New Roman"/>
          <w:sz w:val="24"/>
          <w:szCs w:val="24"/>
          <w:lang w:eastAsia="sk-SK"/>
        </w:rPr>
        <w:t xml:space="preserve"> a vykonávaniu povolania,</w:t>
      </w:r>
    </w:p>
    <w:p w14:paraId="46C135FF"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odbornému vzdelávaniu, školeniam,</w:t>
      </w:r>
    </w:p>
    <w:p w14:paraId="46C13600"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pracovné podmienky, prepúšťanie a odmeňovanie,</w:t>
      </w:r>
    </w:p>
    <w:p w14:paraId="46C13601"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členstvo v odborových organizáciách zamestnancov a organizáciách zamestnávateľov,</w:t>
      </w:r>
    </w:p>
    <w:p w14:paraId="46C13602"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sociálna ochrana,</w:t>
      </w:r>
    </w:p>
    <w:p w14:paraId="46C13603"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vzdelávanie,</w:t>
      </w:r>
    </w:p>
    <w:p w14:paraId="46C13604" w14:textId="77777777" w:rsidR="001D6749" w:rsidRPr="001D6749" w:rsidRDefault="001D6749" w:rsidP="001D6749">
      <w:pPr>
        <w:numPr>
          <w:ilvl w:val="0"/>
          <w:numId w:val="3"/>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prístup k tovarom a službám.</w:t>
      </w:r>
    </w:p>
    <w:p w14:paraId="46C13605"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Pri skúmaní </w:t>
      </w:r>
      <w:r w:rsidRPr="001D6749">
        <w:rPr>
          <w:rFonts w:ascii="Times New Roman" w:eastAsia="Times New Roman" w:hAnsi="Times New Roman" w:cs="Times New Roman"/>
          <w:b/>
          <w:sz w:val="24"/>
          <w:szCs w:val="24"/>
          <w:lang w:eastAsia="sk-SK"/>
        </w:rPr>
        <w:t>vplyvov na rodovú rovnosť</w:t>
      </w:r>
      <w:r w:rsidRPr="001D6749">
        <w:rPr>
          <w:rFonts w:ascii="Times New Roman" w:eastAsia="Times New Roman" w:hAnsi="Times New Roman" w:cs="Times New Roman"/>
          <w:sz w:val="24"/>
          <w:szCs w:val="24"/>
          <w:lang w:eastAsia="sk-SK"/>
        </w:rPr>
        <w:t xml:space="preserve"> sa identifikuje, či návrh môže mať odlišný vplyv na ženy a mužov a či podporuje rovnosť medzi ženami a mužmi.</w:t>
      </w:r>
    </w:p>
    <w:p w14:paraId="46C13606"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by mala byť integrovaná do iných analýz s cieľom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rodových vplyvov treba vziať do úvahy existujúce rozdiely medzi mužmi a ženami, ktoré sú relevantné vo vzťahu k danej politike, najmä pokiaľ ide o </w:t>
      </w:r>
    </w:p>
    <w:p w14:paraId="46C13607"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participáciu (zloženie cieľovej skupiny podľa pohlavia, zastúpenie mužov a žien v rozhodovacích procesoch a pod.), </w:t>
      </w:r>
    </w:p>
    <w:p w14:paraId="46C13608"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distribúciu zdrojov (ako napr. času, priestoru, informácií, peňazí resp. finančných prostriedkov, politickej a ekonomickej moci, vzdelávania a odbornej prípravy, práce a profesionálnej kariéry, nových technológií, služieb, bývania, prostriedkov dopravy, voľného času t.j. vo všeobecnosti výhod resp. úžitkov a povinností v súkromnom a verejnom živote) </w:t>
      </w:r>
    </w:p>
    <w:p w14:paraId="46C13609"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normy, hodnoty, postoje a správanie sa, ktoré ovplyvňujú rodové roly,</w:t>
      </w:r>
    </w:p>
    <w:p w14:paraId="46C1360A" w14:textId="77777777" w:rsidR="001D6749" w:rsidRPr="001D6749" w:rsidRDefault="001D6749" w:rsidP="001D6749">
      <w:pPr>
        <w:numPr>
          <w:ilvl w:val="0"/>
          <w:numId w:val="8"/>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práva, ktoré sa vzťahujú k priamej alebo nepriamej diskriminácii na základe pohlavia, ľudské práva.</w:t>
      </w:r>
    </w:p>
    <w:p w14:paraId="46C1360B"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46C1360C"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Rodová analýza znamená porovnanie a zhodnotenie údajov v uvedených oblastiach rozdelených podľa pohlavia, súčasnú situáciu a trendy s očakávaným vývojom, ktorý vyplýva zo zavedenia novej politiky.</w:t>
      </w:r>
    </w:p>
    <w:p w14:paraId="46C1360D" w14:textId="77777777" w:rsidR="001D6749" w:rsidRPr="001D6749" w:rsidRDefault="00F7696B" w:rsidP="001D6749">
      <w:pPr>
        <w:spacing w:after="0" w:line="240" w:lineRule="auto"/>
        <w:ind w:firstLine="5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Uplatňovanie rodového hľadiska (</w:t>
      </w:r>
      <w:proofErr w:type="spellStart"/>
      <w:r w:rsidR="00466488">
        <w:rPr>
          <w:rFonts w:ascii="Times New Roman" w:eastAsia="Times New Roman" w:hAnsi="Times New Roman" w:cs="Times New Roman"/>
          <w:sz w:val="24"/>
          <w:szCs w:val="24"/>
          <w:lang w:eastAsia="sk-SK"/>
        </w:rPr>
        <w:t>g</w:t>
      </w:r>
      <w:r w:rsidR="001D6749" w:rsidRPr="001D6749">
        <w:rPr>
          <w:rFonts w:ascii="Times New Roman" w:eastAsia="Times New Roman" w:hAnsi="Times New Roman" w:cs="Times New Roman"/>
          <w:sz w:val="24"/>
          <w:szCs w:val="24"/>
          <w:lang w:eastAsia="sk-SK"/>
        </w:rPr>
        <w:t>ender</w:t>
      </w:r>
      <w:proofErr w:type="spellEnd"/>
      <w:r w:rsidR="001D6749" w:rsidRPr="001D6749">
        <w:rPr>
          <w:rFonts w:ascii="Times New Roman" w:eastAsia="Times New Roman" w:hAnsi="Times New Roman" w:cs="Times New Roman"/>
          <w:sz w:val="24"/>
          <w:szCs w:val="24"/>
          <w:lang w:eastAsia="sk-SK"/>
        </w:rPr>
        <w:t xml:space="preserve"> </w:t>
      </w:r>
      <w:proofErr w:type="spellStart"/>
      <w:r w:rsidR="001D6749" w:rsidRPr="001D6749">
        <w:rPr>
          <w:rFonts w:ascii="Times New Roman" w:eastAsia="Times New Roman" w:hAnsi="Times New Roman" w:cs="Times New Roman"/>
          <w:sz w:val="24"/>
          <w:szCs w:val="24"/>
          <w:lang w:eastAsia="sk-SK"/>
        </w:rPr>
        <w:t>mainstreaming</w:t>
      </w:r>
      <w:proofErr w:type="spellEnd"/>
      <w:r>
        <w:rPr>
          <w:rFonts w:ascii="Times New Roman" w:eastAsia="Times New Roman" w:hAnsi="Times New Roman" w:cs="Times New Roman"/>
          <w:sz w:val="24"/>
          <w:szCs w:val="24"/>
          <w:lang w:eastAsia="sk-SK"/>
        </w:rPr>
        <w:t>)</w:t>
      </w:r>
      <w:r w:rsidR="001D6749" w:rsidRPr="001D6749">
        <w:rPr>
          <w:rFonts w:ascii="Times New Roman" w:eastAsia="Times New Roman" w:hAnsi="Times New Roman" w:cs="Times New Roman"/>
          <w:sz w:val="24"/>
          <w:szCs w:val="24"/>
          <w:lang w:eastAsia="sk-SK"/>
        </w:rPr>
        <w:t xml:space="preserve"> je záväzkom na úrovni EÚ a znamená, že rodová perspektíva by mala byť integrovaná do všetkých politík na každej úrovni vývoja politík – tvorba, implementácia, monitoring a </w:t>
      </w:r>
      <w:proofErr w:type="spellStart"/>
      <w:r w:rsidR="001D6749" w:rsidRPr="001D6749">
        <w:rPr>
          <w:rFonts w:ascii="Times New Roman" w:eastAsia="Times New Roman" w:hAnsi="Times New Roman" w:cs="Times New Roman"/>
          <w:sz w:val="24"/>
          <w:szCs w:val="24"/>
          <w:lang w:eastAsia="sk-SK"/>
        </w:rPr>
        <w:t>evaluácia</w:t>
      </w:r>
      <w:proofErr w:type="spellEnd"/>
      <w:r w:rsidR="001D6749" w:rsidRPr="001D6749">
        <w:rPr>
          <w:rFonts w:ascii="Times New Roman" w:eastAsia="Times New Roman" w:hAnsi="Times New Roman" w:cs="Times New Roman"/>
          <w:sz w:val="24"/>
          <w:szCs w:val="24"/>
          <w:lang w:eastAsia="sk-SK"/>
        </w:rPr>
        <w:t>. Rodová rovnosť by mala byť podporená v každej politickej oblasti, najmä v oblastiach:</w:t>
      </w:r>
    </w:p>
    <w:p w14:paraId="46C1360E"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vyrovnávania ekonomickej nezávislosti, </w:t>
      </w:r>
    </w:p>
    <w:p w14:paraId="46C1360F"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zosúladenia pracovného, súkromného a rodinného života, </w:t>
      </w:r>
    </w:p>
    <w:p w14:paraId="46C13610"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podpory rovnakej participácii na rozhodovaní, </w:t>
      </w:r>
    </w:p>
    <w:p w14:paraId="46C13611" w14:textId="77777777" w:rsidR="001D6749" w:rsidRPr="001D6749" w:rsidRDefault="001D6749" w:rsidP="001D6749">
      <w:pPr>
        <w:numPr>
          <w:ilvl w:val="0"/>
          <w:numId w:val="7"/>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boja proti rodovo podmienenému násiliu a obchodovaniu s ľuďmi, </w:t>
      </w:r>
    </w:p>
    <w:p w14:paraId="46C13612" w14:textId="77777777" w:rsidR="001D6749" w:rsidRPr="001D6749" w:rsidRDefault="00972E46" w:rsidP="001D6749">
      <w:pPr>
        <w:numPr>
          <w:ilvl w:val="0"/>
          <w:numId w:val="7"/>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eliminácie</w:t>
      </w:r>
      <w:r w:rsidR="001D6749" w:rsidRPr="001D6749">
        <w:rPr>
          <w:rFonts w:ascii="Times New Roman" w:eastAsia="Times New Roman" w:hAnsi="Times New Roman" w:cs="Times New Roman"/>
          <w:sz w:val="24"/>
          <w:szCs w:val="24"/>
          <w:lang w:eastAsia="sk-SK"/>
        </w:rPr>
        <w:t xml:space="preserve"> rodových stereotypov.</w:t>
      </w:r>
    </w:p>
    <w:p w14:paraId="46C13613"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46C13614"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Posúdenie možného vplyvu predkladaného materiálu z </w:t>
      </w:r>
      <w:r w:rsidR="00F7696B">
        <w:rPr>
          <w:rFonts w:ascii="Times New Roman" w:eastAsia="Times New Roman" w:hAnsi="Times New Roman" w:cs="Times New Roman"/>
          <w:sz w:val="24"/>
          <w:szCs w:val="24"/>
          <w:lang w:eastAsia="sk-SK"/>
        </w:rPr>
        <w:t>pohľadu</w:t>
      </w:r>
      <w:r w:rsidRPr="001D6749">
        <w:rPr>
          <w:rFonts w:ascii="Times New Roman" w:eastAsia="Times New Roman" w:hAnsi="Times New Roman" w:cs="Times New Roman"/>
          <w:sz w:val="24"/>
          <w:szCs w:val="24"/>
          <w:lang w:eastAsia="sk-SK"/>
        </w:rPr>
        <w:t xml:space="preserve"> uplatňovania</w:t>
      </w:r>
      <w:r w:rsidR="00F7696B">
        <w:rPr>
          <w:rFonts w:ascii="Times New Roman" w:eastAsia="Times New Roman" w:hAnsi="Times New Roman" w:cs="Times New Roman"/>
          <w:sz w:val="24"/>
          <w:szCs w:val="24"/>
          <w:lang w:eastAsia="sk-SK"/>
        </w:rPr>
        <w:t xml:space="preserve"> rodového hľadiska</w:t>
      </w:r>
      <w:r w:rsidRPr="001D6749">
        <w:rPr>
          <w:rFonts w:ascii="Times New Roman" w:eastAsia="Times New Roman" w:hAnsi="Times New Roman" w:cs="Times New Roman"/>
          <w:sz w:val="24"/>
          <w:szCs w:val="24"/>
          <w:lang w:eastAsia="sk-SK"/>
        </w:rPr>
        <w:t xml:space="preserve"> </w:t>
      </w:r>
      <w:r w:rsidR="00F7696B">
        <w:rPr>
          <w:rFonts w:ascii="Times New Roman" w:eastAsia="Times New Roman" w:hAnsi="Times New Roman" w:cs="Times New Roman"/>
          <w:sz w:val="24"/>
          <w:szCs w:val="24"/>
          <w:lang w:eastAsia="sk-SK"/>
        </w:rPr>
        <w:t>(</w:t>
      </w:r>
      <w:proofErr w:type="spellStart"/>
      <w:r w:rsidRPr="001D6749">
        <w:rPr>
          <w:rFonts w:ascii="Times New Roman" w:eastAsia="Times New Roman" w:hAnsi="Times New Roman" w:cs="Times New Roman"/>
          <w:sz w:val="24"/>
          <w:szCs w:val="24"/>
          <w:lang w:eastAsia="sk-SK"/>
        </w:rPr>
        <w:t>gender</w:t>
      </w:r>
      <w:proofErr w:type="spellEnd"/>
      <w:r w:rsidRPr="001D6749">
        <w:rPr>
          <w:rFonts w:ascii="Times New Roman" w:eastAsia="Times New Roman" w:hAnsi="Times New Roman" w:cs="Times New Roman"/>
          <w:sz w:val="24"/>
          <w:szCs w:val="24"/>
          <w:lang w:eastAsia="sk-SK"/>
        </w:rPr>
        <w:t xml:space="preserve"> </w:t>
      </w:r>
      <w:proofErr w:type="spellStart"/>
      <w:r w:rsidRPr="001D6749">
        <w:rPr>
          <w:rFonts w:ascii="Times New Roman" w:eastAsia="Times New Roman" w:hAnsi="Times New Roman" w:cs="Times New Roman"/>
          <w:sz w:val="24"/>
          <w:szCs w:val="24"/>
          <w:lang w:eastAsia="sk-SK"/>
        </w:rPr>
        <w:t>mainstreamingu</w:t>
      </w:r>
      <w:proofErr w:type="spellEnd"/>
      <w:r w:rsidR="00F7696B">
        <w:rPr>
          <w:rFonts w:ascii="Times New Roman" w:eastAsia="Times New Roman" w:hAnsi="Times New Roman" w:cs="Times New Roman"/>
          <w:sz w:val="24"/>
          <w:szCs w:val="24"/>
          <w:lang w:eastAsia="sk-SK"/>
        </w:rPr>
        <w:t>)</w:t>
      </w:r>
      <w:r w:rsidRPr="001D6749">
        <w:rPr>
          <w:rFonts w:ascii="Times New Roman" w:eastAsia="Times New Roman" w:hAnsi="Times New Roman" w:cs="Times New Roman"/>
          <w:sz w:val="24"/>
          <w:szCs w:val="24"/>
          <w:lang w:eastAsia="sk-SK"/>
        </w:rPr>
        <w:t xml:space="preserve"> znamená preskúmanie, či ženy a muži majú právo slobodne rozvíjať svoje osobné schopnosti a vykonávať slobodný výber možností bez obmedzení, ktoré by predstavovali rodové roly ženy </w:t>
      </w:r>
      <w:r w:rsidR="00972E46">
        <w:rPr>
          <w:rFonts w:ascii="Times New Roman" w:eastAsia="Times New Roman" w:hAnsi="Times New Roman" w:cs="Times New Roman"/>
          <w:sz w:val="24"/>
          <w:szCs w:val="24"/>
          <w:lang w:eastAsia="sk-SK"/>
        </w:rPr>
        <w:t>a muža alebo akýchkoľvek bariér</w:t>
      </w:r>
      <w:r w:rsidRPr="001D6749">
        <w:rPr>
          <w:rFonts w:ascii="Times New Roman" w:eastAsia="Times New Roman" w:hAnsi="Times New Roman" w:cs="Times New Roman"/>
          <w:sz w:val="24"/>
          <w:szCs w:val="24"/>
          <w:lang w:eastAsia="sk-SK"/>
        </w:rPr>
        <w:t xml:space="preserve"> pre účasť na ekonomickom, politickom a sociálnom živote spoločnosti na základe pohlavia. Znamená tiež, že rozdielne správanie, ašpirácie a potreby žien a mužov sú rovnako uznávané, rovnako hodnotené, brané do úvahy a podporované.</w:t>
      </w:r>
    </w:p>
    <w:p w14:paraId="46C13615"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Podobne ako pri analýze vplyvov na prístup k právam, tovarom a službám aj v tomto prípade treba vziať do úvahy špecifické problémy špecifických skupín (napr. mužov a žien), a možné potreby, skúsenosti alebo priority potenciálne ovplyvnených skupín vo vzťahu k predkladanému materiálu. </w:t>
      </w:r>
    </w:p>
    <w:p w14:paraId="46C13616" w14:textId="77777777" w:rsidR="001D6749" w:rsidRPr="001D6749" w:rsidRDefault="001D6749" w:rsidP="001D6749">
      <w:pPr>
        <w:spacing w:after="120" w:line="240" w:lineRule="auto"/>
        <w:ind w:firstLine="360"/>
        <w:jc w:val="both"/>
        <w:rPr>
          <w:rFonts w:ascii="Times New Roman" w:eastAsia="Times New Roman" w:hAnsi="Times New Roman" w:cs="Times New Roman"/>
          <w:b/>
          <w:sz w:val="24"/>
          <w:szCs w:val="24"/>
          <w:lang w:eastAsia="sk-SK"/>
        </w:rPr>
      </w:pPr>
    </w:p>
    <w:p w14:paraId="46C13617" w14:textId="77777777" w:rsidR="001D6749" w:rsidRPr="001F7932" w:rsidRDefault="001D6749" w:rsidP="001F7932">
      <w:pPr>
        <w:numPr>
          <w:ilvl w:val="1"/>
          <w:numId w:val="5"/>
        </w:numPr>
        <w:spacing w:after="0" w:line="240" w:lineRule="auto"/>
        <w:rPr>
          <w:rFonts w:ascii="Times New Roman" w:eastAsia="Times New Roman" w:hAnsi="Times New Roman" w:cs="Times New Roman"/>
          <w:b/>
          <w:sz w:val="24"/>
          <w:szCs w:val="24"/>
          <w:lang w:eastAsia="sk-SK"/>
        </w:rPr>
      </w:pPr>
      <w:r w:rsidRPr="001D6749">
        <w:rPr>
          <w:rFonts w:ascii="Times New Roman" w:eastAsia="Times New Roman" w:hAnsi="Times New Roman" w:cs="Times New Roman"/>
          <w:b/>
          <w:sz w:val="24"/>
          <w:szCs w:val="24"/>
          <w:lang w:eastAsia="sk-SK"/>
        </w:rPr>
        <w:t>Zhodnotenie vplyvov na zamestnanosť a trh práce</w:t>
      </w:r>
    </w:p>
    <w:p w14:paraId="46C13618" w14:textId="77777777" w:rsidR="001D6749" w:rsidRPr="001D6749" w:rsidRDefault="001D6749" w:rsidP="001F7932">
      <w:pPr>
        <w:spacing w:before="240"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prípade zhodnotenia vplyvov na zamestnanosť, ide o zodpovedanie na nasledovné otázky:</w:t>
      </w:r>
    </w:p>
    <w:p w14:paraId="46C13619"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46C1361A"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Uľahčuje návrh vznik nových pracovných miest?</w:t>
      </w:r>
    </w:p>
    <w:p w14:paraId="46C1361B"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Vedie návrh priamo k zániku pracovných miest?</w:t>
      </w:r>
    </w:p>
    <w:p w14:paraId="46C1361C"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dopyt po práci?</w:t>
      </w:r>
    </w:p>
    <w:p w14:paraId="46C1361D"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dosah na fungovanie trhu práce?</w:t>
      </w:r>
    </w:p>
    <w:p w14:paraId="46C1361E"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Má návrh špecifické negatívne dôsledky pre isté skupiny profesií, skupín zamestnancov či živnostníkov?</w:t>
      </w:r>
    </w:p>
    <w:p w14:paraId="46C1361F" w14:textId="77777777" w:rsidR="001D6749" w:rsidRPr="001D6749" w:rsidRDefault="001D6749" w:rsidP="001D6749">
      <w:pPr>
        <w:numPr>
          <w:ilvl w:val="0"/>
          <w:numId w:val="9"/>
        </w:num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Ovplyvňuje návrh špecifické vekové skupiny zamestnancov?</w:t>
      </w:r>
    </w:p>
    <w:p w14:paraId="46C13620"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p>
    <w:p w14:paraId="46C13621" w14:textId="77777777" w:rsidR="001D6749" w:rsidRPr="001D6749" w:rsidRDefault="001D6749" w:rsidP="001D6749">
      <w:pPr>
        <w:spacing w:after="0" w:line="240" w:lineRule="auto"/>
        <w:ind w:firstLine="540"/>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Predkladateľ pri zhodnotení vplyvov na zamestnanosť vezme do úvahy a špecifikuje nasledovné skutočnosti uvedené pri jednotlivých otázkach:</w:t>
      </w:r>
    </w:p>
    <w:p w14:paraId="46C13622"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 </w:t>
      </w:r>
    </w:p>
    <w:p w14:paraId="46C13623" w14:textId="77777777" w:rsidR="001D6749" w:rsidRPr="001D6749" w:rsidRDefault="001D6749" w:rsidP="001D6749">
      <w:pPr>
        <w:spacing w:after="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Otázka č. 1 </w:t>
      </w:r>
      <w:r w:rsidRPr="001D6749">
        <w:rPr>
          <w:rFonts w:ascii="Times New Roman" w:eastAsia="Times New Roman" w:hAnsi="Times New Roman" w:cs="Times New Roman"/>
          <w:i/>
          <w:sz w:val="24"/>
          <w:szCs w:val="24"/>
          <w:lang w:eastAsia="sk-SK"/>
        </w:rPr>
        <w:t>Uľahčuje návrh vznik nových pracovných miest?</w:t>
      </w:r>
    </w:p>
    <w:p w14:paraId="46C13624"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 xml:space="preserve">Návrh môže mať vplyvy na zamestnanosť priamo v dotknutom sektore ale i nepriamo v iných sektoroch. </w:t>
      </w:r>
    </w:p>
    <w:p w14:paraId="46C13625"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14:paraId="46C13626"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Odhad vplyvu návrhu môže byť vyjadrený aj ako rast zamestnanosti v konkrétnych sektoroch. </w:t>
      </w:r>
    </w:p>
    <w:p w14:paraId="46C13627"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14:paraId="46C13628"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Predkladateľ identifikuje, ktoré skupiny budú mať prospech z vytvorenia nových pracovných miest, nakoľko návrh môže mať rôzny vplyv na rôzne kategórie zamestnancov (napr. kvalifikovaní </w:t>
      </w:r>
      <w:proofErr w:type="spellStart"/>
      <w:r w:rsidRPr="001D6749">
        <w:rPr>
          <w:rFonts w:ascii="Times New Roman" w:eastAsia="Times New Roman" w:hAnsi="Times New Roman" w:cs="Times New Roman"/>
          <w:bCs/>
          <w:sz w:val="24"/>
          <w:szCs w:val="24"/>
          <w:lang w:eastAsia="sk-SK"/>
        </w:rPr>
        <w:t>vs</w:t>
      </w:r>
      <w:proofErr w:type="spellEnd"/>
      <w:r w:rsidRPr="001D6749">
        <w:rPr>
          <w:rFonts w:ascii="Times New Roman" w:eastAsia="Times New Roman" w:hAnsi="Times New Roman" w:cs="Times New Roman"/>
          <w:bCs/>
          <w:sz w:val="24"/>
          <w:szCs w:val="24"/>
          <w:lang w:eastAsia="sk-SK"/>
        </w:rPr>
        <w:t xml:space="preserve">. nekvalifikovaní, rôzne profesie, s rôznymi zručnosťami, podľa ekonomickej činnosti) alebo skupiny populácie (ľudia so zdravotným postihnutím alebo dlhodobými zdravotnými problémami, ženy, starší ľudia, mladí ľudia, nezamestnaní, </w:t>
      </w:r>
      <w:proofErr w:type="spellStart"/>
      <w:r w:rsidRPr="001D6749">
        <w:rPr>
          <w:rFonts w:ascii="Times New Roman" w:eastAsia="Times New Roman" w:hAnsi="Times New Roman" w:cs="Times New Roman"/>
          <w:bCs/>
          <w:sz w:val="24"/>
          <w:szCs w:val="24"/>
          <w:lang w:eastAsia="sk-SK"/>
        </w:rPr>
        <w:t>nízkokvalifikovaní</w:t>
      </w:r>
      <w:proofErr w:type="spellEnd"/>
      <w:r w:rsidRPr="001D6749">
        <w:rPr>
          <w:rFonts w:ascii="Times New Roman" w:eastAsia="Times New Roman" w:hAnsi="Times New Roman" w:cs="Times New Roman"/>
          <w:bCs/>
          <w:sz w:val="24"/>
          <w:szCs w:val="24"/>
          <w:lang w:eastAsia="sk-SK"/>
        </w:rPr>
        <w:t>).</w:t>
      </w:r>
    </w:p>
    <w:p w14:paraId="46C13629"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46C1362A"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r w:rsidRPr="001D6749">
        <w:rPr>
          <w:rFonts w:ascii="Times New Roman" w:eastAsia="Times New Roman" w:hAnsi="Times New Roman" w:cs="Times New Roman"/>
          <w:bCs/>
          <w:sz w:val="24"/>
          <w:szCs w:val="24"/>
          <w:lang w:eastAsia="sk-SK"/>
        </w:rPr>
        <w:t xml:space="preserve">Otázka č. 2 </w:t>
      </w:r>
      <w:r w:rsidRPr="001D6749">
        <w:rPr>
          <w:rFonts w:ascii="Times New Roman" w:eastAsia="Times New Roman" w:hAnsi="Times New Roman" w:cs="Times New Roman"/>
          <w:i/>
          <w:sz w:val="24"/>
          <w:szCs w:val="24"/>
          <w:lang w:eastAsia="sk-SK"/>
        </w:rPr>
        <w:t>Vedie návrh priamo k zániku pracovných miest?</w:t>
      </w:r>
    </w:p>
    <w:p w14:paraId="46C1362B"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14:paraId="46C1362C"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Predkladateľ identifikuje, aké dôsledky bude mať zánik pracovných miest. Zánik pracovných miest sa môže prejaviť hromadným prepúšťaním, zvýšeným odchodom do dôchodku, nárastom </w:t>
      </w:r>
      <w:proofErr w:type="spellStart"/>
      <w:r w:rsidRPr="001D6749">
        <w:rPr>
          <w:rFonts w:ascii="Times New Roman" w:eastAsia="Times New Roman" w:hAnsi="Times New Roman" w:cs="Times New Roman"/>
          <w:sz w:val="24"/>
          <w:szCs w:val="24"/>
          <w:lang w:eastAsia="sk-SK"/>
        </w:rPr>
        <w:t>neaktivity</w:t>
      </w:r>
      <w:proofErr w:type="spellEnd"/>
      <w:r w:rsidRPr="001D6749">
        <w:rPr>
          <w:rFonts w:ascii="Times New Roman" w:eastAsia="Times New Roman" w:hAnsi="Times New Roman" w:cs="Times New Roman"/>
          <w:sz w:val="24"/>
          <w:szCs w:val="24"/>
          <w:lang w:eastAsia="sk-SK"/>
        </w:rPr>
        <w:t xml:space="preserve"> alebo zvýšením nezamestnanosti.</w:t>
      </w:r>
    </w:p>
    <w:p w14:paraId="46C1362D"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Je potrebné špecifikovať skupiny zamestnancov a populácie (podobne ako v prípade otázky č. 1), ktoré budú pravdepodobne viac ovplyvnené a poskytnúť odhady rozsahu vplyvu.</w:t>
      </w:r>
    </w:p>
    <w:p w14:paraId="46C1362E"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46C1362F"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3 </w:t>
      </w:r>
      <w:r w:rsidRPr="001D6749">
        <w:rPr>
          <w:rFonts w:ascii="Times New Roman" w:eastAsia="Times New Roman" w:hAnsi="Times New Roman" w:cs="Times New Roman"/>
          <w:i/>
          <w:sz w:val="24"/>
          <w:szCs w:val="24"/>
          <w:lang w:eastAsia="sk-SK"/>
        </w:rPr>
        <w:t>Ovplyvňuje návrh dopyt po práci?</w:t>
      </w:r>
    </w:p>
    <w:p w14:paraId="46C13630"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14:paraId="46C13631"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môže byť popísaný kvantitatívne (ako ponuka pracovných miest, zmeny v počte zamestnancov, odpracované hodiny) a kvalitatívne (typy požadovaných kvalifikácií, profesií).</w:t>
      </w:r>
    </w:p>
    <w:p w14:paraId="46C13632"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14:paraId="46C13633"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14:paraId="46C13634"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46C13635"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4 </w:t>
      </w:r>
      <w:r w:rsidRPr="001D6749">
        <w:rPr>
          <w:rFonts w:ascii="Times New Roman" w:eastAsia="Times New Roman" w:hAnsi="Times New Roman" w:cs="Times New Roman"/>
          <w:i/>
          <w:sz w:val="24"/>
          <w:szCs w:val="24"/>
          <w:lang w:eastAsia="sk-SK"/>
        </w:rPr>
        <w:t>Má návrh dosah na fungovanie trhu práce?</w:t>
      </w:r>
    </w:p>
    <w:p w14:paraId="46C13636"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lastRenderedPageBreak/>
        <w:t>Týka sa makroekonomických dosahov ako je napr. participácia na trhu práce, dlhodobá nezamestnanosť, regionálne rozdiely v mierach zamestnanosti, úroveň a stabilita miezd a ich vzťah k agregátnemu dopytu a ponuke, pracovná produkcia.</w:t>
      </w:r>
    </w:p>
    <w:p w14:paraId="46C13637"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14:paraId="46C13638"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ovplyvniť fungovanie trhu práce priamo (napr. redukovaním bariér pre vstup na trh práce a vykonávanie istých profesií) alebo nepriamo (napr. požadovaním vyššej kvalifikácie pre isté profesie alebo vykonávanie istých úloh).</w:t>
      </w:r>
    </w:p>
    <w:p w14:paraId="46C13639"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46C1363A"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5 </w:t>
      </w:r>
      <w:r w:rsidRPr="001D6749">
        <w:rPr>
          <w:rFonts w:ascii="Times New Roman" w:eastAsia="Times New Roman" w:hAnsi="Times New Roman" w:cs="Times New Roman"/>
          <w:i/>
          <w:sz w:val="24"/>
          <w:szCs w:val="24"/>
          <w:lang w:eastAsia="sk-SK"/>
        </w:rPr>
        <w:t>Má návrh špecifické negatívne dôsledky pre isté skupiny profesií, skupín zamestnancov či živnostníkov?</w:t>
      </w:r>
    </w:p>
    <w:p w14:paraId="46C1363B"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Návrh môže ohrozovať napr. pracovníkov istých profesií favorizovaním špecifických aktivít či technológií.</w:t>
      </w:r>
    </w:p>
    <w:p w14:paraId="46C1363C"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Sociálne dôsledky sa môžu prejaviť na verejnom zdraví (stres a choroby z povolania) alebo sociálnom vylúčení jednotlivcov a skupín.</w:t>
      </w:r>
    </w:p>
    <w:p w14:paraId="46C1363D"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46C1363E" w14:textId="77777777" w:rsidR="001D6749" w:rsidRPr="001D6749" w:rsidRDefault="001D6749" w:rsidP="001D6749">
      <w:pPr>
        <w:spacing w:after="0" w:line="240" w:lineRule="auto"/>
        <w:jc w:val="both"/>
        <w:rPr>
          <w:rFonts w:ascii="Times New Roman" w:eastAsia="Times New Roman" w:hAnsi="Times New Roman" w:cs="Times New Roman"/>
          <w:i/>
          <w:sz w:val="24"/>
          <w:szCs w:val="24"/>
          <w:lang w:eastAsia="sk-SK"/>
        </w:rPr>
      </w:pPr>
      <w:r w:rsidRPr="001D6749">
        <w:rPr>
          <w:rFonts w:ascii="Times New Roman" w:eastAsia="Times New Roman" w:hAnsi="Times New Roman" w:cs="Times New Roman"/>
          <w:bCs/>
          <w:sz w:val="24"/>
          <w:szCs w:val="24"/>
          <w:lang w:eastAsia="sk-SK"/>
        </w:rPr>
        <w:t xml:space="preserve">Otázka č. 6 </w:t>
      </w:r>
      <w:r w:rsidRPr="001D6749">
        <w:rPr>
          <w:rFonts w:ascii="Times New Roman" w:eastAsia="Times New Roman" w:hAnsi="Times New Roman" w:cs="Times New Roman"/>
          <w:i/>
          <w:sz w:val="24"/>
          <w:szCs w:val="24"/>
          <w:lang w:eastAsia="sk-SK"/>
        </w:rPr>
        <w:t>Ovplyvňuje návrh špecifické vekové skupiny zamestnancov?</w:t>
      </w:r>
    </w:p>
    <w:p w14:paraId="46C1363F" w14:textId="77777777" w:rsidR="001D6749" w:rsidRPr="001D6749" w:rsidRDefault="001D6749" w:rsidP="001D6749">
      <w:pPr>
        <w:numPr>
          <w:ilvl w:val="0"/>
          <w:numId w:val="6"/>
        </w:numPr>
        <w:spacing w:after="0" w:line="240" w:lineRule="auto"/>
        <w:ind w:left="284" w:hanging="284"/>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14:paraId="46C13640" w14:textId="77777777" w:rsidR="001D6749" w:rsidRPr="001D6749" w:rsidRDefault="001D6749" w:rsidP="001D6749">
      <w:pPr>
        <w:spacing w:after="0" w:line="240" w:lineRule="auto"/>
        <w:jc w:val="both"/>
        <w:rPr>
          <w:rFonts w:ascii="Times New Roman" w:eastAsia="Times New Roman" w:hAnsi="Times New Roman" w:cs="Times New Roman"/>
          <w:bCs/>
          <w:sz w:val="24"/>
          <w:szCs w:val="24"/>
          <w:lang w:eastAsia="sk-SK"/>
        </w:rPr>
      </w:pPr>
    </w:p>
    <w:p w14:paraId="46C13641" w14:textId="77777777" w:rsidR="001D6749" w:rsidRPr="001D6749" w:rsidRDefault="001D6749" w:rsidP="001D6749">
      <w:pPr>
        <w:spacing w:after="120" w:line="240" w:lineRule="auto"/>
        <w:jc w:val="both"/>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ab/>
        <w:t>Vplyvmi na zamestnanosť je potrebné sa zaoberať najmä pri zmene štruktúry trhu práce.</w:t>
      </w:r>
      <w:r w:rsidRPr="001D6749">
        <w:rPr>
          <w:rFonts w:ascii="Times New Roman" w:eastAsia="Times New Roman" w:hAnsi="Times New Roman" w:cs="Times New Roman"/>
          <w:b/>
          <w:sz w:val="24"/>
          <w:szCs w:val="24"/>
          <w:lang w:eastAsia="sk-SK"/>
        </w:rPr>
        <w:t xml:space="preserve"> </w:t>
      </w:r>
      <w:r w:rsidRPr="001D6749">
        <w:rPr>
          <w:rFonts w:ascii="Times New Roman" w:eastAsia="Times New Roman" w:hAnsi="Times New Roman" w:cs="Times New Roman"/>
          <w:sz w:val="24"/>
          <w:szCs w:val="24"/>
          <w:lang w:eastAsia="sk-SK"/>
        </w:rPr>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14:paraId="46C13642" w14:textId="77777777"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14:paraId="46C13643" w14:textId="77777777" w:rsidR="001D6749" w:rsidRPr="001D6749" w:rsidRDefault="001D6749" w:rsidP="001D6749">
      <w:pPr>
        <w:spacing w:after="0" w:line="240" w:lineRule="auto"/>
        <w:ind w:firstLine="708"/>
        <w:jc w:val="both"/>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t>S cieľom získať predstavu o rozsahu vplyvov na zamestnanosť</w:t>
      </w:r>
      <w:r w:rsidR="003849C7">
        <w:rPr>
          <w:rFonts w:ascii="Times New Roman" w:eastAsia="Times New Roman" w:hAnsi="Times New Roman" w:cs="Times New Roman"/>
          <w:bCs/>
          <w:sz w:val="24"/>
          <w:szCs w:val="20"/>
          <w:lang w:eastAsia="sk-SK"/>
        </w:rPr>
        <w:t xml:space="preserve"> v niektorých prípadoch môže byť</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dôležité definovať počet podnik</w:t>
      </w:r>
      <w:r w:rsidR="003849C7">
        <w:rPr>
          <w:rFonts w:ascii="Times New Roman" w:eastAsia="Times New Roman" w:hAnsi="Times New Roman" w:cs="Times New Roman"/>
          <w:bCs/>
          <w:sz w:val="24"/>
          <w:szCs w:val="20"/>
          <w:lang w:eastAsia="sk-SK"/>
        </w:rPr>
        <w:t>ov vrátane živnostníkov</w:t>
      </w:r>
      <w:r w:rsidRPr="001D6749">
        <w:rPr>
          <w:rFonts w:ascii="Times New Roman" w:eastAsia="Times New Roman" w:hAnsi="Times New Roman" w:cs="Times New Roman"/>
          <w:bCs/>
          <w:sz w:val="24"/>
          <w:szCs w:val="20"/>
          <w:lang w:eastAsia="sk-SK"/>
        </w:rPr>
        <w:t>, ktor</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xml:space="preserve"> budú v skutočnosti ovplyvnen</w:t>
      </w:r>
      <w:r w:rsidR="003849C7">
        <w:rPr>
          <w:rFonts w:ascii="Times New Roman" w:eastAsia="Times New Roman" w:hAnsi="Times New Roman" w:cs="Times New Roman"/>
          <w:bCs/>
          <w:sz w:val="24"/>
          <w:szCs w:val="20"/>
          <w:lang w:eastAsia="sk-SK"/>
        </w:rPr>
        <w:t>í</w:t>
      </w:r>
      <w:r w:rsidRPr="001D6749">
        <w:rPr>
          <w:rFonts w:ascii="Times New Roman" w:eastAsia="Times New Roman" w:hAnsi="Times New Roman" w:cs="Times New Roman"/>
          <w:bCs/>
          <w:sz w:val="24"/>
          <w:szCs w:val="20"/>
          <w:lang w:eastAsia="sk-SK"/>
        </w:rPr>
        <w:t>. Okrem informácií o samotnom počte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 xml:space="preserve">je </w:t>
      </w:r>
      <w:r w:rsidR="003849C7">
        <w:rPr>
          <w:rFonts w:ascii="Times New Roman" w:eastAsia="Times New Roman" w:hAnsi="Times New Roman" w:cs="Times New Roman"/>
          <w:bCs/>
          <w:sz w:val="24"/>
          <w:szCs w:val="20"/>
          <w:lang w:eastAsia="sk-SK"/>
        </w:rPr>
        <w:t>potrebné</w:t>
      </w:r>
      <w:r w:rsidRPr="001D6749">
        <w:rPr>
          <w:rFonts w:ascii="Times New Roman" w:eastAsia="Times New Roman" w:hAnsi="Times New Roman" w:cs="Times New Roman"/>
          <w:bCs/>
          <w:sz w:val="24"/>
          <w:szCs w:val="20"/>
          <w:lang w:eastAsia="sk-SK"/>
        </w:rPr>
        <w:t xml:space="preserve"> disponovať aj informáciami o veľkostnej kategórii (podľa počtu </w:t>
      </w:r>
      <w:r w:rsidR="003849C7" w:rsidRPr="001D6749">
        <w:rPr>
          <w:rFonts w:ascii="Times New Roman" w:eastAsia="Times New Roman" w:hAnsi="Times New Roman" w:cs="Times New Roman"/>
          <w:bCs/>
          <w:sz w:val="24"/>
          <w:szCs w:val="20"/>
          <w:lang w:eastAsia="sk-SK"/>
        </w:rPr>
        <w:t>zamestnan</w:t>
      </w:r>
      <w:r w:rsidR="003849C7">
        <w:rPr>
          <w:rFonts w:ascii="Times New Roman" w:eastAsia="Times New Roman" w:hAnsi="Times New Roman" w:cs="Times New Roman"/>
          <w:bCs/>
          <w:sz w:val="24"/>
          <w:szCs w:val="20"/>
          <w:lang w:eastAsia="sk-SK"/>
        </w:rPr>
        <w:t>ých</w:t>
      </w:r>
      <w:r w:rsidRPr="001D6749">
        <w:rPr>
          <w:rFonts w:ascii="Times New Roman" w:eastAsia="Times New Roman" w:hAnsi="Times New Roman" w:cs="Times New Roman"/>
          <w:bCs/>
          <w:sz w:val="24"/>
          <w:szCs w:val="20"/>
          <w:lang w:eastAsia="sk-SK"/>
        </w:rPr>
        <w:t>) ovplyvnených podnik</w:t>
      </w:r>
      <w:r w:rsidR="003849C7">
        <w:rPr>
          <w:rFonts w:ascii="Times New Roman" w:eastAsia="Times New Roman" w:hAnsi="Times New Roman" w:cs="Times New Roman"/>
          <w:bCs/>
          <w:sz w:val="24"/>
          <w:szCs w:val="20"/>
          <w:lang w:eastAsia="sk-SK"/>
        </w:rPr>
        <w:t>ov</w:t>
      </w:r>
      <w:r w:rsidR="00227A26">
        <w:rPr>
          <w:rFonts w:ascii="Times New Roman" w:eastAsia="Times New Roman" w:hAnsi="Times New Roman" w:cs="Times New Roman"/>
          <w:bCs/>
          <w:sz w:val="24"/>
          <w:szCs w:val="20"/>
          <w:lang w:eastAsia="sk-SK"/>
        </w:rPr>
        <w:t xml:space="preserve"> </w:t>
      </w:r>
      <w:r w:rsidRPr="001D6749">
        <w:rPr>
          <w:rFonts w:ascii="Times New Roman" w:eastAsia="Times New Roman" w:hAnsi="Times New Roman" w:cs="Times New Roman"/>
          <w:bCs/>
          <w:sz w:val="24"/>
          <w:szCs w:val="20"/>
          <w:lang w:eastAsia="sk-SK"/>
        </w:rPr>
        <w:t>(</w:t>
      </w:r>
      <w:proofErr w:type="spellStart"/>
      <w:r w:rsidRPr="001D6749">
        <w:rPr>
          <w:rFonts w:ascii="Times New Roman" w:eastAsia="Times New Roman" w:hAnsi="Times New Roman" w:cs="Times New Roman"/>
          <w:bCs/>
          <w:sz w:val="24"/>
          <w:szCs w:val="20"/>
          <w:lang w:eastAsia="sk-SK"/>
        </w:rPr>
        <w:t>mikro</w:t>
      </w:r>
      <w:proofErr w:type="spellEnd"/>
      <w:r w:rsidRPr="001D6749">
        <w:rPr>
          <w:rFonts w:ascii="Times New Roman" w:eastAsia="Times New Roman" w:hAnsi="Times New Roman" w:cs="Times New Roman"/>
          <w:bCs/>
          <w:sz w:val="24"/>
          <w:szCs w:val="20"/>
          <w:lang w:eastAsia="sk-SK"/>
        </w:rPr>
        <w:t>, malý, stredný a veľký podnik).</w:t>
      </w:r>
    </w:p>
    <w:p w14:paraId="46C13644" w14:textId="77777777" w:rsidR="001D6749" w:rsidRPr="001D6749" w:rsidRDefault="001D6749" w:rsidP="001D6749">
      <w:pPr>
        <w:spacing w:after="0" w:line="240" w:lineRule="auto"/>
        <w:ind w:firstLine="708"/>
        <w:jc w:val="both"/>
        <w:rPr>
          <w:rFonts w:ascii="Times New Roman" w:eastAsia="Times New Roman" w:hAnsi="Times New Roman" w:cs="Times New Roman"/>
          <w:bCs/>
          <w:sz w:val="24"/>
          <w:szCs w:val="20"/>
          <w:u w:val="single"/>
          <w:lang w:eastAsia="sk-SK"/>
        </w:rPr>
      </w:pPr>
      <w:r w:rsidRPr="001D6749">
        <w:rPr>
          <w:rFonts w:ascii="Times New Roman" w:eastAsia="Times New Roman" w:hAnsi="Times New Roman" w:cs="Times New Roman"/>
          <w:bCs/>
          <w:sz w:val="24"/>
          <w:szCs w:val="20"/>
          <w:lang w:eastAsia="sk-SK"/>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r w:rsidRPr="001D6749">
        <w:rPr>
          <w:rFonts w:ascii="Times New Roman" w:eastAsia="Times New Roman" w:hAnsi="Times New Roman" w:cs="Times New Roman"/>
          <w:bCs/>
          <w:sz w:val="24"/>
          <w:szCs w:val="20"/>
          <w:lang w:eastAsia="sk-SK"/>
        </w:rPr>
        <w:fldChar w:fldCharType="begin"/>
      </w:r>
      <w:r w:rsidRPr="001D6749">
        <w:rPr>
          <w:rFonts w:ascii="Times New Roman" w:eastAsia="Times New Roman" w:hAnsi="Times New Roman" w:cs="Times New Roman"/>
          <w:bCs/>
          <w:sz w:val="24"/>
          <w:szCs w:val="20"/>
          <w:lang w:eastAsia="sk-SK"/>
        </w:rPr>
        <w:instrText xml:space="preserve"> HYPERLINK "http://portal.statistics.sk/showdoc.do?docid=1924" </w:instrText>
      </w:r>
      <w:r w:rsidRPr="001D6749">
        <w:rPr>
          <w:rFonts w:ascii="Times New Roman" w:eastAsia="Times New Roman" w:hAnsi="Times New Roman" w:cs="Times New Roman"/>
          <w:bCs/>
          <w:sz w:val="24"/>
          <w:szCs w:val="20"/>
          <w:lang w:eastAsia="sk-SK"/>
        </w:rPr>
        <w:fldChar w:fldCharType="separate"/>
      </w:r>
      <w:r w:rsidRPr="001D6749">
        <w:rPr>
          <w:rFonts w:ascii="Times New Roman" w:eastAsia="Times New Roman" w:hAnsi="Times New Roman" w:cs="Times New Roman"/>
          <w:bCs/>
          <w:sz w:val="24"/>
          <w:szCs w:val="20"/>
          <w:u w:val="single"/>
          <w:lang w:eastAsia="sk-SK"/>
        </w:rPr>
        <w:t xml:space="preserve">http://portal.statistics.sk/showdoc.do?docid=1924. </w:t>
      </w:r>
    </w:p>
    <w:p w14:paraId="46C13645" w14:textId="77777777" w:rsidR="001D6749" w:rsidRPr="001D6749" w:rsidRDefault="001D6749" w:rsidP="001D6749">
      <w:pPr>
        <w:spacing w:after="0" w:line="240" w:lineRule="auto"/>
        <w:outlineLvl w:val="0"/>
        <w:rPr>
          <w:rFonts w:ascii="Times New Roman" w:eastAsia="Times New Roman" w:hAnsi="Times New Roman" w:cs="Times New Roman"/>
          <w:bCs/>
          <w:sz w:val="24"/>
          <w:szCs w:val="20"/>
          <w:lang w:eastAsia="sk-SK"/>
        </w:rPr>
      </w:pPr>
      <w:r w:rsidRPr="001D6749">
        <w:rPr>
          <w:rFonts w:ascii="Times New Roman" w:eastAsia="Times New Roman" w:hAnsi="Times New Roman" w:cs="Times New Roman"/>
          <w:bCs/>
          <w:sz w:val="24"/>
          <w:szCs w:val="20"/>
          <w:lang w:eastAsia="sk-SK"/>
        </w:rPr>
        <w:fldChar w:fldCharType="end"/>
      </w:r>
      <w:r w:rsidRPr="001D6749">
        <w:rPr>
          <w:rFonts w:ascii="Times New Roman" w:eastAsia="Times New Roman" w:hAnsi="Times New Roman" w:cs="Times New Roman"/>
          <w:b/>
          <w:sz w:val="24"/>
          <w:szCs w:val="20"/>
          <w:lang w:eastAsia="sk-SK"/>
        </w:rPr>
        <w:t xml:space="preserve"> </w:t>
      </w:r>
    </w:p>
    <w:p w14:paraId="46C13646" w14:textId="77777777" w:rsidR="00CB3623" w:rsidRDefault="00CB3623"/>
    <w:sectPr w:rsidR="00CB3623" w:rsidSect="00CD4982">
      <w:headerReference w:type="default" r:id="rId11"/>
      <w:footerReference w:type="default" r:id="rId12"/>
      <w:pgSz w:w="11906" w:h="16838"/>
      <w:pgMar w:top="1134" w:right="1418" w:bottom="1134" w:left="1418"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38188" w14:textId="77777777" w:rsidR="00835E69" w:rsidRDefault="00835E69" w:rsidP="001D6749">
      <w:pPr>
        <w:spacing w:after="0" w:line="240" w:lineRule="auto"/>
      </w:pPr>
      <w:r>
        <w:separator/>
      </w:r>
    </w:p>
  </w:endnote>
  <w:endnote w:type="continuationSeparator" w:id="0">
    <w:p w14:paraId="0EAD4C94" w14:textId="77777777" w:rsidR="00835E69" w:rsidRDefault="00835E69" w:rsidP="001D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02475"/>
      <w:docPartObj>
        <w:docPartGallery w:val="Page Numbers (Bottom of Page)"/>
        <w:docPartUnique/>
      </w:docPartObj>
    </w:sdtPr>
    <w:sdtEndPr>
      <w:rPr>
        <w:rFonts w:ascii="Times New Roman" w:hAnsi="Times New Roman" w:cs="Times New Roman"/>
      </w:rPr>
    </w:sdtEndPr>
    <w:sdtContent>
      <w:p w14:paraId="46C1364C" w14:textId="77777777" w:rsidR="001D6749" w:rsidRPr="001D6749" w:rsidRDefault="001D6749">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F5336D">
          <w:rPr>
            <w:rFonts w:ascii="Times New Roman" w:hAnsi="Times New Roman" w:cs="Times New Roman"/>
            <w:noProof/>
          </w:rPr>
          <w:t>3</w:t>
        </w:r>
        <w:r w:rsidRPr="001D6749">
          <w:rPr>
            <w:rFonts w:ascii="Times New Roman" w:hAnsi="Times New Roman" w:cs="Times New Roman"/>
          </w:rPr>
          <w:fldChar w:fldCharType="end"/>
        </w:r>
      </w:p>
    </w:sdtContent>
  </w:sdt>
  <w:p w14:paraId="46C1364D" w14:textId="77777777" w:rsidR="001D6749" w:rsidRDefault="001D674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3ABB" w14:textId="77777777" w:rsidR="00835E69" w:rsidRDefault="00835E69" w:rsidP="001D6749">
      <w:pPr>
        <w:spacing w:after="0" w:line="240" w:lineRule="auto"/>
      </w:pPr>
      <w:r>
        <w:separator/>
      </w:r>
    </w:p>
  </w:footnote>
  <w:footnote w:type="continuationSeparator" w:id="0">
    <w:p w14:paraId="3C915F7F" w14:textId="77777777" w:rsidR="00835E69" w:rsidRDefault="00835E69" w:rsidP="001D6749">
      <w:pPr>
        <w:spacing w:after="0" w:line="240" w:lineRule="auto"/>
      </w:pPr>
      <w:r>
        <w:continuationSeparator/>
      </w:r>
    </w:p>
  </w:footnote>
  <w:footnote w:id="1">
    <w:p w14:paraId="46C1364E" w14:textId="77777777" w:rsidR="001D6749" w:rsidRPr="00227A26" w:rsidRDefault="001D6749" w:rsidP="001F7932">
      <w:pPr>
        <w:spacing w:after="120" w:line="240" w:lineRule="auto"/>
        <w:jc w:val="both"/>
        <w:rPr>
          <w:rFonts w:ascii="Times New Roman" w:hAnsi="Times New Roman" w:cs="Times New Roman"/>
          <w:bCs/>
        </w:rPr>
      </w:pPr>
      <w:r w:rsidRPr="00227A26">
        <w:rPr>
          <w:rStyle w:val="Odkaznapoznmkupodiarou"/>
          <w:rFonts w:ascii="Times New Roman" w:hAnsi="Times New Roman" w:cs="Times New Roman"/>
          <w:sz w:val="20"/>
        </w:rPr>
        <w:footnoteRef/>
      </w:r>
      <w:r w:rsidRPr="00227A26">
        <w:rPr>
          <w:rFonts w:ascii="Times New Roman" w:hAnsi="Times New Roman" w:cs="Times New Roman"/>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w:t>
      </w:r>
      <w:proofErr w:type="spellStart"/>
      <w:r w:rsidRPr="00227A26">
        <w:rPr>
          <w:rFonts w:ascii="Times New Roman" w:hAnsi="Times New Roman" w:cs="Times New Roman"/>
          <w:sz w:val="20"/>
        </w:rPr>
        <w:t>marginalizovaní</w:t>
      </w:r>
      <w:proofErr w:type="spellEnd"/>
      <w:r w:rsidRPr="00227A26">
        <w:rPr>
          <w:rFonts w:ascii="Times New Roman" w:hAnsi="Times New Roman" w:cs="Times New Roman"/>
          <w:sz w:val="20"/>
        </w:rPr>
        <w:t xml:space="preserve"> a vylúčení z účasti na aktivitách (ekonomických, sociálnych a kultúrnych), ktoré sú bežné pre ostatných ľudí a ich prístup k základným právam môže byť obmedzený. Sociálna </w:t>
      </w:r>
      <w:proofErr w:type="spellStart"/>
      <w:r w:rsidRPr="00227A26">
        <w:rPr>
          <w:rFonts w:ascii="Times New Roman" w:hAnsi="Times New Roman" w:cs="Times New Roman"/>
          <w:sz w:val="20"/>
        </w:rPr>
        <w:t>exklúzia</w:t>
      </w:r>
      <w:proofErr w:type="spellEnd"/>
      <w:r w:rsidRPr="00227A26">
        <w:rPr>
          <w:rFonts w:ascii="Times New Roman" w:hAnsi="Times New Roman" w:cs="Times New Roman"/>
          <w:sz w:val="20"/>
        </w:rPr>
        <w:t xml:space="preserve"> je proces, ku ktorému prichádza v dôsledku chudoby, nedostatku príležitostí alebo diskriminácie a prostredníctvom ktorého sú jednotlivci a rodiny vytláčaní na okraj spoločnosti. Znamená obmedzený prístup k zamestnaniu, príjmu, vzdelávaniu, ako aj k sociálnym a </w:t>
      </w:r>
      <w:proofErr w:type="spellStart"/>
      <w:r w:rsidRPr="00227A26">
        <w:rPr>
          <w:rFonts w:ascii="Times New Roman" w:hAnsi="Times New Roman" w:cs="Times New Roman"/>
          <w:sz w:val="20"/>
        </w:rPr>
        <w:t>komunitným</w:t>
      </w:r>
      <w:proofErr w:type="spellEnd"/>
      <w:r w:rsidRPr="00227A26">
        <w:rPr>
          <w:rFonts w:ascii="Times New Roman" w:hAnsi="Times New Roman" w:cs="Times New Roman"/>
          <w:sz w:val="20"/>
        </w:rPr>
        <w:t xml:space="preserve"> sieťam.</w:t>
      </w:r>
    </w:p>
  </w:footnote>
  <w:footnote w:id="2">
    <w:p w14:paraId="46C1364F" w14:textId="77777777" w:rsidR="001D6749" w:rsidRDefault="001D6749" w:rsidP="001D6749">
      <w:pPr>
        <w:pStyle w:val="Textpoznmkypodiarou"/>
      </w:pPr>
      <w:r w:rsidRPr="00227A26">
        <w:rPr>
          <w:rStyle w:val="Odkaznapoznmkupodiarou"/>
          <w:rFonts w:ascii="Times New Roman" w:hAnsi="Times New Roman" w:cs="Times New Roman"/>
        </w:rPr>
        <w:footnoteRef/>
      </w:r>
      <w:r w:rsidRPr="00227A26">
        <w:rPr>
          <w:rFonts w:ascii="Times New Roman" w:hAnsi="Times New Roman" w:cs="Times New Roman"/>
        </w:rPr>
        <w:t xml:space="preserve"> </w:t>
      </w:r>
      <w:r w:rsidRPr="00227A26">
        <w:rPr>
          <w:rFonts w:ascii="Times New Roman" w:hAnsi="Times New Roman" w:cs="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1364B" w14:textId="77777777" w:rsidR="001D6749" w:rsidRPr="00CD4982" w:rsidRDefault="001D6749" w:rsidP="00CD4982">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1D6749">
      <w:rPr>
        <w:rFonts w:ascii="Times New Roman" w:eastAsia="Times New Roman" w:hAnsi="Times New Roman" w:cs="Times New Roman"/>
        <w:sz w:val="24"/>
        <w:szCs w:val="24"/>
        <w:lang w:eastAsia="sk-SK"/>
      </w:rPr>
      <w:t>Príloha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5D6"/>
    <w:multiLevelType w:val="hybridMultilevel"/>
    <w:tmpl w:val="EE04C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0"/>
  </w:num>
  <w:num w:numId="5">
    <w:abstractNumId w:val="8"/>
  </w:num>
  <w:num w:numId="6">
    <w:abstractNumId w:val="11"/>
  </w:num>
  <w:num w:numId="7">
    <w:abstractNumId w:val="0"/>
  </w:num>
  <w:num w:numId="8">
    <w:abstractNumId w:val="9"/>
  </w:num>
  <w:num w:numId="9">
    <w:abstractNumId w:val="4"/>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D"/>
    <w:rsid w:val="000132FA"/>
    <w:rsid w:val="000235FF"/>
    <w:rsid w:val="00076704"/>
    <w:rsid w:val="0016746D"/>
    <w:rsid w:val="001D6749"/>
    <w:rsid w:val="001F7932"/>
    <w:rsid w:val="00206767"/>
    <w:rsid w:val="00227A26"/>
    <w:rsid w:val="00241A3B"/>
    <w:rsid w:val="00256FFC"/>
    <w:rsid w:val="00295680"/>
    <w:rsid w:val="00337B5D"/>
    <w:rsid w:val="00357E2A"/>
    <w:rsid w:val="003849C7"/>
    <w:rsid w:val="00457735"/>
    <w:rsid w:val="00466488"/>
    <w:rsid w:val="0046666C"/>
    <w:rsid w:val="004713E8"/>
    <w:rsid w:val="004C03E5"/>
    <w:rsid w:val="006039BA"/>
    <w:rsid w:val="00633EE2"/>
    <w:rsid w:val="00697C65"/>
    <w:rsid w:val="00835E69"/>
    <w:rsid w:val="008A3F4C"/>
    <w:rsid w:val="008C4C0E"/>
    <w:rsid w:val="008F748F"/>
    <w:rsid w:val="009424EB"/>
    <w:rsid w:val="00972E46"/>
    <w:rsid w:val="00977F24"/>
    <w:rsid w:val="009A208D"/>
    <w:rsid w:val="009C4B17"/>
    <w:rsid w:val="00AB56D8"/>
    <w:rsid w:val="00AC4410"/>
    <w:rsid w:val="00B03301"/>
    <w:rsid w:val="00B73ECC"/>
    <w:rsid w:val="00B9356F"/>
    <w:rsid w:val="00BC6C65"/>
    <w:rsid w:val="00BD2C95"/>
    <w:rsid w:val="00C04D5A"/>
    <w:rsid w:val="00C376C7"/>
    <w:rsid w:val="00CB3623"/>
    <w:rsid w:val="00CD4982"/>
    <w:rsid w:val="00DF71E9"/>
    <w:rsid w:val="00E62BAD"/>
    <w:rsid w:val="00ED215D"/>
    <w:rsid w:val="00F03DE5"/>
    <w:rsid w:val="00F05D4D"/>
    <w:rsid w:val="00F5336D"/>
    <w:rsid w:val="00F769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1D674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D6749"/>
    <w:rPr>
      <w:sz w:val="20"/>
      <w:szCs w:val="20"/>
    </w:rPr>
  </w:style>
  <w:style w:type="character" w:styleId="Odkaznapoznmkupodiarou">
    <w:name w:val="footnote reference"/>
    <w:aliases w:val="Footnote symbol,Footnote reference number"/>
    <w:semiHidden/>
    <w:unhideWhenUsed/>
    <w:rsid w:val="001D6749"/>
    <w:rPr>
      <w:vertAlign w:val="superscript"/>
    </w:rPr>
  </w:style>
  <w:style w:type="paragraph" w:styleId="Hlavika">
    <w:name w:val="header"/>
    <w:basedOn w:val="Normlny"/>
    <w:link w:val="HlavikaChar"/>
    <w:uiPriority w:val="99"/>
    <w:unhideWhenUsed/>
    <w:rsid w:val="001D674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D6749"/>
  </w:style>
  <w:style w:type="paragraph" w:styleId="Pta">
    <w:name w:val="footer"/>
    <w:basedOn w:val="Normlny"/>
    <w:link w:val="PtaChar"/>
    <w:uiPriority w:val="99"/>
    <w:unhideWhenUsed/>
    <w:rsid w:val="001D6749"/>
    <w:pPr>
      <w:tabs>
        <w:tab w:val="center" w:pos="4536"/>
        <w:tab w:val="right" w:pos="9072"/>
      </w:tabs>
      <w:spacing w:after="0" w:line="240" w:lineRule="auto"/>
    </w:pPr>
  </w:style>
  <w:style w:type="character" w:customStyle="1" w:styleId="PtaChar">
    <w:name w:val="Päta Char"/>
    <w:basedOn w:val="Predvolenpsmoodseku"/>
    <w:link w:val="Pta"/>
    <w:uiPriority w:val="99"/>
    <w:rsid w:val="001D6749"/>
  </w:style>
  <w:style w:type="character" w:styleId="Odkaznakomentr">
    <w:name w:val="annotation reference"/>
    <w:basedOn w:val="Predvolenpsmoodseku"/>
    <w:uiPriority w:val="99"/>
    <w:semiHidden/>
    <w:unhideWhenUsed/>
    <w:rsid w:val="00CD4982"/>
    <w:rPr>
      <w:sz w:val="16"/>
      <w:szCs w:val="16"/>
    </w:rPr>
  </w:style>
  <w:style w:type="paragraph" w:styleId="Textkomentra">
    <w:name w:val="annotation text"/>
    <w:basedOn w:val="Normlny"/>
    <w:link w:val="TextkomentraChar"/>
    <w:uiPriority w:val="99"/>
    <w:semiHidden/>
    <w:unhideWhenUsed/>
    <w:rsid w:val="00CD498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semiHidden/>
    <w:rsid w:val="00CD4982"/>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CD49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D4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D773899F4ECE4898114C1A4F157EFF" ma:contentTypeVersion="10" ma:contentTypeDescription="Umožňuje vytvoriť nový dokument." ma:contentTypeScope="" ma:versionID="88dcd89d3399a0f48450d3bc27cafcfe">
  <xsd:schema xmlns:xsd="http://www.w3.org/2001/XMLSchema" xmlns:xs="http://www.w3.org/2001/XMLSchema" xmlns:p="http://schemas.microsoft.com/office/2006/metadata/properties" targetNamespace="http://schemas.microsoft.com/office/2006/metadata/properties" ma:root="true" ma:fieldsID="dc03bc20b3b442f8046c3eea305e14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7413B2-E398-4F20-92FF-E8513CC9E57F}">
  <ds:schemaRefs>
    <ds:schemaRef ds:uri="http://schemas.microsoft.com/office/2006/metadata/properties"/>
  </ds:schemaRefs>
</ds:datastoreItem>
</file>

<file path=customXml/itemProps2.xml><?xml version="1.0" encoding="utf-8"?>
<ds:datastoreItem xmlns:ds="http://schemas.openxmlformats.org/officeDocument/2006/customXml" ds:itemID="{9CA184FF-496B-42CD-BA49-BCB395DFDDD6}">
  <ds:schemaRefs>
    <ds:schemaRef ds:uri="http://schemas.microsoft.com/sharepoint/v3/contenttype/forms"/>
  </ds:schemaRefs>
</ds:datastoreItem>
</file>

<file path=customXml/itemProps3.xml><?xml version="1.0" encoding="utf-8"?>
<ds:datastoreItem xmlns:ds="http://schemas.openxmlformats.org/officeDocument/2006/customXml" ds:itemID="{A50EEE8C-7EE2-41B3-AB71-49300FF26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5669</Words>
  <Characters>32319</Characters>
  <Application>Microsoft Office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Dušan Ťažký</cp:lastModifiedBy>
  <cp:revision>3</cp:revision>
  <dcterms:created xsi:type="dcterms:W3CDTF">2017-06-16T11:37:00Z</dcterms:created>
  <dcterms:modified xsi:type="dcterms:W3CDTF">2017-06-19T07:26:00Z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0x010100B4D773899F4ECE4898114C1A4F157EFF</vt:lpwstr>
  </property>
</Properties>
</file>