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426" w:rsidRDefault="00A23426" w:rsidP="0072145B">
      <w:pPr>
        <w:spacing w:after="200"/>
        <w:jc w:val="center"/>
        <w:rPr>
          <w:b/>
        </w:rPr>
      </w:pPr>
      <w:r>
        <w:rPr>
          <w:b/>
        </w:rPr>
        <w:t>(Návrh)</w:t>
      </w:r>
    </w:p>
    <w:p w:rsidR="00831EB6" w:rsidRPr="00D77CC4" w:rsidRDefault="00831EB6" w:rsidP="0072145B">
      <w:pPr>
        <w:spacing w:after="200"/>
        <w:jc w:val="center"/>
        <w:rPr>
          <w:b/>
        </w:rPr>
      </w:pPr>
      <w:r w:rsidRPr="00D77CC4">
        <w:rPr>
          <w:b/>
        </w:rPr>
        <w:t>VYHLÁŠKA</w:t>
      </w:r>
    </w:p>
    <w:p w:rsidR="00831EB6" w:rsidRPr="00D77CC4" w:rsidRDefault="00831EB6" w:rsidP="0072145B">
      <w:pPr>
        <w:spacing w:after="200"/>
        <w:jc w:val="center"/>
        <w:rPr>
          <w:b/>
        </w:rPr>
      </w:pPr>
      <w:r w:rsidRPr="00D77CC4">
        <w:rPr>
          <w:b/>
        </w:rPr>
        <w:t>Ministerstva školstva, vedy, výskumu a športu Slovenskej republiky</w:t>
      </w:r>
    </w:p>
    <w:p w:rsidR="00831EB6" w:rsidRPr="00FB66C9" w:rsidRDefault="00831EB6" w:rsidP="0072145B">
      <w:pPr>
        <w:spacing w:after="200"/>
        <w:jc w:val="center"/>
      </w:pPr>
      <w:r w:rsidRPr="00FB66C9">
        <w:t>z</w:t>
      </w:r>
      <w:r>
        <w:t xml:space="preserve"> ... </w:t>
      </w:r>
      <w:r w:rsidRPr="00FB66C9">
        <w:t>201</w:t>
      </w:r>
      <w:r>
        <w:t>7</w:t>
      </w:r>
      <w:r w:rsidRPr="00FB66C9">
        <w:t>,</w:t>
      </w:r>
    </w:p>
    <w:p w:rsidR="00831EB6" w:rsidRPr="00D77CC4" w:rsidRDefault="00831EB6" w:rsidP="0072145B">
      <w:pPr>
        <w:spacing w:after="200"/>
        <w:jc w:val="center"/>
        <w:rPr>
          <w:b/>
        </w:rPr>
      </w:pPr>
      <w:r w:rsidRPr="00D77CC4">
        <w:rPr>
          <w:b/>
        </w:rPr>
        <w:t xml:space="preserve">ktorou sa </w:t>
      </w:r>
      <w:r>
        <w:rPr>
          <w:b/>
        </w:rPr>
        <w:t>ustanovuje postup pri vykonaní doplňujúcej skúšky</w:t>
      </w:r>
      <w:r w:rsidRPr="00D77CC4">
        <w:rPr>
          <w:b/>
        </w:rPr>
        <w:t xml:space="preserve"> </w:t>
      </w:r>
    </w:p>
    <w:p w:rsidR="00831EB6" w:rsidRDefault="00831EB6" w:rsidP="0072145B">
      <w:pPr>
        <w:spacing w:after="200"/>
      </w:pPr>
    </w:p>
    <w:p w:rsidR="00831EB6" w:rsidRDefault="00831EB6" w:rsidP="0072145B">
      <w:pPr>
        <w:spacing w:after="200"/>
        <w:jc w:val="both"/>
      </w:pPr>
      <w:r w:rsidRPr="007B051A">
        <w:t xml:space="preserve">Ministerstvo školstva, vedy, výskumu a športu Slovenskej republiky podľa § </w:t>
      </w:r>
      <w:r>
        <w:t xml:space="preserve">62 </w:t>
      </w:r>
      <w:r w:rsidR="001773CA">
        <w:t xml:space="preserve">písm. c) </w:t>
      </w:r>
      <w:r>
        <w:t xml:space="preserve">zákona </w:t>
      </w:r>
      <w:r w:rsidRPr="005563C0">
        <w:t>č.</w:t>
      </w:r>
      <w:r>
        <w:t> 422/2015 Z. z. o</w:t>
      </w:r>
      <w:r w:rsidRPr="00831EB6">
        <w:t xml:space="preserve"> uznávaní dokladov o vzdelaní a o uznávaní odborných kvalifikácií a o zmene a doplnení niektorých zákonov</w:t>
      </w:r>
      <w:r>
        <w:t xml:space="preserve"> </w:t>
      </w:r>
      <w:r w:rsidRPr="007B051A">
        <w:t xml:space="preserve">ustanovuje: </w:t>
      </w:r>
    </w:p>
    <w:p w:rsidR="00E0638F" w:rsidRDefault="00E0638F" w:rsidP="0072145B">
      <w:pPr>
        <w:spacing w:after="200"/>
        <w:jc w:val="both"/>
      </w:pPr>
    </w:p>
    <w:p w:rsidR="00831EB6" w:rsidRPr="00831EB6" w:rsidRDefault="00831EB6" w:rsidP="0072145B">
      <w:pPr>
        <w:widowControl w:val="0"/>
        <w:autoSpaceDE w:val="0"/>
        <w:autoSpaceDN w:val="0"/>
        <w:adjustRightInd w:val="0"/>
        <w:spacing w:after="200"/>
        <w:jc w:val="center"/>
        <w:rPr>
          <w:rFonts w:eastAsiaTheme="minorEastAsia"/>
        </w:rPr>
      </w:pPr>
      <w:r w:rsidRPr="00831EB6">
        <w:rPr>
          <w:rFonts w:eastAsiaTheme="minorEastAsia"/>
        </w:rPr>
        <w:t xml:space="preserve">§ 1 </w:t>
      </w:r>
    </w:p>
    <w:p w:rsidR="00831EB6" w:rsidRPr="00831EB6" w:rsidRDefault="00831EB6" w:rsidP="0072145B">
      <w:pPr>
        <w:widowControl w:val="0"/>
        <w:autoSpaceDE w:val="0"/>
        <w:autoSpaceDN w:val="0"/>
        <w:adjustRightInd w:val="0"/>
        <w:spacing w:after="200"/>
        <w:jc w:val="center"/>
        <w:rPr>
          <w:rFonts w:eastAsiaTheme="minorEastAsia"/>
          <w:bCs/>
        </w:rPr>
      </w:pPr>
      <w:r w:rsidRPr="00831EB6">
        <w:rPr>
          <w:rFonts w:eastAsiaTheme="minorEastAsia"/>
          <w:bCs/>
        </w:rPr>
        <w:t xml:space="preserve">Predmet úpravy </w:t>
      </w:r>
    </w:p>
    <w:p w:rsidR="00831EB6" w:rsidRDefault="00831EB6" w:rsidP="0072145B">
      <w:pPr>
        <w:widowControl w:val="0"/>
        <w:autoSpaceDE w:val="0"/>
        <w:autoSpaceDN w:val="0"/>
        <w:adjustRightInd w:val="0"/>
        <w:spacing w:after="200"/>
        <w:ind w:firstLine="720"/>
        <w:jc w:val="both"/>
        <w:rPr>
          <w:rFonts w:eastAsiaTheme="minorEastAsia"/>
        </w:rPr>
      </w:pPr>
      <w:r w:rsidRPr="00831EB6">
        <w:rPr>
          <w:rFonts w:eastAsiaTheme="minorEastAsia"/>
        </w:rPr>
        <w:t xml:space="preserve">Táto vyhláška upravuje </w:t>
      </w:r>
      <w:r w:rsidR="00B2418E">
        <w:rPr>
          <w:rFonts w:eastAsiaTheme="minorEastAsia"/>
        </w:rPr>
        <w:t xml:space="preserve">podrobnosti o </w:t>
      </w:r>
    </w:p>
    <w:p w:rsidR="00831EB6" w:rsidRPr="00831EB6" w:rsidRDefault="00F76DCF" w:rsidP="0072145B">
      <w:pPr>
        <w:widowControl w:val="0"/>
        <w:numPr>
          <w:ilvl w:val="0"/>
          <w:numId w:val="4"/>
        </w:numPr>
        <w:autoSpaceDE w:val="0"/>
        <w:autoSpaceDN w:val="0"/>
        <w:adjustRightInd w:val="0"/>
        <w:spacing w:after="200"/>
        <w:jc w:val="both"/>
        <w:rPr>
          <w:rFonts w:eastAsiaTheme="minorEastAsia"/>
        </w:rPr>
      </w:pPr>
      <w:r>
        <w:t>obsahu, priebehu a hodnotení doplňujúcej skúšky,</w:t>
      </w:r>
    </w:p>
    <w:p w:rsidR="00F76DCF" w:rsidRDefault="00F76DCF" w:rsidP="0072145B">
      <w:pPr>
        <w:widowControl w:val="0"/>
        <w:numPr>
          <w:ilvl w:val="0"/>
          <w:numId w:val="4"/>
        </w:numPr>
        <w:autoSpaceDE w:val="0"/>
        <w:autoSpaceDN w:val="0"/>
        <w:adjustRightInd w:val="0"/>
        <w:spacing w:after="200"/>
        <w:jc w:val="both"/>
        <w:rPr>
          <w:rFonts w:eastAsiaTheme="minorEastAsia"/>
        </w:rPr>
      </w:pPr>
      <w:r>
        <w:t xml:space="preserve">zložení </w:t>
      </w:r>
      <w:r w:rsidRPr="00A20D0E">
        <w:t xml:space="preserve"> skúšobn</w:t>
      </w:r>
      <w:r>
        <w:t>ej</w:t>
      </w:r>
      <w:r w:rsidRPr="00A20D0E">
        <w:t xml:space="preserve"> komisi</w:t>
      </w:r>
      <w:r>
        <w:t>e,</w:t>
      </w:r>
      <w:r>
        <w:rPr>
          <w:rFonts w:eastAsiaTheme="minorEastAsia"/>
        </w:rPr>
        <w:t xml:space="preserve"> </w:t>
      </w:r>
    </w:p>
    <w:p w:rsidR="00831EB6" w:rsidRDefault="00F76DCF" w:rsidP="0072145B">
      <w:pPr>
        <w:widowControl w:val="0"/>
        <w:numPr>
          <w:ilvl w:val="0"/>
          <w:numId w:val="4"/>
        </w:numPr>
        <w:autoSpaceDE w:val="0"/>
        <w:autoSpaceDN w:val="0"/>
        <w:adjustRightInd w:val="0"/>
        <w:spacing w:after="200"/>
        <w:jc w:val="both"/>
        <w:rPr>
          <w:rFonts w:eastAsiaTheme="minorEastAsia"/>
        </w:rPr>
      </w:pPr>
      <w:r>
        <w:rPr>
          <w:rFonts w:eastAsiaTheme="minorEastAsia"/>
        </w:rPr>
        <w:t>opakovaní doplňujúcej skúšky.</w:t>
      </w:r>
    </w:p>
    <w:p w:rsidR="007619FE" w:rsidRDefault="005F1434" w:rsidP="0072145B">
      <w:pPr>
        <w:widowControl w:val="0"/>
        <w:autoSpaceDE w:val="0"/>
        <w:autoSpaceDN w:val="0"/>
        <w:adjustRightInd w:val="0"/>
        <w:spacing w:after="200"/>
        <w:jc w:val="center"/>
      </w:pPr>
      <w:r>
        <w:t>§ 2</w:t>
      </w:r>
    </w:p>
    <w:p w:rsidR="00FB4A77" w:rsidRDefault="00FB4A77" w:rsidP="0072145B">
      <w:pPr>
        <w:widowControl w:val="0"/>
        <w:autoSpaceDE w:val="0"/>
        <w:autoSpaceDN w:val="0"/>
        <w:adjustRightInd w:val="0"/>
        <w:spacing w:after="200"/>
        <w:jc w:val="center"/>
      </w:pPr>
      <w:r>
        <w:t>Skúšobná komisia</w:t>
      </w:r>
    </w:p>
    <w:p w:rsidR="00FB4A77" w:rsidRDefault="00FB4A77" w:rsidP="0072145B">
      <w:pPr>
        <w:widowControl w:val="0"/>
        <w:numPr>
          <w:ilvl w:val="0"/>
          <w:numId w:val="10"/>
        </w:numPr>
        <w:autoSpaceDE w:val="0"/>
        <w:autoSpaceDN w:val="0"/>
        <w:adjustRightInd w:val="0"/>
        <w:spacing w:after="200"/>
        <w:jc w:val="both"/>
      </w:pPr>
      <w:r w:rsidRPr="00FB4A77">
        <w:t>Skúšobná komisia sa skladá z najmenej 4 členov. Členovia skúšobnej komisie si zvolia spomedzi seba predsedu skúšobnej komisie.</w:t>
      </w:r>
    </w:p>
    <w:p w:rsidR="00FB4A77" w:rsidRDefault="00FB4A77" w:rsidP="0072145B">
      <w:pPr>
        <w:widowControl w:val="0"/>
        <w:numPr>
          <w:ilvl w:val="0"/>
          <w:numId w:val="10"/>
        </w:numPr>
        <w:autoSpaceDE w:val="0"/>
        <w:autoSpaceDN w:val="0"/>
        <w:adjustRightInd w:val="0"/>
        <w:spacing w:after="200"/>
        <w:jc w:val="both"/>
      </w:pPr>
      <w:r w:rsidRPr="00FB4A77">
        <w:t>Činnosť skúšobnej komisie riadi predseda, ktorý je zamestnancom uznanej vzdelávacej inštitúcie, na ktorej sa doplňujúca skúška koná.</w:t>
      </w:r>
    </w:p>
    <w:p w:rsidR="00FB4A77" w:rsidRDefault="00FB4A77" w:rsidP="0072145B">
      <w:pPr>
        <w:widowControl w:val="0"/>
        <w:numPr>
          <w:ilvl w:val="0"/>
          <w:numId w:val="10"/>
        </w:numPr>
        <w:autoSpaceDE w:val="0"/>
        <w:autoSpaceDN w:val="0"/>
        <w:adjustRightInd w:val="0"/>
        <w:spacing w:after="200"/>
        <w:jc w:val="both"/>
      </w:pPr>
      <w:r w:rsidRPr="00FB4A77">
        <w:t>Ak sa niektorý z členov komisie nemôže zúčastniť na doplňujúcej skúške, zastúpi ho vymenovaný náhradník.</w:t>
      </w:r>
    </w:p>
    <w:p w:rsidR="00E0638F" w:rsidRDefault="005F1434" w:rsidP="00E0638F">
      <w:pPr>
        <w:widowControl w:val="0"/>
        <w:autoSpaceDE w:val="0"/>
        <w:autoSpaceDN w:val="0"/>
        <w:adjustRightInd w:val="0"/>
        <w:spacing w:after="200"/>
        <w:jc w:val="center"/>
      </w:pPr>
      <w:r>
        <w:t>§ 3</w:t>
      </w:r>
    </w:p>
    <w:p w:rsidR="00E0638F" w:rsidRDefault="00E0638F" w:rsidP="00E0638F">
      <w:pPr>
        <w:widowControl w:val="0"/>
        <w:autoSpaceDE w:val="0"/>
        <w:autoSpaceDN w:val="0"/>
        <w:adjustRightInd w:val="0"/>
        <w:spacing w:after="200"/>
        <w:jc w:val="center"/>
      </w:pPr>
      <w:r>
        <w:t xml:space="preserve">Obsah, priebeh a hodnotenie doplňujúcej skúšky </w:t>
      </w:r>
    </w:p>
    <w:p w:rsidR="00C77B21" w:rsidRDefault="00C77B21" w:rsidP="00C77B21">
      <w:pPr>
        <w:pStyle w:val="Odsekzoznamu"/>
        <w:widowControl w:val="0"/>
        <w:numPr>
          <w:ilvl w:val="0"/>
          <w:numId w:val="17"/>
        </w:numPr>
        <w:autoSpaceDE w:val="0"/>
        <w:autoSpaceDN w:val="0"/>
        <w:adjustRightInd w:val="0"/>
        <w:spacing w:after="200"/>
        <w:jc w:val="both"/>
        <w:rPr>
          <w:rFonts w:ascii="Times New Roman" w:hAnsi="Times New Roman"/>
        </w:rPr>
      </w:pPr>
      <w:r w:rsidRPr="00C77B21">
        <w:rPr>
          <w:rFonts w:ascii="Times New Roman" w:hAnsi="Times New Roman"/>
        </w:rPr>
        <w:t xml:space="preserve">Pred začatím doplňujúcej skúšky žiadateľ </w:t>
      </w:r>
      <w:r w:rsidR="005F1434">
        <w:rPr>
          <w:rFonts w:ascii="Times New Roman" w:hAnsi="Times New Roman"/>
        </w:rPr>
        <w:t xml:space="preserve">o vykonania doplňujúcej skúšky (ďalej len „žiadateľ“) </w:t>
      </w:r>
      <w:r w:rsidRPr="00C77B21">
        <w:rPr>
          <w:rFonts w:ascii="Times New Roman" w:hAnsi="Times New Roman"/>
        </w:rPr>
        <w:t xml:space="preserve">preukáže svoju totožnosť dokladom totožnosti a následne ho skúšobná komisia poučí o priebehu doplňujúcej skúšky. </w:t>
      </w:r>
    </w:p>
    <w:p w:rsidR="00227644" w:rsidRDefault="00227644" w:rsidP="00227644">
      <w:pPr>
        <w:pStyle w:val="Odsekzoznamu"/>
        <w:widowControl w:val="0"/>
        <w:autoSpaceDE w:val="0"/>
        <w:autoSpaceDN w:val="0"/>
        <w:adjustRightInd w:val="0"/>
        <w:spacing w:after="200"/>
        <w:jc w:val="both"/>
        <w:rPr>
          <w:rFonts w:ascii="Times New Roman" w:hAnsi="Times New Roman"/>
        </w:rPr>
      </w:pPr>
    </w:p>
    <w:p w:rsidR="00C77B21" w:rsidRDefault="00C77B21" w:rsidP="00C77B21">
      <w:pPr>
        <w:pStyle w:val="Odsekzoznamu"/>
        <w:widowControl w:val="0"/>
        <w:numPr>
          <w:ilvl w:val="0"/>
          <w:numId w:val="17"/>
        </w:numPr>
        <w:autoSpaceDE w:val="0"/>
        <w:autoSpaceDN w:val="0"/>
        <w:adjustRightInd w:val="0"/>
        <w:spacing w:after="200"/>
        <w:jc w:val="both"/>
        <w:rPr>
          <w:rFonts w:ascii="Times New Roman" w:hAnsi="Times New Roman"/>
        </w:rPr>
      </w:pPr>
      <w:r w:rsidRPr="00C77B21">
        <w:rPr>
          <w:rFonts w:ascii="Times New Roman" w:hAnsi="Times New Roman"/>
        </w:rPr>
        <w:t xml:space="preserve">Písomná časť doplňujúcej skúšky sa vykonáva v dvoch častiach. Prvá časť písomnej skúšky v rozsahu najmenej 50 otázok je zameraná na preukázanie odborných znalostí v príslušnom zdravotníckom povolaní. Druhá časť písomnej skúšky v rozsahu najmenej 10 otázok je zameraná na preukázanie znalosti všeobecne záväzných právnych predpisov upravujúcich poskytovanie zdravotnej starostlivosti v Slovenskej </w:t>
      </w:r>
      <w:r w:rsidRPr="00C77B21">
        <w:rPr>
          <w:rFonts w:ascii="Times New Roman" w:hAnsi="Times New Roman"/>
        </w:rPr>
        <w:lastRenderedPageBreak/>
        <w:t>republike. Za každú správne zodpovedanú otázku sa pridelí jeden bod.</w:t>
      </w:r>
    </w:p>
    <w:p w:rsidR="00227644" w:rsidRDefault="00227644" w:rsidP="00227644">
      <w:pPr>
        <w:pStyle w:val="Odsekzoznamu"/>
        <w:widowControl w:val="0"/>
        <w:autoSpaceDE w:val="0"/>
        <w:autoSpaceDN w:val="0"/>
        <w:adjustRightInd w:val="0"/>
        <w:spacing w:after="200"/>
        <w:jc w:val="both"/>
        <w:rPr>
          <w:rFonts w:ascii="Times New Roman" w:hAnsi="Times New Roman"/>
        </w:rPr>
      </w:pPr>
    </w:p>
    <w:p w:rsidR="00227644" w:rsidRDefault="00227644" w:rsidP="00227644">
      <w:pPr>
        <w:pStyle w:val="Odsekzoznamu"/>
        <w:widowControl w:val="0"/>
        <w:numPr>
          <w:ilvl w:val="0"/>
          <w:numId w:val="17"/>
        </w:numPr>
        <w:autoSpaceDE w:val="0"/>
        <w:autoSpaceDN w:val="0"/>
        <w:adjustRightInd w:val="0"/>
        <w:spacing w:after="200"/>
        <w:jc w:val="both"/>
        <w:rPr>
          <w:rFonts w:ascii="Times New Roman" w:hAnsi="Times New Roman"/>
        </w:rPr>
      </w:pPr>
      <w:r w:rsidRPr="00227644">
        <w:rPr>
          <w:rFonts w:ascii="Times New Roman" w:hAnsi="Times New Roman"/>
        </w:rPr>
        <w:t>Ústna časť doplňujúcej skúšky pozostáva z overenia  schopností a praktických zručností  žiadateľa</w:t>
      </w:r>
    </w:p>
    <w:p w:rsidR="00227644" w:rsidRDefault="00227644" w:rsidP="00227644">
      <w:pPr>
        <w:pStyle w:val="Odsekzoznamu"/>
        <w:widowControl w:val="0"/>
        <w:autoSpaceDE w:val="0"/>
        <w:autoSpaceDN w:val="0"/>
        <w:adjustRightInd w:val="0"/>
        <w:spacing w:after="200"/>
        <w:jc w:val="both"/>
        <w:rPr>
          <w:rFonts w:ascii="Times New Roman" w:hAnsi="Times New Roman"/>
        </w:rPr>
      </w:pPr>
    </w:p>
    <w:p w:rsidR="00C77B21" w:rsidRDefault="00C77B21" w:rsidP="00C77B21">
      <w:pPr>
        <w:pStyle w:val="Odsekzoznamu"/>
        <w:widowControl w:val="0"/>
        <w:numPr>
          <w:ilvl w:val="0"/>
          <w:numId w:val="17"/>
        </w:numPr>
        <w:autoSpaceDE w:val="0"/>
        <w:autoSpaceDN w:val="0"/>
        <w:adjustRightInd w:val="0"/>
        <w:spacing w:after="200"/>
        <w:jc w:val="both"/>
        <w:rPr>
          <w:rFonts w:ascii="Times New Roman" w:hAnsi="Times New Roman"/>
        </w:rPr>
      </w:pPr>
      <w:r w:rsidRPr="00C77B21">
        <w:rPr>
          <w:rFonts w:ascii="Times New Roman" w:hAnsi="Times New Roman"/>
        </w:rPr>
        <w:t>Každá časť doplňujúcej skúšky sa hodnotí samostatne klasifikačným stupňom „prospel“ alebo klasifikačným stupňom „neprospel“. Písomná časť doplňujúcej skúšky trvá v závislosti od rozsahu otázok, najmenej 60 minút. Písomnú časť doplňujúcej skúšky vyhodnocuje a výsledok zapíše do zápisnice o priebehu doplňujúcej skúšky člen skúšobnej komisie, ktorého určí predseda komisie.</w:t>
      </w:r>
    </w:p>
    <w:p w:rsidR="00C77B21" w:rsidRPr="00C77B21" w:rsidRDefault="00C77B21" w:rsidP="00C77B21">
      <w:pPr>
        <w:pStyle w:val="Odsekzoznamu"/>
        <w:widowControl w:val="0"/>
        <w:autoSpaceDE w:val="0"/>
        <w:autoSpaceDN w:val="0"/>
        <w:adjustRightInd w:val="0"/>
        <w:spacing w:after="200"/>
        <w:jc w:val="both"/>
        <w:rPr>
          <w:rFonts w:ascii="Times New Roman" w:hAnsi="Times New Roman"/>
        </w:rPr>
      </w:pPr>
    </w:p>
    <w:p w:rsidR="00C77B21" w:rsidRDefault="00C77B21" w:rsidP="00C77B21">
      <w:pPr>
        <w:pStyle w:val="Odsekzoznamu"/>
        <w:widowControl w:val="0"/>
        <w:numPr>
          <w:ilvl w:val="0"/>
          <w:numId w:val="17"/>
        </w:numPr>
        <w:autoSpaceDE w:val="0"/>
        <w:autoSpaceDN w:val="0"/>
        <w:adjustRightInd w:val="0"/>
        <w:spacing w:after="200"/>
        <w:jc w:val="both"/>
        <w:rPr>
          <w:rFonts w:ascii="Times New Roman" w:hAnsi="Times New Roman"/>
        </w:rPr>
      </w:pPr>
      <w:r w:rsidRPr="00C77B21">
        <w:rPr>
          <w:rFonts w:ascii="Times New Roman" w:hAnsi="Times New Roman"/>
        </w:rPr>
        <w:t>Žiadateľ je hodnotený klasifikačným stupňom</w:t>
      </w:r>
    </w:p>
    <w:p w:rsidR="00C77B21" w:rsidRPr="00C77B21" w:rsidRDefault="00C77B21" w:rsidP="00C77B21">
      <w:pPr>
        <w:pStyle w:val="Odsekzoznamu"/>
        <w:widowControl w:val="0"/>
        <w:autoSpaceDE w:val="0"/>
        <w:autoSpaceDN w:val="0"/>
        <w:adjustRightInd w:val="0"/>
        <w:spacing w:after="200"/>
        <w:jc w:val="both"/>
        <w:rPr>
          <w:rFonts w:ascii="Times New Roman" w:hAnsi="Times New Roman"/>
        </w:rPr>
      </w:pPr>
    </w:p>
    <w:p w:rsidR="00C77B21" w:rsidRDefault="00C77B21" w:rsidP="00C77B21">
      <w:pPr>
        <w:pStyle w:val="Odsekzoznamu"/>
        <w:widowControl w:val="0"/>
        <w:autoSpaceDE w:val="0"/>
        <w:autoSpaceDN w:val="0"/>
        <w:adjustRightInd w:val="0"/>
        <w:spacing w:after="200"/>
        <w:jc w:val="both"/>
        <w:rPr>
          <w:rFonts w:ascii="Times New Roman" w:hAnsi="Times New Roman"/>
        </w:rPr>
      </w:pPr>
      <w:r w:rsidRPr="00C77B21">
        <w:rPr>
          <w:rFonts w:ascii="Times New Roman" w:hAnsi="Times New Roman"/>
        </w:rPr>
        <w:t>a) „prospel“, ak v písomnej časti doplňujúcej skúšky dosiahol najmenej 70 %  správnych odpovedí,</w:t>
      </w:r>
    </w:p>
    <w:p w:rsidR="00C77B21" w:rsidRPr="00C77B21" w:rsidRDefault="00C77B21" w:rsidP="00C77B21">
      <w:pPr>
        <w:pStyle w:val="Odsekzoznamu"/>
        <w:widowControl w:val="0"/>
        <w:autoSpaceDE w:val="0"/>
        <w:autoSpaceDN w:val="0"/>
        <w:adjustRightInd w:val="0"/>
        <w:spacing w:after="200"/>
        <w:jc w:val="both"/>
        <w:rPr>
          <w:rFonts w:ascii="Times New Roman" w:hAnsi="Times New Roman"/>
        </w:rPr>
      </w:pPr>
    </w:p>
    <w:p w:rsidR="00C77B21" w:rsidRDefault="00C77B21" w:rsidP="00C77B21">
      <w:pPr>
        <w:pStyle w:val="Odsekzoznamu"/>
        <w:widowControl w:val="0"/>
        <w:autoSpaceDE w:val="0"/>
        <w:autoSpaceDN w:val="0"/>
        <w:adjustRightInd w:val="0"/>
        <w:spacing w:after="200"/>
        <w:jc w:val="both"/>
        <w:rPr>
          <w:rFonts w:ascii="Times New Roman" w:hAnsi="Times New Roman"/>
        </w:rPr>
      </w:pPr>
      <w:r w:rsidRPr="00C77B21">
        <w:rPr>
          <w:rFonts w:ascii="Times New Roman" w:hAnsi="Times New Roman"/>
        </w:rPr>
        <w:t>b) „neprospel“, ak v písomnej časti doplňujúcej skúšky dosiahol menej ako 70 % správnych odpovedí.</w:t>
      </w:r>
    </w:p>
    <w:p w:rsidR="00C77B21" w:rsidRPr="00C77B21" w:rsidRDefault="00C77B21" w:rsidP="00C77B21">
      <w:pPr>
        <w:pStyle w:val="Odsekzoznamu"/>
        <w:widowControl w:val="0"/>
        <w:autoSpaceDE w:val="0"/>
        <w:autoSpaceDN w:val="0"/>
        <w:adjustRightInd w:val="0"/>
        <w:spacing w:after="200"/>
        <w:jc w:val="both"/>
        <w:rPr>
          <w:rFonts w:ascii="Times New Roman" w:hAnsi="Times New Roman"/>
        </w:rPr>
      </w:pPr>
    </w:p>
    <w:p w:rsidR="00C77B21" w:rsidRDefault="00C77B21" w:rsidP="00C77B21">
      <w:pPr>
        <w:pStyle w:val="Odsekzoznamu"/>
        <w:widowControl w:val="0"/>
        <w:numPr>
          <w:ilvl w:val="0"/>
          <w:numId w:val="17"/>
        </w:numPr>
        <w:autoSpaceDE w:val="0"/>
        <w:autoSpaceDN w:val="0"/>
        <w:adjustRightInd w:val="0"/>
        <w:spacing w:after="200"/>
        <w:jc w:val="both"/>
        <w:rPr>
          <w:rFonts w:ascii="Times New Roman" w:hAnsi="Times New Roman"/>
        </w:rPr>
      </w:pPr>
      <w:r w:rsidRPr="00C77B21">
        <w:rPr>
          <w:rFonts w:ascii="Times New Roman" w:hAnsi="Times New Roman"/>
        </w:rPr>
        <w:t>Po vyhodnotení písomnej časti doplňujúcej skúšky predseda komisie oznámi žiadateľovi výsledok písomnej časti doplňujúcej skúšky ústne.</w:t>
      </w:r>
    </w:p>
    <w:p w:rsidR="00C77B21" w:rsidRPr="00C77B21" w:rsidRDefault="00C77B21" w:rsidP="00C77B21">
      <w:pPr>
        <w:pStyle w:val="Odsekzoznamu"/>
        <w:widowControl w:val="0"/>
        <w:autoSpaceDE w:val="0"/>
        <w:autoSpaceDN w:val="0"/>
        <w:adjustRightInd w:val="0"/>
        <w:spacing w:after="200"/>
        <w:jc w:val="both"/>
        <w:rPr>
          <w:rFonts w:ascii="Times New Roman" w:hAnsi="Times New Roman"/>
        </w:rPr>
      </w:pPr>
    </w:p>
    <w:p w:rsidR="00C77B21" w:rsidRDefault="00C77B21" w:rsidP="00C77B21">
      <w:pPr>
        <w:pStyle w:val="Odsekzoznamu"/>
        <w:widowControl w:val="0"/>
        <w:numPr>
          <w:ilvl w:val="0"/>
          <w:numId w:val="17"/>
        </w:numPr>
        <w:autoSpaceDE w:val="0"/>
        <w:autoSpaceDN w:val="0"/>
        <w:adjustRightInd w:val="0"/>
        <w:spacing w:after="200"/>
        <w:jc w:val="both"/>
        <w:rPr>
          <w:rFonts w:ascii="Times New Roman" w:hAnsi="Times New Roman"/>
        </w:rPr>
      </w:pPr>
      <w:r w:rsidRPr="00C77B21">
        <w:rPr>
          <w:rFonts w:ascii="Times New Roman" w:hAnsi="Times New Roman"/>
        </w:rPr>
        <w:t>Ak bol žiadateľ v oboch častiach písomnej časti doplňujúcej skúšky hodnotený klasifikačným stupňom „prospel“, vykoná ústnu časť doplňujúcej skúšky, ktorá pozostáva z overenia teoretických vedomostí a jej súčasťou môže byť aj overenie praktických zručností.</w:t>
      </w:r>
      <w:bookmarkStart w:id="0" w:name="_GoBack"/>
      <w:bookmarkEnd w:id="0"/>
    </w:p>
    <w:p w:rsidR="00C77B21" w:rsidRPr="00C77B21" w:rsidRDefault="00C77B21" w:rsidP="00C77B21">
      <w:pPr>
        <w:pStyle w:val="Odsekzoznamu"/>
        <w:widowControl w:val="0"/>
        <w:autoSpaceDE w:val="0"/>
        <w:autoSpaceDN w:val="0"/>
        <w:adjustRightInd w:val="0"/>
        <w:spacing w:after="200"/>
        <w:jc w:val="both"/>
        <w:rPr>
          <w:rFonts w:ascii="Times New Roman" w:hAnsi="Times New Roman"/>
        </w:rPr>
      </w:pPr>
    </w:p>
    <w:p w:rsidR="00C77B21" w:rsidRDefault="00C77B21" w:rsidP="00C77B21">
      <w:pPr>
        <w:pStyle w:val="Odsekzoznamu"/>
        <w:widowControl w:val="0"/>
        <w:numPr>
          <w:ilvl w:val="0"/>
          <w:numId w:val="17"/>
        </w:numPr>
        <w:autoSpaceDE w:val="0"/>
        <w:autoSpaceDN w:val="0"/>
        <w:adjustRightInd w:val="0"/>
        <w:spacing w:after="200"/>
        <w:jc w:val="both"/>
        <w:rPr>
          <w:rFonts w:ascii="Times New Roman" w:hAnsi="Times New Roman"/>
        </w:rPr>
      </w:pPr>
      <w:r w:rsidRPr="00C77B21">
        <w:rPr>
          <w:rFonts w:ascii="Times New Roman" w:hAnsi="Times New Roman"/>
        </w:rPr>
        <w:t>Ústna časť doplňujúcej skúšky môže v závislosti od druhu zdravotníckeho povolania pozostávať z praktickej časti, ktorá je vykonávaná v simulovaných podmienkach.</w:t>
      </w:r>
    </w:p>
    <w:p w:rsidR="00C77B21" w:rsidRPr="00C77B21" w:rsidRDefault="00C77B21" w:rsidP="00C77B21">
      <w:pPr>
        <w:pStyle w:val="Odsekzoznamu"/>
        <w:widowControl w:val="0"/>
        <w:autoSpaceDE w:val="0"/>
        <w:autoSpaceDN w:val="0"/>
        <w:adjustRightInd w:val="0"/>
        <w:spacing w:after="200"/>
        <w:jc w:val="both"/>
        <w:rPr>
          <w:rFonts w:ascii="Times New Roman" w:hAnsi="Times New Roman"/>
        </w:rPr>
      </w:pPr>
    </w:p>
    <w:p w:rsidR="00C77B21" w:rsidRDefault="00C77B21" w:rsidP="00C77B21">
      <w:pPr>
        <w:pStyle w:val="Odsekzoznamu"/>
        <w:widowControl w:val="0"/>
        <w:numPr>
          <w:ilvl w:val="0"/>
          <w:numId w:val="17"/>
        </w:numPr>
        <w:autoSpaceDE w:val="0"/>
        <w:autoSpaceDN w:val="0"/>
        <w:adjustRightInd w:val="0"/>
        <w:spacing w:after="200"/>
        <w:jc w:val="both"/>
        <w:rPr>
          <w:rFonts w:ascii="Times New Roman" w:hAnsi="Times New Roman"/>
        </w:rPr>
      </w:pPr>
      <w:r w:rsidRPr="00C77B21">
        <w:rPr>
          <w:rFonts w:ascii="Times New Roman" w:hAnsi="Times New Roman"/>
        </w:rPr>
        <w:t>Ústna časť doplňujúcej skúšky trvá najviac 90 minút. Každý člen komisie hodnotí žiadateľa klasifikačným stupňom „prospel“ alebo „neprospel“. Žiadateľ úspešne absolvoval doplňujúcu skúšku, ak bol väčšinou členov komisie hodnotený klasifikačným stupňom „prospel“. Pri rovnosti hlasov rozhoduje hlas predsedu.</w:t>
      </w:r>
    </w:p>
    <w:p w:rsidR="00C77B21" w:rsidRPr="00C77B21" w:rsidRDefault="00EB6EED" w:rsidP="00C77B21">
      <w:pPr>
        <w:pStyle w:val="Odsekzoznamu"/>
        <w:widowControl w:val="0"/>
        <w:autoSpaceDE w:val="0"/>
        <w:autoSpaceDN w:val="0"/>
        <w:adjustRightInd w:val="0"/>
        <w:spacing w:after="200"/>
        <w:jc w:val="both"/>
        <w:rPr>
          <w:rFonts w:ascii="Times New Roman" w:hAnsi="Times New Roman"/>
        </w:rPr>
      </w:pPr>
      <w:r>
        <w:rPr>
          <w:rFonts w:ascii="Times New Roman" w:hAnsi="Times New Roman"/>
        </w:rPr>
        <w:t> </w:t>
      </w:r>
      <w:r w:rsidR="00F76DCF">
        <w:rPr>
          <w:rFonts w:ascii="Times New Roman" w:hAnsi="Times New Roman"/>
        </w:rPr>
        <w:t> </w:t>
      </w:r>
    </w:p>
    <w:p w:rsidR="00C77B21" w:rsidRDefault="00C77B21" w:rsidP="00C828A2">
      <w:pPr>
        <w:pStyle w:val="Odsekzoznamu"/>
        <w:widowControl w:val="0"/>
        <w:numPr>
          <w:ilvl w:val="0"/>
          <w:numId w:val="17"/>
        </w:numPr>
        <w:autoSpaceDE w:val="0"/>
        <w:autoSpaceDN w:val="0"/>
        <w:adjustRightInd w:val="0"/>
        <w:spacing w:after="200"/>
        <w:jc w:val="both"/>
        <w:rPr>
          <w:rFonts w:ascii="Times New Roman" w:hAnsi="Times New Roman"/>
        </w:rPr>
      </w:pPr>
      <w:r w:rsidRPr="00C77B21">
        <w:rPr>
          <w:rFonts w:ascii="Times New Roman" w:hAnsi="Times New Roman"/>
        </w:rPr>
        <w:t>Po úspešnom vykonaní doplňujúcej skúšky sa vyhotoví protokol o absolvovaní doplňujúcej skúšky v dvoch rovnopisoch s uvedením hodnotenia slovom „prospel“ alebo „neprospel“.</w:t>
      </w:r>
      <w:r w:rsidR="00C828A2">
        <w:rPr>
          <w:rFonts w:ascii="Times New Roman" w:hAnsi="Times New Roman"/>
        </w:rPr>
        <w:t xml:space="preserve"> Jeden rovnopis protokolu zasiela príslušná vzdelávacia inštitúcia na ktorej</w:t>
      </w:r>
      <w:r w:rsidR="00C828A2" w:rsidRPr="00C828A2">
        <w:t xml:space="preserve"> </w:t>
      </w:r>
      <w:r w:rsidR="00C828A2">
        <w:rPr>
          <w:rFonts w:ascii="Times New Roman" w:hAnsi="Times New Roman"/>
        </w:rPr>
        <w:t>sa doplňujúca skúška koná žiadateľovi.</w:t>
      </w:r>
    </w:p>
    <w:p w:rsidR="00EB6EED" w:rsidRDefault="00EB6EED" w:rsidP="00EB6EED">
      <w:pPr>
        <w:pStyle w:val="Odsekzoznamu"/>
        <w:widowControl w:val="0"/>
        <w:autoSpaceDE w:val="0"/>
        <w:autoSpaceDN w:val="0"/>
        <w:adjustRightInd w:val="0"/>
        <w:spacing w:after="200"/>
        <w:jc w:val="both"/>
        <w:rPr>
          <w:rFonts w:ascii="Times New Roman" w:hAnsi="Times New Roman"/>
        </w:rPr>
      </w:pPr>
    </w:p>
    <w:p w:rsidR="00C77B21" w:rsidRPr="000333B6" w:rsidRDefault="00C77B21" w:rsidP="000333B6">
      <w:pPr>
        <w:pStyle w:val="Odsekzoznamu"/>
        <w:widowControl w:val="0"/>
        <w:numPr>
          <w:ilvl w:val="0"/>
          <w:numId w:val="17"/>
        </w:numPr>
        <w:autoSpaceDE w:val="0"/>
        <w:autoSpaceDN w:val="0"/>
        <w:adjustRightInd w:val="0"/>
        <w:spacing w:after="200"/>
        <w:jc w:val="both"/>
        <w:rPr>
          <w:rFonts w:ascii="Times New Roman" w:hAnsi="Times New Roman"/>
        </w:rPr>
      </w:pPr>
      <w:r w:rsidRPr="00C77B21">
        <w:rPr>
          <w:rFonts w:ascii="Times New Roman" w:hAnsi="Times New Roman"/>
        </w:rPr>
        <w:t xml:space="preserve">Archiváciu príslušnej dokumentácie a protokolu o absolvovaní doplňujúcej skúšky zabezpečí </w:t>
      </w:r>
      <w:r w:rsidR="000333B6">
        <w:rPr>
          <w:rFonts w:ascii="Times New Roman" w:hAnsi="Times New Roman"/>
        </w:rPr>
        <w:t>uznaná vysoká</w:t>
      </w:r>
      <w:r w:rsidR="005F1434" w:rsidRPr="005F1434">
        <w:rPr>
          <w:rFonts w:ascii="Times New Roman" w:hAnsi="Times New Roman"/>
        </w:rPr>
        <w:t xml:space="preserve"> škol</w:t>
      </w:r>
      <w:r w:rsidR="000333B6">
        <w:rPr>
          <w:rFonts w:ascii="Times New Roman" w:hAnsi="Times New Roman"/>
        </w:rPr>
        <w:t>a</w:t>
      </w:r>
      <w:r w:rsidR="005F1434" w:rsidRPr="005F1434">
        <w:rPr>
          <w:rFonts w:ascii="Times New Roman" w:hAnsi="Times New Roman"/>
        </w:rPr>
        <w:t xml:space="preserve"> </w:t>
      </w:r>
      <w:r w:rsidR="000333B6">
        <w:rPr>
          <w:rFonts w:ascii="Times New Roman" w:hAnsi="Times New Roman"/>
        </w:rPr>
        <w:t>alebo uznaná</w:t>
      </w:r>
      <w:r w:rsidR="005F1434" w:rsidRPr="005F1434">
        <w:rPr>
          <w:rFonts w:ascii="Times New Roman" w:hAnsi="Times New Roman"/>
        </w:rPr>
        <w:t xml:space="preserve"> stredn</w:t>
      </w:r>
      <w:r w:rsidR="000333B6">
        <w:rPr>
          <w:rFonts w:ascii="Times New Roman" w:hAnsi="Times New Roman"/>
        </w:rPr>
        <w:t>á</w:t>
      </w:r>
      <w:r w:rsidR="005F1434" w:rsidRPr="005F1434">
        <w:rPr>
          <w:rFonts w:ascii="Times New Roman" w:hAnsi="Times New Roman"/>
        </w:rPr>
        <w:t xml:space="preserve"> škol</w:t>
      </w:r>
      <w:r w:rsidR="000333B6">
        <w:rPr>
          <w:rFonts w:ascii="Times New Roman" w:hAnsi="Times New Roman"/>
        </w:rPr>
        <w:t>a</w:t>
      </w:r>
      <w:r w:rsidR="005F1434" w:rsidRPr="000333B6">
        <w:rPr>
          <w:rFonts w:ascii="Times New Roman" w:hAnsi="Times New Roman"/>
        </w:rPr>
        <w:t xml:space="preserve"> v Slovenskej republike (ďalej len „uznaná vzdelávacia inštitúcia“)</w:t>
      </w:r>
      <w:r w:rsidRPr="000333B6">
        <w:rPr>
          <w:rFonts w:ascii="Times New Roman" w:hAnsi="Times New Roman"/>
        </w:rPr>
        <w:t xml:space="preserve">, na ktorej sa doplňujúca skúška vykonala. Uznaná vzdelávacia inštitúcia zašle </w:t>
      </w:r>
      <w:r w:rsidR="001773CA" w:rsidRPr="000333B6">
        <w:rPr>
          <w:rFonts w:ascii="Times New Roman" w:hAnsi="Times New Roman"/>
        </w:rPr>
        <w:t>Ministerstvu školstva, vedy, výskumu a športu Slovenskej republiky</w:t>
      </w:r>
      <w:r w:rsidRPr="000333B6">
        <w:rPr>
          <w:rFonts w:ascii="Times New Roman" w:hAnsi="Times New Roman"/>
        </w:rPr>
        <w:t xml:space="preserve"> odpis zápisnice o priebehu doplňujúcej skúšky na účely zberu štatistických dát.</w:t>
      </w:r>
    </w:p>
    <w:p w:rsidR="002B61E7" w:rsidRDefault="002B61E7" w:rsidP="002B61E7">
      <w:pPr>
        <w:pStyle w:val="Odsekzoznamu"/>
        <w:widowControl w:val="0"/>
        <w:autoSpaceDE w:val="0"/>
        <w:autoSpaceDN w:val="0"/>
        <w:adjustRightInd w:val="0"/>
        <w:spacing w:after="200"/>
        <w:jc w:val="both"/>
        <w:rPr>
          <w:rFonts w:ascii="Times New Roman" w:hAnsi="Times New Roman"/>
        </w:rPr>
      </w:pPr>
    </w:p>
    <w:p w:rsidR="00C166E8" w:rsidRDefault="00C166E8" w:rsidP="002B61E7">
      <w:pPr>
        <w:pStyle w:val="Odsekzoznamu"/>
        <w:widowControl w:val="0"/>
        <w:autoSpaceDE w:val="0"/>
        <w:autoSpaceDN w:val="0"/>
        <w:adjustRightInd w:val="0"/>
        <w:spacing w:after="200"/>
        <w:jc w:val="both"/>
        <w:rPr>
          <w:rFonts w:ascii="Times New Roman" w:hAnsi="Times New Roman"/>
        </w:rPr>
      </w:pPr>
    </w:p>
    <w:p w:rsidR="00B276AA" w:rsidRDefault="00B276AA" w:rsidP="002B61E7">
      <w:pPr>
        <w:pStyle w:val="Odsekzoznamu"/>
        <w:widowControl w:val="0"/>
        <w:autoSpaceDE w:val="0"/>
        <w:autoSpaceDN w:val="0"/>
        <w:adjustRightInd w:val="0"/>
        <w:spacing w:after="200"/>
        <w:jc w:val="both"/>
        <w:rPr>
          <w:rFonts w:ascii="Times New Roman" w:hAnsi="Times New Roman"/>
        </w:rPr>
      </w:pPr>
    </w:p>
    <w:p w:rsidR="00B276AA" w:rsidRDefault="00B276AA" w:rsidP="002B61E7">
      <w:pPr>
        <w:pStyle w:val="Odsekzoznamu"/>
        <w:widowControl w:val="0"/>
        <w:autoSpaceDE w:val="0"/>
        <w:autoSpaceDN w:val="0"/>
        <w:adjustRightInd w:val="0"/>
        <w:spacing w:after="200"/>
        <w:jc w:val="both"/>
        <w:rPr>
          <w:rFonts w:ascii="Times New Roman" w:hAnsi="Times New Roman"/>
        </w:rPr>
      </w:pPr>
    </w:p>
    <w:p w:rsidR="007619FE" w:rsidRDefault="005F1434" w:rsidP="0072145B">
      <w:pPr>
        <w:widowControl w:val="0"/>
        <w:autoSpaceDE w:val="0"/>
        <w:autoSpaceDN w:val="0"/>
        <w:adjustRightInd w:val="0"/>
        <w:spacing w:after="200"/>
        <w:jc w:val="center"/>
      </w:pPr>
      <w:r>
        <w:lastRenderedPageBreak/>
        <w:t>§ 4</w:t>
      </w:r>
    </w:p>
    <w:p w:rsidR="00C00728" w:rsidRDefault="00C00728" w:rsidP="0072145B">
      <w:pPr>
        <w:widowControl w:val="0"/>
        <w:autoSpaceDE w:val="0"/>
        <w:autoSpaceDN w:val="0"/>
        <w:adjustRightInd w:val="0"/>
        <w:spacing w:after="200"/>
        <w:jc w:val="center"/>
      </w:pPr>
      <w:r>
        <w:t>Neúčasť na doplňujúcej skúške a opakovanie doplňujúcej skúšky</w:t>
      </w:r>
    </w:p>
    <w:p w:rsidR="00C00728" w:rsidRDefault="00C00728" w:rsidP="0072145B">
      <w:pPr>
        <w:widowControl w:val="0"/>
        <w:numPr>
          <w:ilvl w:val="0"/>
          <w:numId w:val="11"/>
        </w:numPr>
        <w:autoSpaceDE w:val="0"/>
        <w:autoSpaceDN w:val="0"/>
        <w:adjustRightInd w:val="0"/>
        <w:spacing w:after="200"/>
        <w:jc w:val="both"/>
      </w:pPr>
      <w:r w:rsidRPr="00C00728">
        <w:t>Ak sa žiadateľ nemôže zúčastniť na doplňujúcej skúške v termíne, na ktorý bol prihlásený, môže svoju neúčasť ospravedlniť. Za ospravedlniteľnú neúčasť sa považuje</w:t>
      </w:r>
    </w:p>
    <w:p w:rsidR="00C00728" w:rsidRDefault="00C00728" w:rsidP="0072145B">
      <w:pPr>
        <w:widowControl w:val="0"/>
        <w:numPr>
          <w:ilvl w:val="0"/>
          <w:numId w:val="12"/>
        </w:numPr>
        <w:autoSpaceDE w:val="0"/>
        <w:autoSpaceDN w:val="0"/>
        <w:adjustRightInd w:val="0"/>
        <w:spacing w:after="200"/>
        <w:jc w:val="both"/>
      </w:pPr>
      <w:r w:rsidRPr="00C00728">
        <w:t xml:space="preserve">písomné lekárske potvrdenie doručené uznanej vzdelávacej inštitúcii najneskôr do </w:t>
      </w:r>
      <w:r w:rsidR="00EB391F">
        <w:t>troch</w:t>
      </w:r>
      <w:r w:rsidRPr="00C00728">
        <w:t xml:space="preserve"> dní po termíne doplňujúcej skúšky alebo</w:t>
      </w:r>
    </w:p>
    <w:p w:rsidR="00C00728" w:rsidRDefault="00C00728" w:rsidP="0072145B">
      <w:pPr>
        <w:widowControl w:val="0"/>
        <w:numPr>
          <w:ilvl w:val="0"/>
          <w:numId w:val="12"/>
        </w:numPr>
        <w:autoSpaceDE w:val="0"/>
        <w:autoSpaceDN w:val="0"/>
        <w:adjustRightInd w:val="0"/>
        <w:spacing w:after="200"/>
        <w:jc w:val="both"/>
      </w:pPr>
      <w:r w:rsidRPr="00C00728">
        <w:t>písomné ospravedlnenie doručené uznanej vzdel</w:t>
      </w:r>
      <w:r w:rsidR="00EB391F">
        <w:t>ávacej inštitúcii najneskôr do troch</w:t>
      </w:r>
      <w:r w:rsidRPr="00C00728">
        <w:t xml:space="preserve"> dní po termíne doplňujúcej skúšky z iného vážneho dôvodu.</w:t>
      </w:r>
    </w:p>
    <w:p w:rsidR="00C00728" w:rsidRPr="00C00728" w:rsidRDefault="00C00728" w:rsidP="0072145B">
      <w:pPr>
        <w:widowControl w:val="0"/>
        <w:numPr>
          <w:ilvl w:val="0"/>
          <w:numId w:val="11"/>
        </w:numPr>
        <w:autoSpaceDE w:val="0"/>
        <w:autoSpaceDN w:val="0"/>
        <w:adjustRightInd w:val="0"/>
        <w:spacing w:after="200"/>
        <w:jc w:val="both"/>
      </w:pPr>
      <w:r w:rsidRPr="00C00728">
        <w:t xml:space="preserve">Žiadateľ, ktorý svoju neúčasť na doplňujúcej skúške riadne písomne ospravedlní, je zaradený do nasledujúceho termínu doplňujúcej skúšky, ak o to prejaví záujem. </w:t>
      </w:r>
    </w:p>
    <w:p w:rsidR="00C00728" w:rsidRDefault="00C00728" w:rsidP="0072145B">
      <w:pPr>
        <w:widowControl w:val="0"/>
        <w:numPr>
          <w:ilvl w:val="0"/>
          <w:numId w:val="11"/>
        </w:numPr>
        <w:autoSpaceDE w:val="0"/>
        <w:autoSpaceDN w:val="0"/>
        <w:adjustRightInd w:val="0"/>
        <w:spacing w:after="200"/>
        <w:jc w:val="both"/>
      </w:pPr>
      <w:r w:rsidRPr="00C00728">
        <w:t xml:space="preserve">Ak ide o ospravedlniteľnú neúčasť a žiadateľ je zaradený do nasledujúceho termínu doplňujúcej skúšky, uznaná vzdelávacia inštitúcia vráti žiadateľovi poplatok a všetky zaslané prílohy k žiadosti. </w:t>
      </w:r>
    </w:p>
    <w:p w:rsidR="00C00728" w:rsidRPr="00C00728" w:rsidRDefault="00C00728" w:rsidP="0072145B">
      <w:pPr>
        <w:widowControl w:val="0"/>
        <w:numPr>
          <w:ilvl w:val="0"/>
          <w:numId w:val="11"/>
        </w:numPr>
        <w:autoSpaceDE w:val="0"/>
        <w:autoSpaceDN w:val="0"/>
        <w:adjustRightInd w:val="0"/>
        <w:spacing w:after="200"/>
        <w:jc w:val="both"/>
      </w:pPr>
      <w:r w:rsidRPr="00C00728">
        <w:t>Pri neospravedlnenej neúčasti na doplňujúcej skúške sa žiadateľovi nevracia uhradený poplatok za úkony spojené so zabezpečením doplňujúcej skúšky. Vzdelávacia inštitúcia vráti žiadateľovi len zaslané prílohy k žiadosti.</w:t>
      </w:r>
    </w:p>
    <w:p w:rsidR="00C00728" w:rsidRPr="00C00728" w:rsidRDefault="00C00728" w:rsidP="0072145B">
      <w:pPr>
        <w:widowControl w:val="0"/>
        <w:numPr>
          <w:ilvl w:val="0"/>
          <w:numId w:val="11"/>
        </w:numPr>
        <w:autoSpaceDE w:val="0"/>
        <w:autoSpaceDN w:val="0"/>
        <w:adjustRightInd w:val="0"/>
        <w:spacing w:after="200"/>
        <w:jc w:val="both"/>
      </w:pPr>
      <w:r w:rsidRPr="00C00728">
        <w:t>Ak žiadateľ nevykonal doplňujúcu skúšku úspešne, môže doplňujúcu skúšku opakovať v  nasledujúcom skúšobnom termíne v rámci najbližšieho cyklu doplňujúcich skúšok. Počet opakovaní doplňujúcej skúšky je neobmedzený.</w:t>
      </w:r>
    </w:p>
    <w:p w:rsidR="00C00728" w:rsidRPr="00C00728" w:rsidRDefault="00C00728" w:rsidP="0072145B">
      <w:pPr>
        <w:widowControl w:val="0"/>
        <w:numPr>
          <w:ilvl w:val="0"/>
          <w:numId w:val="11"/>
        </w:numPr>
        <w:autoSpaceDE w:val="0"/>
        <w:autoSpaceDN w:val="0"/>
        <w:adjustRightInd w:val="0"/>
        <w:spacing w:after="200"/>
        <w:jc w:val="both"/>
      </w:pPr>
      <w:r w:rsidRPr="00C00728">
        <w:t>Ak žiadateľ na doplňujúcej skúške neprospel  len v ústnej časti doplňujúcej skúšky a opakovanú doplňujúcu skúšku vykoná do 12 mesiacov odo dňa neúspešného absolvovania doplňujúcej skúšky, písomnú časť doplňujúcej skúšky nevykonáva. Ak sa žiadateľ zúčastní opakovanej doplňujúcej skúšky po 12 mesiacoch od dňa neúspešného absolvovania doplňujúcej skúšky, znova vykonáva aj písomnú časť doplňujúcej skúšky.</w:t>
      </w:r>
    </w:p>
    <w:p w:rsidR="007619FE" w:rsidRDefault="007619FE" w:rsidP="0072145B">
      <w:pPr>
        <w:widowControl w:val="0"/>
        <w:autoSpaceDE w:val="0"/>
        <w:autoSpaceDN w:val="0"/>
        <w:adjustRightInd w:val="0"/>
        <w:spacing w:after="200"/>
        <w:jc w:val="center"/>
      </w:pPr>
    </w:p>
    <w:p w:rsidR="007619FE" w:rsidRDefault="005F1434" w:rsidP="0072145B">
      <w:pPr>
        <w:widowControl w:val="0"/>
        <w:autoSpaceDE w:val="0"/>
        <w:autoSpaceDN w:val="0"/>
        <w:adjustRightInd w:val="0"/>
        <w:spacing w:after="200"/>
        <w:jc w:val="center"/>
      </w:pPr>
      <w:r>
        <w:t>§ 5</w:t>
      </w:r>
    </w:p>
    <w:p w:rsidR="00831EB6" w:rsidRPr="002960EB" w:rsidRDefault="00831EB6" w:rsidP="0072145B">
      <w:pPr>
        <w:widowControl w:val="0"/>
        <w:autoSpaceDE w:val="0"/>
        <w:autoSpaceDN w:val="0"/>
        <w:adjustRightInd w:val="0"/>
        <w:spacing w:after="200"/>
        <w:jc w:val="center"/>
        <w:rPr>
          <w:bCs/>
        </w:rPr>
      </w:pPr>
      <w:r w:rsidRPr="002960EB">
        <w:rPr>
          <w:bCs/>
        </w:rPr>
        <w:t>Účinnosť</w:t>
      </w:r>
    </w:p>
    <w:p w:rsidR="00831EB6" w:rsidRPr="002960EB" w:rsidRDefault="00831EB6" w:rsidP="0072145B">
      <w:pPr>
        <w:widowControl w:val="0"/>
        <w:autoSpaceDE w:val="0"/>
        <w:autoSpaceDN w:val="0"/>
        <w:adjustRightInd w:val="0"/>
        <w:spacing w:after="200"/>
        <w:jc w:val="center"/>
      </w:pPr>
      <w:r w:rsidRPr="002960EB">
        <w:t xml:space="preserve"> </w:t>
      </w:r>
    </w:p>
    <w:p w:rsidR="00831EB6" w:rsidRPr="00831EB6" w:rsidRDefault="00831EB6" w:rsidP="0072145B">
      <w:pPr>
        <w:widowControl w:val="0"/>
        <w:autoSpaceDE w:val="0"/>
        <w:autoSpaceDN w:val="0"/>
        <w:adjustRightInd w:val="0"/>
        <w:spacing w:after="200"/>
        <w:ind w:firstLine="720"/>
        <w:jc w:val="both"/>
        <w:rPr>
          <w:color w:val="FF0000"/>
        </w:rPr>
      </w:pPr>
      <w:r w:rsidRPr="002960EB">
        <w:t xml:space="preserve">Táto vyhláška nadobúda </w:t>
      </w:r>
      <w:r w:rsidRPr="005F1434">
        <w:t>účinnosť 1. januára 2018.</w:t>
      </w:r>
    </w:p>
    <w:p w:rsidR="00831EB6" w:rsidRDefault="00831EB6" w:rsidP="0072145B">
      <w:pPr>
        <w:spacing w:after="200"/>
      </w:pPr>
    </w:p>
    <w:sectPr w:rsidR="00831E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4C7" w:rsidRDefault="00CA54C7" w:rsidP="006A2905">
      <w:r>
        <w:separator/>
      </w:r>
    </w:p>
  </w:endnote>
  <w:endnote w:type="continuationSeparator" w:id="0">
    <w:p w:rsidR="00CA54C7" w:rsidRDefault="00CA54C7" w:rsidP="006A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EE"/>
    <w:family w:val="swiss"/>
    <w:pitch w:val="variable"/>
    <w:sig w:usb0="E00002FF" w:usb1="4000ACFF" w:usb2="00000001"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4C7" w:rsidRDefault="00CA54C7" w:rsidP="006A2905">
      <w:r>
        <w:separator/>
      </w:r>
    </w:p>
  </w:footnote>
  <w:footnote w:type="continuationSeparator" w:id="0">
    <w:p w:rsidR="00CA54C7" w:rsidRDefault="00CA54C7" w:rsidP="006A2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B79"/>
    <w:multiLevelType w:val="hybridMultilevel"/>
    <w:tmpl w:val="049A09B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6C13E55"/>
    <w:multiLevelType w:val="hybridMultilevel"/>
    <w:tmpl w:val="05A28C20"/>
    <w:lvl w:ilvl="0" w:tplc="8616993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C90632"/>
    <w:multiLevelType w:val="hybridMultilevel"/>
    <w:tmpl w:val="D50A7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675FA6"/>
    <w:multiLevelType w:val="hybridMultilevel"/>
    <w:tmpl w:val="F49CC8D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3914A9D"/>
    <w:multiLevelType w:val="hybridMultilevel"/>
    <w:tmpl w:val="63E22BD2"/>
    <w:lvl w:ilvl="0" w:tplc="BAD6208E">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8BB7C76"/>
    <w:multiLevelType w:val="hybridMultilevel"/>
    <w:tmpl w:val="63E22BD2"/>
    <w:lvl w:ilvl="0" w:tplc="BAD6208E">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213C45E9"/>
    <w:multiLevelType w:val="hybridMultilevel"/>
    <w:tmpl w:val="F2A4358E"/>
    <w:lvl w:ilvl="0" w:tplc="041B0017">
      <w:start w:val="1"/>
      <w:numFmt w:val="lowerLetter"/>
      <w:lvlText w:val="%1)"/>
      <w:lvlJc w:val="left"/>
      <w:pPr>
        <w:ind w:left="777" w:hanging="360"/>
      </w:pPr>
      <w:rPr>
        <w:rFonts w:cs="Times New Roman"/>
      </w:rPr>
    </w:lvl>
    <w:lvl w:ilvl="1" w:tplc="041B0019" w:tentative="1">
      <w:start w:val="1"/>
      <w:numFmt w:val="lowerLetter"/>
      <w:lvlText w:val="%2."/>
      <w:lvlJc w:val="left"/>
      <w:pPr>
        <w:ind w:left="1497" w:hanging="360"/>
      </w:pPr>
      <w:rPr>
        <w:rFonts w:cs="Times New Roman"/>
      </w:rPr>
    </w:lvl>
    <w:lvl w:ilvl="2" w:tplc="041B001B" w:tentative="1">
      <w:start w:val="1"/>
      <w:numFmt w:val="lowerRoman"/>
      <w:lvlText w:val="%3."/>
      <w:lvlJc w:val="right"/>
      <w:pPr>
        <w:ind w:left="2217" w:hanging="180"/>
      </w:pPr>
      <w:rPr>
        <w:rFonts w:cs="Times New Roman"/>
      </w:rPr>
    </w:lvl>
    <w:lvl w:ilvl="3" w:tplc="041B000F" w:tentative="1">
      <w:start w:val="1"/>
      <w:numFmt w:val="decimal"/>
      <w:lvlText w:val="%4."/>
      <w:lvlJc w:val="left"/>
      <w:pPr>
        <w:ind w:left="2937" w:hanging="360"/>
      </w:pPr>
      <w:rPr>
        <w:rFonts w:cs="Times New Roman"/>
      </w:rPr>
    </w:lvl>
    <w:lvl w:ilvl="4" w:tplc="041B0019" w:tentative="1">
      <w:start w:val="1"/>
      <w:numFmt w:val="lowerLetter"/>
      <w:lvlText w:val="%5."/>
      <w:lvlJc w:val="left"/>
      <w:pPr>
        <w:ind w:left="3657" w:hanging="360"/>
      </w:pPr>
      <w:rPr>
        <w:rFonts w:cs="Times New Roman"/>
      </w:rPr>
    </w:lvl>
    <w:lvl w:ilvl="5" w:tplc="041B001B" w:tentative="1">
      <w:start w:val="1"/>
      <w:numFmt w:val="lowerRoman"/>
      <w:lvlText w:val="%6."/>
      <w:lvlJc w:val="right"/>
      <w:pPr>
        <w:ind w:left="4377" w:hanging="180"/>
      </w:pPr>
      <w:rPr>
        <w:rFonts w:cs="Times New Roman"/>
      </w:rPr>
    </w:lvl>
    <w:lvl w:ilvl="6" w:tplc="041B000F" w:tentative="1">
      <w:start w:val="1"/>
      <w:numFmt w:val="decimal"/>
      <w:lvlText w:val="%7."/>
      <w:lvlJc w:val="left"/>
      <w:pPr>
        <w:ind w:left="5097" w:hanging="360"/>
      </w:pPr>
      <w:rPr>
        <w:rFonts w:cs="Times New Roman"/>
      </w:rPr>
    </w:lvl>
    <w:lvl w:ilvl="7" w:tplc="041B0019" w:tentative="1">
      <w:start w:val="1"/>
      <w:numFmt w:val="lowerLetter"/>
      <w:lvlText w:val="%8."/>
      <w:lvlJc w:val="left"/>
      <w:pPr>
        <w:ind w:left="5817" w:hanging="360"/>
      </w:pPr>
      <w:rPr>
        <w:rFonts w:cs="Times New Roman"/>
      </w:rPr>
    </w:lvl>
    <w:lvl w:ilvl="8" w:tplc="041B001B" w:tentative="1">
      <w:start w:val="1"/>
      <w:numFmt w:val="lowerRoman"/>
      <w:lvlText w:val="%9."/>
      <w:lvlJc w:val="right"/>
      <w:pPr>
        <w:ind w:left="6537" w:hanging="180"/>
      </w:pPr>
      <w:rPr>
        <w:rFonts w:cs="Times New Roman"/>
      </w:rPr>
    </w:lvl>
  </w:abstractNum>
  <w:abstractNum w:abstractNumId="7">
    <w:nsid w:val="3D24426A"/>
    <w:multiLevelType w:val="hybridMultilevel"/>
    <w:tmpl w:val="63E22BD2"/>
    <w:lvl w:ilvl="0" w:tplc="BAD6208E">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42D1210C"/>
    <w:multiLevelType w:val="hybridMultilevel"/>
    <w:tmpl w:val="63E22BD2"/>
    <w:lvl w:ilvl="0" w:tplc="BAD6208E">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4F6C1B9F"/>
    <w:multiLevelType w:val="hybridMultilevel"/>
    <w:tmpl w:val="70980E4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5B6A402C"/>
    <w:multiLevelType w:val="hybridMultilevel"/>
    <w:tmpl w:val="75663AD6"/>
    <w:lvl w:ilvl="0" w:tplc="8872F5C4">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5C631872"/>
    <w:multiLevelType w:val="hybridMultilevel"/>
    <w:tmpl w:val="F2A4358E"/>
    <w:lvl w:ilvl="0" w:tplc="041B0017">
      <w:start w:val="1"/>
      <w:numFmt w:val="lowerLetter"/>
      <w:lvlText w:val="%1)"/>
      <w:lvlJc w:val="left"/>
      <w:pPr>
        <w:ind w:left="777" w:hanging="360"/>
      </w:pPr>
      <w:rPr>
        <w:rFonts w:cs="Times New Roman"/>
      </w:rPr>
    </w:lvl>
    <w:lvl w:ilvl="1" w:tplc="041B0019" w:tentative="1">
      <w:start w:val="1"/>
      <w:numFmt w:val="lowerLetter"/>
      <w:lvlText w:val="%2."/>
      <w:lvlJc w:val="left"/>
      <w:pPr>
        <w:ind w:left="1497" w:hanging="360"/>
      </w:pPr>
      <w:rPr>
        <w:rFonts w:cs="Times New Roman"/>
      </w:rPr>
    </w:lvl>
    <w:lvl w:ilvl="2" w:tplc="041B001B" w:tentative="1">
      <w:start w:val="1"/>
      <w:numFmt w:val="lowerRoman"/>
      <w:lvlText w:val="%3."/>
      <w:lvlJc w:val="right"/>
      <w:pPr>
        <w:ind w:left="2217" w:hanging="180"/>
      </w:pPr>
      <w:rPr>
        <w:rFonts w:cs="Times New Roman"/>
      </w:rPr>
    </w:lvl>
    <w:lvl w:ilvl="3" w:tplc="041B000F" w:tentative="1">
      <w:start w:val="1"/>
      <w:numFmt w:val="decimal"/>
      <w:lvlText w:val="%4."/>
      <w:lvlJc w:val="left"/>
      <w:pPr>
        <w:ind w:left="2937" w:hanging="360"/>
      </w:pPr>
      <w:rPr>
        <w:rFonts w:cs="Times New Roman"/>
      </w:rPr>
    </w:lvl>
    <w:lvl w:ilvl="4" w:tplc="041B0019" w:tentative="1">
      <w:start w:val="1"/>
      <w:numFmt w:val="lowerLetter"/>
      <w:lvlText w:val="%5."/>
      <w:lvlJc w:val="left"/>
      <w:pPr>
        <w:ind w:left="3657" w:hanging="360"/>
      </w:pPr>
      <w:rPr>
        <w:rFonts w:cs="Times New Roman"/>
      </w:rPr>
    </w:lvl>
    <w:lvl w:ilvl="5" w:tplc="041B001B" w:tentative="1">
      <w:start w:val="1"/>
      <w:numFmt w:val="lowerRoman"/>
      <w:lvlText w:val="%6."/>
      <w:lvlJc w:val="right"/>
      <w:pPr>
        <w:ind w:left="4377" w:hanging="180"/>
      </w:pPr>
      <w:rPr>
        <w:rFonts w:cs="Times New Roman"/>
      </w:rPr>
    </w:lvl>
    <w:lvl w:ilvl="6" w:tplc="041B000F" w:tentative="1">
      <w:start w:val="1"/>
      <w:numFmt w:val="decimal"/>
      <w:lvlText w:val="%7."/>
      <w:lvlJc w:val="left"/>
      <w:pPr>
        <w:ind w:left="5097" w:hanging="360"/>
      </w:pPr>
      <w:rPr>
        <w:rFonts w:cs="Times New Roman"/>
      </w:rPr>
    </w:lvl>
    <w:lvl w:ilvl="7" w:tplc="041B0019" w:tentative="1">
      <w:start w:val="1"/>
      <w:numFmt w:val="lowerLetter"/>
      <w:lvlText w:val="%8."/>
      <w:lvlJc w:val="left"/>
      <w:pPr>
        <w:ind w:left="5817" w:hanging="360"/>
      </w:pPr>
      <w:rPr>
        <w:rFonts w:cs="Times New Roman"/>
      </w:rPr>
    </w:lvl>
    <w:lvl w:ilvl="8" w:tplc="041B001B" w:tentative="1">
      <w:start w:val="1"/>
      <w:numFmt w:val="lowerRoman"/>
      <w:lvlText w:val="%9."/>
      <w:lvlJc w:val="right"/>
      <w:pPr>
        <w:ind w:left="6537" w:hanging="180"/>
      </w:pPr>
      <w:rPr>
        <w:rFonts w:cs="Times New Roman"/>
      </w:rPr>
    </w:lvl>
  </w:abstractNum>
  <w:abstractNum w:abstractNumId="12">
    <w:nsid w:val="5E8F6147"/>
    <w:multiLevelType w:val="hybridMultilevel"/>
    <w:tmpl w:val="0AB069E8"/>
    <w:lvl w:ilvl="0" w:tplc="40BE125C">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F1900F5"/>
    <w:multiLevelType w:val="hybridMultilevel"/>
    <w:tmpl w:val="9EEE78FC"/>
    <w:lvl w:ilvl="0" w:tplc="BAD6208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1357531"/>
    <w:multiLevelType w:val="hybridMultilevel"/>
    <w:tmpl w:val="F2A4358E"/>
    <w:lvl w:ilvl="0" w:tplc="041B0017">
      <w:start w:val="1"/>
      <w:numFmt w:val="lowerLetter"/>
      <w:lvlText w:val="%1)"/>
      <w:lvlJc w:val="left"/>
      <w:pPr>
        <w:ind w:left="777" w:hanging="360"/>
      </w:pPr>
      <w:rPr>
        <w:rFonts w:cs="Times New Roman"/>
      </w:rPr>
    </w:lvl>
    <w:lvl w:ilvl="1" w:tplc="041B0019" w:tentative="1">
      <w:start w:val="1"/>
      <w:numFmt w:val="lowerLetter"/>
      <w:lvlText w:val="%2."/>
      <w:lvlJc w:val="left"/>
      <w:pPr>
        <w:ind w:left="1497" w:hanging="360"/>
      </w:pPr>
      <w:rPr>
        <w:rFonts w:cs="Times New Roman"/>
      </w:rPr>
    </w:lvl>
    <w:lvl w:ilvl="2" w:tplc="041B001B" w:tentative="1">
      <w:start w:val="1"/>
      <w:numFmt w:val="lowerRoman"/>
      <w:lvlText w:val="%3."/>
      <w:lvlJc w:val="right"/>
      <w:pPr>
        <w:ind w:left="2217" w:hanging="180"/>
      </w:pPr>
      <w:rPr>
        <w:rFonts w:cs="Times New Roman"/>
      </w:rPr>
    </w:lvl>
    <w:lvl w:ilvl="3" w:tplc="041B000F" w:tentative="1">
      <w:start w:val="1"/>
      <w:numFmt w:val="decimal"/>
      <w:lvlText w:val="%4."/>
      <w:lvlJc w:val="left"/>
      <w:pPr>
        <w:ind w:left="2937" w:hanging="360"/>
      </w:pPr>
      <w:rPr>
        <w:rFonts w:cs="Times New Roman"/>
      </w:rPr>
    </w:lvl>
    <w:lvl w:ilvl="4" w:tplc="041B0019" w:tentative="1">
      <w:start w:val="1"/>
      <w:numFmt w:val="lowerLetter"/>
      <w:lvlText w:val="%5."/>
      <w:lvlJc w:val="left"/>
      <w:pPr>
        <w:ind w:left="3657" w:hanging="360"/>
      </w:pPr>
      <w:rPr>
        <w:rFonts w:cs="Times New Roman"/>
      </w:rPr>
    </w:lvl>
    <w:lvl w:ilvl="5" w:tplc="041B001B" w:tentative="1">
      <w:start w:val="1"/>
      <w:numFmt w:val="lowerRoman"/>
      <w:lvlText w:val="%6."/>
      <w:lvlJc w:val="right"/>
      <w:pPr>
        <w:ind w:left="4377" w:hanging="180"/>
      </w:pPr>
      <w:rPr>
        <w:rFonts w:cs="Times New Roman"/>
      </w:rPr>
    </w:lvl>
    <w:lvl w:ilvl="6" w:tplc="041B000F" w:tentative="1">
      <w:start w:val="1"/>
      <w:numFmt w:val="decimal"/>
      <w:lvlText w:val="%7."/>
      <w:lvlJc w:val="left"/>
      <w:pPr>
        <w:ind w:left="5097" w:hanging="360"/>
      </w:pPr>
      <w:rPr>
        <w:rFonts w:cs="Times New Roman"/>
      </w:rPr>
    </w:lvl>
    <w:lvl w:ilvl="7" w:tplc="041B0019" w:tentative="1">
      <w:start w:val="1"/>
      <w:numFmt w:val="lowerLetter"/>
      <w:lvlText w:val="%8."/>
      <w:lvlJc w:val="left"/>
      <w:pPr>
        <w:ind w:left="5817" w:hanging="360"/>
      </w:pPr>
      <w:rPr>
        <w:rFonts w:cs="Times New Roman"/>
      </w:rPr>
    </w:lvl>
    <w:lvl w:ilvl="8" w:tplc="041B001B" w:tentative="1">
      <w:start w:val="1"/>
      <w:numFmt w:val="lowerRoman"/>
      <w:lvlText w:val="%9."/>
      <w:lvlJc w:val="right"/>
      <w:pPr>
        <w:ind w:left="6537" w:hanging="180"/>
      </w:pPr>
      <w:rPr>
        <w:rFonts w:cs="Times New Roman"/>
      </w:rPr>
    </w:lvl>
  </w:abstractNum>
  <w:abstractNum w:abstractNumId="15">
    <w:nsid w:val="633E7E88"/>
    <w:multiLevelType w:val="hybridMultilevel"/>
    <w:tmpl w:val="DAAA4F7A"/>
    <w:lvl w:ilvl="0" w:tplc="5F8E2086">
      <w:start w:val="1"/>
      <w:numFmt w:val="decimal"/>
      <w:lvlText w:val="(%1)"/>
      <w:lvlJc w:val="left"/>
      <w:pPr>
        <w:ind w:left="720" w:hanging="360"/>
      </w:pPr>
      <w:rPr>
        <w:rFonts w:ascii="Times New Roman" w:eastAsia="Arial Unicode MS"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3435D6F"/>
    <w:multiLevelType w:val="hybridMultilevel"/>
    <w:tmpl w:val="63E22BD2"/>
    <w:lvl w:ilvl="0" w:tplc="BAD6208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71CC63A1"/>
    <w:multiLevelType w:val="hybridMultilevel"/>
    <w:tmpl w:val="DCC624A4"/>
    <w:lvl w:ilvl="0" w:tplc="BAD6208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F8E42B7"/>
    <w:multiLevelType w:val="hybridMultilevel"/>
    <w:tmpl w:val="F2A4358E"/>
    <w:lvl w:ilvl="0" w:tplc="041B0017">
      <w:start w:val="1"/>
      <w:numFmt w:val="lowerLetter"/>
      <w:lvlText w:val="%1)"/>
      <w:lvlJc w:val="left"/>
      <w:pPr>
        <w:ind w:left="777" w:hanging="360"/>
      </w:pPr>
      <w:rPr>
        <w:rFonts w:cs="Times New Roman"/>
      </w:rPr>
    </w:lvl>
    <w:lvl w:ilvl="1" w:tplc="041B0019" w:tentative="1">
      <w:start w:val="1"/>
      <w:numFmt w:val="lowerLetter"/>
      <w:lvlText w:val="%2."/>
      <w:lvlJc w:val="left"/>
      <w:pPr>
        <w:ind w:left="1497" w:hanging="360"/>
      </w:pPr>
      <w:rPr>
        <w:rFonts w:cs="Times New Roman"/>
      </w:rPr>
    </w:lvl>
    <w:lvl w:ilvl="2" w:tplc="041B001B" w:tentative="1">
      <w:start w:val="1"/>
      <w:numFmt w:val="lowerRoman"/>
      <w:lvlText w:val="%3."/>
      <w:lvlJc w:val="right"/>
      <w:pPr>
        <w:ind w:left="2217" w:hanging="180"/>
      </w:pPr>
      <w:rPr>
        <w:rFonts w:cs="Times New Roman"/>
      </w:rPr>
    </w:lvl>
    <w:lvl w:ilvl="3" w:tplc="041B000F" w:tentative="1">
      <w:start w:val="1"/>
      <w:numFmt w:val="decimal"/>
      <w:lvlText w:val="%4."/>
      <w:lvlJc w:val="left"/>
      <w:pPr>
        <w:ind w:left="2937" w:hanging="360"/>
      </w:pPr>
      <w:rPr>
        <w:rFonts w:cs="Times New Roman"/>
      </w:rPr>
    </w:lvl>
    <w:lvl w:ilvl="4" w:tplc="041B0019" w:tentative="1">
      <w:start w:val="1"/>
      <w:numFmt w:val="lowerLetter"/>
      <w:lvlText w:val="%5."/>
      <w:lvlJc w:val="left"/>
      <w:pPr>
        <w:ind w:left="3657" w:hanging="360"/>
      </w:pPr>
      <w:rPr>
        <w:rFonts w:cs="Times New Roman"/>
      </w:rPr>
    </w:lvl>
    <w:lvl w:ilvl="5" w:tplc="041B001B" w:tentative="1">
      <w:start w:val="1"/>
      <w:numFmt w:val="lowerRoman"/>
      <w:lvlText w:val="%6."/>
      <w:lvlJc w:val="right"/>
      <w:pPr>
        <w:ind w:left="4377" w:hanging="180"/>
      </w:pPr>
      <w:rPr>
        <w:rFonts w:cs="Times New Roman"/>
      </w:rPr>
    </w:lvl>
    <w:lvl w:ilvl="6" w:tplc="041B000F" w:tentative="1">
      <w:start w:val="1"/>
      <w:numFmt w:val="decimal"/>
      <w:lvlText w:val="%7."/>
      <w:lvlJc w:val="left"/>
      <w:pPr>
        <w:ind w:left="5097" w:hanging="360"/>
      </w:pPr>
      <w:rPr>
        <w:rFonts w:cs="Times New Roman"/>
      </w:rPr>
    </w:lvl>
    <w:lvl w:ilvl="7" w:tplc="041B0019" w:tentative="1">
      <w:start w:val="1"/>
      <w:numFmt w:val="lowerLetter"/>
      <w:lvlText w:val="%8."/>
      <w:lvlJc w:val="left"/>
      <w:pPr>
        <w:ind w:left="5817" w:hanging="360"/>
      </w:pPr>
      <w:rPr>
        <w:rFonts w:cs="Times New Roman"/>
      </w:rPr>
    </w:lvl>
    <w:lvl w:ilvl="8" w:tplc="041B001B" w:tentative="1">
      <w:start w:val="1"/>
      <w:numFmt w:val="lowerRoman"/>
      <w:lvlText w:val="%9."/>
      <w:lvlJc w:val="right"/>
      <w:pPr>
        <w:ind w:left="6537" w:hanging="180"/>
      </w:pPr>
      <w:rPr>
        <w:rFonts w:cs="Times New Roman"/>
      </w:rPr>
    </w:lvl>
  </w:abstractNum>
  <w:num w:numId="1">
    <w:abstractNumId w:val="10"/>
  </w:num>
  <w:num w:numId="2">
    <w:abstractNumId w:val="1"/>
  </w:num>
  <w:num w:numId="3">
    <w:abstractNumId w:val="3"/>
  </w:num>
  <w:num w:numId="4">
    <w:abstractNumId w:val="0"/>
  </w:num>
  <w:num w:numId="5">
    <w:abstractNumId w:val="9"/>
  </w:num>
  <w:num w:numId="6">
    <w:abstractNumId w:val="8"/>
  </w:num>
  <w:num w:numId="7">
    <w:abstractNumId w:val="18"/>
  </w:num>
  <w:num w:numId="8">
    <w:abstractNumId w:val="6"/>
  </w:num>
  <w:num w:numId="9">
    <w:abstractNumId w:val="7"/>
  </w:num>
  <w:num w:numId="10">
    <w:abstractNumId w:val="5"/>
  </w:num>
  <w:num w:numId="11">
    <w:abstractNumId w:val="4"/>
  </w:num>
  <w:num w:numId="12">
    <w:abstractNumId w:val="11"/>
  </w:num>
  <w:num w:numId="13">
    <w:abstractNumId w:val="15"/>
  </w:num>
  <w:num w:numId="14">
    <w:abstractNumId w:val="14"/>
  </w:num>
  <w:num w:numId="15">
    <w:abstractNumId w:val="2"/>
  </w:num>
  <w:num w:numId="16">
    <w:abstractNumId w:val="16"/>
  </w:num>
  <w:num w:numId="17">
    <w:abstractNumId w:val="17"/>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B9"/>
    <w:rsid w:val="000333B6"/>
    <w:rsid w:val="000360CD"/>
    <w:rsid w:val="000A4EEE"/>
    <w:rsid w:val="000C1D18"/>
    <w:rsid w:val="00113A01"/>
    <w:rsid w:val="00124119"/>
    <w:rsid w:val="00147522"/>
    <w:rsid w:val="00167043"/>
    <w:rsid w:val="001773CA"/>
    <w:rsid w:val="001D3209"/>
    <w:rsid w:val="001E5965"/>
    <w:rsid w:val="00215078"/>
    <w:rsid w:val="00227644"/>
    <w:rsid w:val="00293A95"/>
    <w:rsid w:val="00296BB9"/>
    <w:rsid w:val="002B61E7"/>
    <w:rsid w:val="0030642A"/>
    <w:rsid w:val="003C4612"/>
    <w:rsid w:val="003E75C8"/>
    <w:rsid w:val="003F5D6D"/>
    <w:rsid w:val="0054002A"/>
    <w:rsid w:val="00574BF4"/>
    <w:rsid w:val="005965EC"/>
    <w:rsid w:val="005D639D"/>
    <w:rsid w:val="005F1434"/>
    <w:rsid w:val="006021E6"/>
    <w:rsid w:val="006161AC"/>
    <w:rsid w:val="006569CA"/>
    <w:rsid w:val="006A2905"/>
    <w:rsid w:val="006B5BA3"/>
    <w:rsid w:val="006D62A8"/>
    <w:rsid w:val="0072145B"/>
    <w:rsid w:val="00724CF5"/>
    <w:rsid w:val="00746D77"/>
    <w:rsid w:val="007612F6"/>
    <w:rsid w:val="007619FE"/>
    <w:rsid w:val="007F4935"/>
    <w:rsid w:val="00831EB6"/>
    <w:rsid w:val="008E7B33"/>
    <w:rsid w:val="0095003D"/>
    <w:rsid w:val="009A6510"/>
    <w:rsid w:val="00A23426"/>
    <w:rsid w:val="00A53587"/>
    <w:rsid w:val="00A83F77"/>
    <w:rsid w:val="00B2418E"/>
    <w:rsid w:val="00B276AA"/>
    <w:rsid w:val="00BC012A"/>
    <w:rsid w:val="00BD2564"/>
    <w:rsid w:val="00C00728"/>
    <w:rsid w:val="00C047F3"/>
    <w:rsid w:val="00C166E8"/>
    <w:rsid w:val="00C33905"/>
    <w:rsid w:val="00C77B21"/>
    <w:rsid w:val="00C803EA"/>
    <w:rsid w:val="00C828A2"/>
    <w:rsid w:val="00C9497A"/>
    <w:rsid w:val="00CA54C7"/>
    <w:rsid w:val="00CE3C21"/>
    <w:rsid w:val="00D2244F"/>
    <w:rsid w:val="00D4170A"/>
    <w:rsid w:val="00D422FC"/>
    <w:rsid w:val="00D773F7"/>
    <w:rsid w:val="00D81CA5"/>
    <w:rsid w:val="00DA7DDB"/>
    <w:rsid w:val="00E0638F"/>
    <w:rsid w:val="00E17D6F"/>
    <w:rsid w:val="00EB0452"/>
    <w:rsid w:val="00EB391F"/>
    <w:rsid w:val="00EB6EED"/>
    <w:rsid w:val="00F76DCF"/>
    <w:rsid w:val="00FB4A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1EB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31EB6"/>
    <w:pPr>
      <w:ind w:left="720"/>
      <w:contextualSpacing/>
    </w:pPr>
    <w:rPr>
      <w:rFonts w:ascii="Calibri" w:hAnsi="Calibri"/>
    </w:rPr>
  </w:style>
  <w:style w:type="paragraph" w:customStyle="1" w:styleId="odsek">
    <w:name w:val="odsek"/>
    <w:basedOn w:val="Normlny"/>
    <w:rsid w:val="0072145B"/>
    <w:pPr>
      <w:spacing w:after="120"/>
      <w:jc w:val="both"/>
    </w:pPr>
    <w:rPr>
      <w:rFonts w:ascii="Arial" w:hAnsi="Arial"/>
      <w:color w:val="000000"/>
    </w:rPr>
  </w:style>
  <w:style w:type="paragraph" w:styleId="Textpoznmkypodiarou">
    <w:name w:val="footnote text"/>
    <w:basedOn w:val="Normlny"/>
    <w:link w:val="TextpoznmkypodiarouChar"/>
    <w:uiPriority w:val="99"/>
    <w:semiHidden/>
    <w:unhideWhenUsed/>
    <w:rsid w:val="006A2905"/>
    <w:rPr>
      <w:sz w:val="20"/>
      <w:szCs w:val="20"/>
    </w:rPr>
  </w:style>
  <w:style w:type="character" w:customStyle="1" w:styleId="TextpoznmkypodiarouChar">
    <w:name w:val="Text poznámky pod čiarou Char"/>
    <w:basedOn w:val="Predvolenpsmoodseku"/>
    <w:link w:val="Textpoznmkypodiarou"/>
    <w:uiPriority w:val="99"/>
    <w:semiHidden/>
    <w:rsid w:val="006A2905"/>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6A29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31EB6"/>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31EB6"/>
    <w:pPr>
      <w:ind w:left="720"/>
      <w:contextualSpacing/>
    </w:pPr>
    <w:rPr>
      <w:rFonts w:ascii="Calibri" w:hAnsi="Calibri"/>
    </w:rPr>
  </w:style>
  <w:style w:type="paragraph" w:customStyle="1" w:styleId="odsek">
    <w:name w:val="odsek"/>
    <w:basedOn w:val="Normlny"/>
    <w:rsid w:val="0072145B"/>
    <w:pPr>
      <w:spacing w:after="120"/>
      <w:jc w:val="both"/>
    </w:pPr>
    <w:rPr>
      <w:rFonts w:ascii="Arial" w:hAnsi="Arial"/>
      <w:color w:val="000000"/>
    </w:rPr>
  </w:style>
  <w:style w:type="paragraph" w:styleId="Textpoznmkypodiarou">
    <w:name w:val="footnote text"/>
    <w:basedOn w:val="Normlny"/>
    <w:link w:val="TextpoznmkypodiarouChar"/>
    <w:uiPriority w:val="99"/>
    <w:semiHidden/>
    <w:unhideWhenUsed/>
    <w:rsid w:val="006A2905"/>
    <w:rPr>
      <w:sz w:val="20"/>
      <w:szCs w:val="20"/>
    </w:rPr>
  </w:style>
  <w:style w:type="character" w:customStyle="1" w:styleId="TextpoznmkypodiarouChar">
    <w:name w:val="Text poznámky pod čiarou Char"/>
    <w:basedOn w:val="Predvolenpsmoodseku"/>
    <w:link w:val="Textpoznmkypodiarou"/>
    <w:uiPriority w:val="99"/>
    <w:semiHidden/>
    <w:rsid w:val="006A2905"/>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6A29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BE811-DBFD-4C63-9C06-DBF4E8ED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3</Pages>
  <Words>855</Words>
  <Characters>4880</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Krausová Katarína</dc:creator>
  <cp:keywords/>
  <dc:description/>
  <cp:lastModifiedBy>Krausová Katarína</cp:lastModifiedBy>
  <cp:revision>41</cp:revision>
  <dcterms:created xsi:type="dcterms:W3CDTF">2017-01-31T12:38:00Z</dcterms:created>
  <dcterms:modified xsi:type="dcterms:W3CDTF">2017-06-19T13:02:00Z</dcterms:modified>
</cp:coreProperties>
</file>