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392" w:rsidRDefault="00B20392" w:rsidP="00813B05">
      <w:pPr>
        <w:jc w:val="center"/>
        <w:rPr>
          <w:b/>
          <w:bCs/>
        </w:rPr>
      </w:pPr>
      <w:bookmarkStart w:id="0" w:name="_GoBack"/>
      <w:bookmarkEnd w:id="0"/>
      <w:r w:rsidRPr="00DC2682">
        <w:rPr>
          <w:b/>
          <w:bCs/>
        </w:rPr>
        <w:t>Tabuľka zhody</w:t>
      </w:r>
    </w:p>
    <w:p w:rsidR="001D0587" w:rsidRPr="00DC2682" w:rsidRDefault="001D0587" w:rsidP="00813B05">
      <w:pPr>
        <w:jc w:val="center"/>
        <w:rPr>
          <w:b/>
          <w:bCs/>
        </w:rPr>
      </w:pPr>
      <w:r>
        <w:rPr>
          <w:b/>
          <w:bCs/>
        </w:rPr>
        <w:t xml:space="preserve"> Smernica Európskeho Parlamentu a  Rady (EÚ)  2015/2193 z 25. novembra 2015  o obmedzení emisií určitých znečisťujúcich látok do ovzdušia zo stredne veľkých spaľovacích zariadení </w:t>
      </w:r>
    </w:p>
    <w:tbl>
      <w:tblPr>
        <w:tblW w:w="155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771"/>
        <w:gridCol w:w="397"/>
        <w:gridCol w:w="708"/>
        <w:gridCol w:w="596"/>
        <w:gridCol w:w="6396"/>
        <w:gridCol w:w="508"/>
        <w:gridCol w:w="508"/>
      </w:tblGrid>
      <w:tr w:rsidR="00B20392" w:rsidRPr="00603CC4" w:rsidTr="00EF5876">
        <w:tc>
          <w:tcPr>
            <w:tcW w:w="709" w:type="dxa"/>
          </w:tcPr>
          <w:p w:rsidR="00B20392" w:rsidRPr="00603CC4" w:rsidRDefault="00B20392" w:rsidP="00603CC4">
            <w:pPr>
              <w:spacing w:after="0" w:line="240" w:lineRule="auto"/>
            </w:pPr>
          </w:p>
        </w:tc>
        <w:tc>
          <w:tcPr>
            <w:tcW w:w="5771" w:type="dxa"/>
          </w:tcPr>
          <w:p w:rsidR="00B20392" w:rsidRPr="00603CC4" w:rsidRDefault="00B20392" w:rsidP="00603CC4">
            <w:pPr>
              <w:spacing w:after="0" w:line="240" w:lineRule="auto"/>
            </w:pPr>
            <w:r w:rsidRPr="00603CC4">
              <w:t>Právny predpis EÚ</w:t>
            </w:r>
          </w:p>
        </w:tc>
        <w:tc>
          <w:tcPr>
            <w:tcW w:w="397" w:type="dxa"/>
          </w:tcPr>
          <w:p w:rsidR="00B20392" w:rsidRPr="00603CC4" w:rsidRDefault="00B20392" w:rsidP="00603CC4">
            <w:pPr>
              <w:spacing w:after="0" w:line="240" w:lineRule="auto"/>
            </w:pPr>
          </w:p>
        </w:tc>
        <w:tc>
          <w:tcPr>
            <w:tcW w:w="708" w:type="dxa"/>
          </w:tcPr>
          <w:p w:rsidR="00B20392" w:rsidRPr="00603CC4" w:rsidRDefault="00B20392" w:rsidP="00603CC4">
            <w:pPr>
              <w:spacing w:after="0" w:line="240" w:lineRule="auto"/>
            </w:pPr>
          </w:p>
        </w:tc>
        <w:tc>
          <w:tcPr>
            <w:tcW w:w="596" w:type="dxa"/>
          </w:tcPr>
          <w:p w:rsidR="00B20392" w:rsidRPr="00603CC4" w:rsidRDefault="00B20392" w:rsidP="006E65C5">
            <w:pPr>
              <w:spacing w:after="0" w:line="240" w:lineRule="auto"/>
              <w:ind w:left="-28" w:right="-79"/>
            </w:pPr>
          </w:p>
        </w:tc>
        <w:tc>
          <w:tcPr>
            <w:tcW w:w="6396" w:type="dxa"/>
          </w:tcPr>
          <w:p w:rsidR="00B20392" w:rsidRPr="00603CC4" w:rsidRDefault="00B20392" w:rsidP="00603CC4">
            <w:pPr>
              <w:spacing w:after="0" w:line="240" w:lineRule="auto"/>
            </w:pPr>
            <w:r w:rsidRPr="00603CC4">
              <w:t>Právny predpis SR</w:t>
            </w:r>
          </w:p>
        </w:tc>
        <w:tc>
          <w:tcPr>
            <w:tcW w:w="508" w:type="dxa"/>
          </w:tcPr>
          <w:p w:rsidR="00B20392" w:rsidRPr="00603CC4" w:rsidRDefault="00B20392" w:rsidP="00603CC4">
            <w:pPr>
              <w:spacing w:after="0" w:line="240" w:lineRule="auto"/>
            </w:pPr>
          </w:p>
        </w:tc>
        <w:tc>
          <w:tcPr>
            <w:tcW w:w="508" w:type="dxa"/>
          </w:tcPr>
          <w:p w:rsidR="00B20392" w:rsidRPr="00603CC4" w:rsidRDefault="00B20392" w:rsidP="00603CC4">
            <w:pPr>
              <w:spacing w:after="0" w:line="240" w:lineRule="auto"/>
            </w:pPr>
          </w:p>
        </w:tc>
      </w:tr>
      <w:tr w:rsidR="00B20392" w:rsidRPr="00603CC4" w:rsidTr="00EF5876">
        <w:tc>
          <w:tcPr>
            <w:tcW w:w="709" w:type="dxa"/>
          </w:tcPr>
          <w:p w:rsidR="00B20392" w:rsidRPr="00603CC4" w:rsidRDefault="00B20392" w:rsidP="00603CC4">
            <w:pPr>
              <w:spacing w:after="0" w:line="240" w:lineRule="auto"/>
            </w:pPr>
          </w:p>
        </w:tc>
        <w:tc>
          <w:tcPr>
            <w:tcW w:w="5771" w:type="dxa"/>
          </w:tcPr>
          <w:p w:rsidR="00B20392" w:rsidRPr="00603CC4" w:rsidRDefault="00B20392" w:rsidP="00603CC4">
            <w:pPr>
              <w:spacing w:after="0" w:line="240" w:lineRule="auto"/>
            </w:pPr>
          </w:p>
          <w:p w:rsidR="00B20392" w:rsidRPr="00603CC4" w:rsidRDefault="00B20392" w:rsidP="00603CC4">
            <w:pPr>
              <w:spacing w:after="0" w:line="240" w:lineRule="auto"/>
              <w:jc w:val="both"/>
            </w:pPr>
            <w:r w:rsidRPr="00603CC4">
              <w:t>SMERNICA EURÓPSKEHO PARLAMENTU A RADY (EÚ) 2015/2193</w:t>
            </w:r>
          </w:p>
          <w:p w:rsidR="00B20392" w:rsidRPr="00603CC4" w:rsidRDefault="00B20392" w:rsidP="00603CC4">
            <w:pPr>
              <w:spacing w:after="0" w:line="240" w:lineRule="auto"/>
              <w:jc w:val="both"/>
              <w:rPr>
                <w:color w:val="000000"/>
              </w:rPr>
            </w:pPr>
            <w:r w:rsidRPr="00603CC4">
              <w:rPr>
                <w:color w:val="000000"/>
              </w:rPr>
              <w:t>z 25. novembra 2015 o obmedzení emisií určitých znečisťujúcich látok do ovzdušia zo stredne veľkých spaľovacích zariadení</w:t>
            </w:r>
          </w:p>
          <w:p w:rsidR="00B20392" w:rsidRPr="00603CC4" w:rsidRDefault="00B20392" w:rsidP="00603CC4">
            <w:pPr>
              <w:spacing w:after="0" w:line="240" w:lineRule="auto"/>
              <w:jc w:val="both"/>
              <w:rPr>
                <w:color w:val="000000"/>
              </w:rPr>
            </w:pPr>
            <w:r w:rsidRPr="00603CC4">
              <w:rPr>
                <w:color w:val="000000"/>
              </w:rPr>
              <w:t>(Text s významom pre EHP)</w:t>
            </w:r>
          </w:p>
          <w:p w:rsidR="00B20392" w:rsidRPr="00603CC4" w:rsidRDefault="00B20392" w:rsidP="00603CC4">
            <w:pPr>
              <w:spacing w:after="0" w:line="240" w:lineRule="auto"/>
            </w:pPr>
          </w:p>
        </w:tc>
        <w:tc>
          <w:tcPr>
            <w:tcW w:w="397" w:type="dxa"/>
          </w:tcPr>
          <w:p w:rsidR="00B20392" w:rsidRPr="00603CC4" w:rsidRDefault="00B20392" w:rsidP="00603CC4">
            <w:pPr>
              <w:spacing w:after="0" w:line="240" w:lineRule="auto"/>
            </w:pPr>
          </w:p>
        </w:tc>
        <w:tc>
          <w:tcPr>
            <w:tcW w:w="708" w:type="dxa"/>
          </w:tcPr>
          <w:p w:rsidR="00B20392" w:rsidRPr="00603CC4" w:rsidRDefault="00B20392" w:rsidP="007368A9">
            <w:pPr>
              <w:spacing w:after="0" w:line="240" w:lineRule="auto"/>
              <w:ind w:left="-108"/>
            </w:pPr>
          </w:p>
        </w:tc>
        <w:tc>
          <w:tcPr>
            <w:tcW w:w="596" w:type="dxa"/>
          </w:tcPr>
          <w:p w:rsidR="00B20392" w:rsidRPr="00D10620" w:rsidRDefault="00B20392" w:rsidP="00603CC4">
            <w:pPr>
              <w:spacing w:after="0" w:line="240" w:lineRule="auto"/>
            </w:pPr>
          </w:p>
        </w:tc>
        <w:tc>
          <w:tcPr>
            <w:tcW w:w="6396" w:type="dxa"/>
          </w:tcPr>
          <w:p w:rsidR="00B20392" w:rsidRPr="00EF5876" w:rsidRDefault="00B20392" w:rsidP="00603CC4">
            <w:pPr>
              <w:spacing w:after="0" w:line="240" w:lineRule="auto"/>
              <w:ind w:left="310" w:hanging="310"/>
            </w:pPr>
            <w:r w:rsidRPr="00EF5876">
              <w:t xml:space="preserve">Z – zákon č. 137/2010 Z. z. o ovzduší  v znení neskorších predpisov </w:t>
            </w:r>
          </w:p>
          <w:p w:rsidR="00447A05" w:rsidRPr="00EF5876" w:rsidRDefault="00447A05" w:rsidP="00447A05">
            <w:pPr>
              <w:spacing w:after="0" w:line="240" w:lineRule="auto"/>
              <w:ind w:left="345" w:hanging="345"/>
            </w:pPr>
            <w:r w:rsidRPr="00EF5876">
              <w:t>NZ –  návrh novely zákona č. 137/2010 Z. z.</w:t>
            </w:r>
          </w:p>
          <w:p w:rsidR="00B20392" w:rsidRPr="00EF5876" w:rsidRDefault="00B20392" w:rsidP="008C67AA">
            <w:pPr>
              <w:spacing w:after="0" w:line="240" w:lineRule="auto"/>
              <w:ind w:left="714" w:hanging="714"/>
            </w:pPr>
            <w:r w:rsidRPr="00EF5876">
              <w:t>V</w:t>
            </w:r>
            <w:r w:rsidR="0021001A" w:rsidRPr="00EF5876">
              <w:t>231</w:t>
            </w:r>
            <w:r w:rsidR="000E363C" w:rsidRPr="00EF5876">
              <w:t xml:space="preserve"> </w:t>
            </w:r>
            <w:r w:rsidRPr="00EF5876">
              <w:t xml:space="preserve">-  Vyhláška Ministerstva životného prostredia Slovenskej republiky č. </w:t>
            </w:r>
            <w:r w:rsidRPr="00EF5876">
              <w:rPr>
                <w:b/>
                <w:bCs/>
              </w:rPr>
              <w:t>231/2013</w:t>
            </w:r>
            <w:r w:rsidRPr="00EF5876">
              <w:t xml:space="preserve"> Z. z., o informá</w:t>
            </w:r>
            <w:r w:rsidRPr="00EF5876">
              <w:softHyphen/>
              <w:t>ciách podávaných Európskej komisii, o požiadavkách na vedenie prevádzkovej evidencie, o údajoch oznamovaných do Národného emisného informačného systému a o súbore technicko-prevádzkových parametrov a technicko-organizačných opatrení</w:t>
            </w:r>
            <w:r w:rsidR="00447A05" w:rsidRPr="00EF5876">
              <w:t xml:space="preserve"> v znení vyhlášky č. 33/2017 Z.</w:t>
            </w:r>
            <w:r w:rsidR="000E363C" w:rsidRPr="00EF5876">
              <w:t xml:space="preserve"> </w:t>
            </w:r>
            <w:r w:rsidR="00447A05" w:rsidRPr="00EF5876">
              <w:t xml:space="preserve">z. </w:t>
            </w:r>
          </w:p>
          <w:p w:rsidR="00447A05" w:rsidRPr="00EF5876" w:rsidRDefault="00447A05" w:rsidP="00603CC4">
            <w:pPr>
              <w:spacing w:after="0" w:line="240" w:lineRule="auto"/>
              <w:ind w:left="635" w:hanging="635"/>
            </w:pPr>
            <w:r w:rsidRPr="00EF5876">
              <w:t>V410</w:t>
            </w:r>
            <w:r w:rsidR="000E363C" w:rsidRPr="00EF5876">
              <w:t xml:space="preserve"> </w:t>
            </w:r>
            <w:r w:rsidRPr="00EF5876">
              <w:t>- vyhláška Ministerstva životného prostredia Slovenskej republiky č. 410/2012 Z. z.  ktorou s</w:t>
            </w:r>
            <w:r w:rsidR="000E363C" w:rsidRPr="00EF5876">
              <w:t> a vykonávajú niektoré ustanovenia zákona o ovzduší</w:t>
            </w:r>
          </w:p>
          <w:p w:rsidR="00447A05" w:rsidRPr="00EF5876" w:rsidRDefault="00447A05" w:rsidP="00603CC4">
            <w:pPr>
              <w:spacing w:after="0" w:line="240" w:lineRule="auto"/>
              <w:ind w:left="635" w:hanging="635"/>
            </w:pPr>
            <w:r w:rsidRPr="00EF5876">
              <w:t>N410</w:t>
            </w:r>
            <w:r w:rsidR="000E363C" w:rsidRPr="00EF5876">
              <w:t xml:space="preserve"> –vyhláška, ktorou  sa mení a dopĺňa vyhláška Ministerstva životného prostredia č. 410/2012 Z. z. </w:t>
            </w:r>
          </w:p>
          <w:p w:rsidR="00B20392" w:rsidRDefault="00B20392" w:rsidP="00603CC4">
            <w:pPr>
              <w:spacing w:after="0" w:line="240" w:lineRule="auto"/>
              <w:ind w:left="635" w:hanging="635"/>
            </w:pPr>
            <w:r w:rsidRPr="00EF5876">
              <w:t>N411 –vyhláška, ktorou sa mení vyhláška Ministerstva životného prostredia č. 411/2012 Z. z. o monitorovaní emisií zo stacionárnych zdrojov znečisťovania ovzdušia a kvality ovzdušia v ich okolí</w:t>
            </w:r>
          </w:p>
          <w:p w:rsidR="008C67AA" w:rsidRPr="00EF5876" w:rsidRDefault="008C67AA" w:rsidP="00603CC4">
            <w:pPr>
              <w:spacing w:after="0" w:line="240" w:lineRule="auto"/>
              <w:ind w:left="635" w:hanging="635"/>
              <w:rPr>
                <w:b/>
                <w:bCs/>
              </w:rPr>
            </w:pPr>
            <w:r>
              <w:t>Z39 – zákon č. 39/2023 Z. z. o integrovanej prevencii  a kontrole znečisťovania životného prostredia a o zmene  a doplnení niektorých zákonov</w:t>
            </w:r>
          </w:p>
        </w:tc>
        <w:tc>
          <w:tcPr>
            <w:tcW w:w="508" w:type="dxa"/>
          </w:tcPr>
          <w:p w:rsidR="00B20392" w:rsidRPr="00603CC4" w:rsidRDefault="00B20392" w:rsidP="00603CC4">
            <w:pPr>
              <w:spacing w:after="0" w:line="240" w:lineRule="auto"/>
            </w:pPr>
          </w:p>
        </w:tc>
        <w:tc>
          <w:tcPr>
            <w:tcW w:w="508" w:type="dxa"/>
          </w:tcPr>
          <w:p w:rsidR="00B20392" w:rsidRPr="00603CC4" w:rsidRDefault="00B20392" w:rsidP="00603CC4">
            <w:pPr>
              <w:spacing w:after="0" w:line="240" w:lineRule="auto"/>
            </w:pPr>
          </w:p>
        </w:tc>
      </w:tr>
      <w:tr w:rsidR="00B20392" w:rsidRPr="00603CC4" w:rsidTr="00EF5876">
        <w:tc>
          <w:tcPr>
            <w:tcW w:w="709" w:type="dxa"/>
            <w:vAlign w:val="center"/>
          </w:tcPr>
          <w:p w:rsidR="00B20392" w:rsidRPr="00603CC4" w:rsidRDefault="00B20392" w:rsidP="00603CC4">
            <w:pPr>
              <w:spacing w:after="0" w:line="240" w:lineRule="auto"/>
            </w:pPr>
            <w:r w:rsidRPr="00603CC4">
              <w:t>1</w:t>
            </w:r>
          </w:p>
        </w:tc>
        <w:tc>
          <w:tcPr>
            <w:tcW w:w="5771" w:type="dxa"/>
            <w:vAlign w:val="center"/>
          </w:tcPr>
          <w:p w:rsidR="00B20392" w:rsidRPr="00603CC4" w:rsidRDefault="00B20392" w:rsidP="00603CC4">
            <w:pPr>
              <w:spacing w:after="0" w:line="240" w:lineRule="auto"/>
            </w:pPr>
            <w:r w:rsidRPr="00603CC4">
              <w:t>2</w:t>
            </w:r>
          </w:p>
        </w:tc>
        <w:tc>
          <w:tcPr>
            <w:tcW w:w="397" w:type="dxa"/>
            <w:vAlign w:val="center"/>
          </w:tcPr>
          <w:p w:rsidR="00B20392" w:rsidRPr="00603CC4" w:rsidRDefault="00B20392" w:rsidP="00603CC4">
            <w:pPr>
              <w:spacing w:after="0" w:line="240" w:lineRule="auto"/>
            </w:pPr>
            <w:r w:rsidRPr="00603CC4">
              <w:t>3</w:t>
            </w:r>
          </w:p>
        </w:tc>
        <w:tc>
          <w:tcPr>
            <w:tcW w:w="708" w:type="dxa"/>
            <w:vAlign w:val="center"/>
          </w:tcPr>
          <w:p w:rsidR="00B20392" w:rsidRPr="00603CC4" w:rsidRDefault="00B20392" w:rsidP="00603CC4">
            <w:pPr>
              <w:spacing w:after="0" w:line="240" w:lineRule="auto"/>
            </w:pPr>
            <w:r w:rsidRPr="00603CC4">
              <w:t>4</w:t>
            </w:r>
          </w:p>
        </w:tc>
        <w:tc>
          <w:tcPr>
            <w:tcW w:w="596" w:type="dxa"/>
            <w:vAlign w:val="center"/>
          </w:tcPr>
          <w:p w:rsidR="00B20392" w:rsidRPr="00603CC4" w:rsidRDefault="00B20392" w:rsidP="00603CC4">
            <w:pPr>
              <w:spacing w:after="0" w:line="240" w:lineRule="auto"/>
            </w:pPr>
            <w:r w:rsidRPr="00603CC4">
              <w:t>5</w:t>
            </w:r>
          </w:p>
        </w:tc>
        <w:tc>
          <w:tcPr>
            <w:tcW w:w="6396" w:type="dxa"/>
            <w:vAlign w:val="center"/>
          </w:tcPr>
          <w:p w:rsidR="00B20392" w:rsidRPr="00EF5876" w:rsidRDefault="00B20392" w:rsidP="00603CC4">
            <w:pPr>
              <w:spacing w:after="0" w:line="240" w:lineRule="auto"/>
            </w:pPr>
            <w:r w:rsidRPr="00EF5876">
              <w:t>6</w:t>
            </w:r>
          </w:p>
        </w:tc>
        <w:tc>
          <w:tcPr>
            <w:tcW w:w="508" w:type="dxa"/>
            <w:vAlign w:val="center"/>
          </w:tcPr>
          <w:p w:rsidR="00B20392" w:rsidRPr="00603CC4" w:rsidRDefault="00B20392" w:rsidP="00603CC4">
            <w:pPr>
              <w:spacing w:after="0" w:line="240" w:lineRule="auto"/>
            </w:pPr>
            <w:r w:rsidRPr="00603CC4">
              <w:t>7</w:t>
            </w:r>
          </w:p>
        </w:tc>
        <w:tc>
          <w:tcPr>
            <w:tcW w:w="508" w:type="dxa"/>
            <w:vAlign w:val="center"/>
          </w:tcPr>
          <w:p w:rsidR="00B20392" w:rsidRPr="00603CC4" w:rsidRDefault="00B20392" w:rsidP="00603CC4">
            <w:pPr>
              <w:spacing w:after="0" w:line="240" w:lineRule="auto"/>
            </w:pPr>
            <w:r w:rsidRPr="00603CC4">
              <w:t>8</w:t>
            </w:r>
          </w:p>
        </w:tc>
      </w:tr>
      <w:tr w:rsidR="00B20392" w:rsidRPr="00603CC4" w:rsidTr="008C67AA">
        <w:trPr>
          <w:cantSplit/>
          <w:trHeight w:val="1200"/>
        </w:trPr>
        <w:tc>
          <w:tcPr>
            <w:tcW w:w="709" w:type="dxa"/>
            <w:vAlign w:val="center"/>
          </w:tcPr>
          <w:p w:rsidR="00B20392" w:rsidRPr="00603CC4" w:rsidRDefault="00B20392" w:rsidP="00603CC4">
            <w:pPr>
              <w:spacing w:after="0" w:line="240" w:lineRule="auto"/>
            </w:pPr>
            <w:r w:rsidRPr="00603CC4">
              <w:t>Článok</w:t>
            </w:r>
          </w:p>
        </w:tc>
        <w:tc>
          <w:tcPr>
            <w:tcW w:w="5771" w:type="dxa"/>
            <w:vAlign w:val="center"/>
          </w:tcPr>
          <w:p w:rsidR="00B20392" w:rsidRPr="00603CC4" w:rsidRDefault="00B20392" w:rsidP="00603CC4">
            <w:pPr>
              <w:spacing w:after="0" w:line="240" w:lineRule="auto"/>
            </w:pPr>
            <w:r w:rsidRPr="00603CC4">
              <w:t>Text</w:t>
            </w:r>
          </w:p>
        </w:tc>
        <w:tc>
          <w:tcPr>
            <w:tcW w:w="397" w:type="dxa"/>
            <w:textDirection w:val="btLr"/>
            <w:vAlign w:val="center"/>
          </w:tcPr>
          <w:p w:rsidR="00B20392" w:rsidRPr="008C67AA" w:rsidRDefault="00B20392" w:rsidP="00603CC4">
            <w:pPr>
              <w:spacing w:after="0" w:line="240" w:lineRule="auto"/>
              <w:ind w:left="113" w:right="113"/>
              <w:rPr>
                <w:sz w:val="18"/>
                <w:szCs w:val="18"/>
              </w:rPr>
            </w:pPr>
            <w:r w:rsidRPr="008C67AA">
              <w:rPr>
                <w:sz w:val="18"/>
                <w:szCs w:val="18"/>
              </w:rPr>
              <w:t>Spôsob transpozície</w:t>
            </w:r>
          </w:p>
        </w:tc>
        <w:tc>
          <w:tcPr>
            <w:tcW w:w="708" w:type="dxa"/>
            <w:textDirection w:val="btLr"/>
            <w:vAlign w:val="center"/>
          </w:tcPr>
          <w:p w:rsidR="00B20392" w:rsidRPr="008C67AA" w:rsidRDefault="00B20392" w:rsidP="00603CC4">
            <w:pPr>
              <w:spacing w:after="0" w:line="240" w:lineRule="auto"/>
              <w:ind w:left="113" w:right="113"/>
              <w:rPr>
                <w:sz w:val="18"/>
                <w:szCs w:val="18"/>
              </w:rPr>
            </w:pPr>
            <w:r w:rsidRPr="008C67AA">
              <w:rPr>
                <w:sz w:val="18"/>
                <w:szCs w:val="18"/>
              </w:rPr>
              <w:t xml:space="preserve">Právny </w:t>
            </w:r>
            <w:proofErr w:type="spellStart"/>
            <w:r w:rsidRPr="008C67AA">
              <w:rPr>
                <w:sz w:val="18"/>
                <w:szCs w:val="18"/>
              </w:rPr>
              <w:t>pr</w:t>
            </w:r>
            <w:proofErr w:type="spellEnd"/>
            <w:r w:rsidRPr="008C67AA">
              <w:rPr>
                <w:sz w:val="18"/>
                <w:szCs w:val="18"/>
              </w:rPr>
              <w:t>.</w:t>
            </w:r>
          </w:p>
        </w:tc>
        <w:tc>
          <w:tcPr>
            <w:tcW w:w="596" w:type="dxa"/>
            <w:textDirection w:val="btLr"/>
            <w:vAlign w:val="center"/>
          </w:tcPr>
          <w:p w:rsidR="00B20392" w:rsidRPr="008C67AA" w:rsidRDefault="00B20392" w:rsidP="00603CC4">
            <w:pPr>
              <w:spacing w:after="0" w:line="240" w:lineRule="auto"/>
              <w:ind w:left="113" w:right="113"/>
              <w:rPr>
                <w:sz w:val="18"/>
                <w:szCs w:val="18"/>
              </w:rPr>
            </w:pPr>
            <w:r w:rsidRPr="008C67AA">
              <w:rPr>
                <w:sz w:val="18"/>
                <w:szCs w:val="18"/>
              </w:rPr>
              <w:t>Ustanovenie</w:t>
            </w:r>
          </w:p>
        </w:tc>
        <w:tc>
          <w:tcPr>
            <w:tcW w:w="6396" w:type="dxa"/>
            <w:vAlign w:val="center"/>
          </w:tcPr>
          <w:p w:rsidR="00B20392" w:rsidRPr="00EF5876" w:rsidRDefault="00B20392" w:rsidP="00603CC4">
            <w:pPr>
              <w:spacing w:after="0" w:line="240" w:lineRule="auto"/>
            </w:pPr>
            <w:r w:rsidRPr="00EF5876">
              <w:t>Text</w:t>
            </w:r>
          </w:p>
        </w:tc>
        <w:tc>
          <w:tcPr>
            <w:tcW w:w="508" w:type="dxa"/>
            <w:textDirection w:val="btLr"/>
            <w:vAlign w:val="center"/>
          </w:tcPr>
          <w:p w:rsidR="00B20392" w:rsidRPr="00603CC4" w:rsidRDefault="00B20392" w:rsidP="00603CC4">
            <w:pPr>
              <w:spacing w:after="0" w:line="240" w:lineRule="auto"/>
              <w:ind w:left="113" w:right="113"/>
            </w:pPr>
            <w:r w:rsidRPr="00603CC4">
              <w:t>Zhoda</w:t>
            </w:r>
          </w:p>
        </w:tc>
        <w:tc>
          <w:tcPr>
            <w:tcW w:w="508" w:type="dxa"/>
            <w:textDirection w:val="btLr"/>
            <w:vAlign w:val="center"/>
          </w:tcPr>
          <w:p w:rsidR="00B20392" w:rsidRPr="00603CC4" w:rsidRDefault="00B20392" w:rsidP="00603CC4">
            <w:pPr>
              <w:spacing w:after="0" w:line="240" w:lineRule="auto"/>
              <w:ind w:left="113" w:right="113"/>
            </w:pPr>
            <w:r w:rsidRPr="00603CC4">
              <w:t>Poznámky</w:t>
            </w:r>
          </w:p>
        </w:tc>
      </w:tr>
      <w:tr w:rsidR="00B20392" w:rsidRPr="00603CC4" w:rsidTr="00EF5876">
        <w:tc>
          <w:tcPr>
            <w:tcW w:w="709" w:type="dxa"/>
            <w:tcBorders>
              <w:bottom w:val="nil"/>
            </w:tcBorders>
            <w:vAlign w:val="center"/>
          </w:tcPr>
          <w:p w:rsidR="00B20392" w:rsidRPr="00603CC4" w:rsidRDefault="00B20392" w:rsidP="00603CC4">
            <w:pPr>
              <w:spacing w:after="0" w:line="240" w:lineRule="auto"/>
            </w:pPr>
            <w:r w:rsidRPr="00603CC4">
              <w:t xml:space="preserve">Č:1 </w:t>
            </w:r>
          </w:p>
        </w:tc>
        <w:tc>
          <w:tcPr>
            <w:tcW w:w="5771" w:type="dxa"/>
            <w:vAlign w:val="center"/>
          </w:tcPr>
          <w:p w:rsidR="00B20392" w:rsidRPr="00603CC4" w:rsidRDefault="00B20392" w:rsidP="00603CC4">
            <w:pPr>
              <w:spacing w:after="0" w:line="240" w:lineRule="auto"/>
            </w:pPr>
            <w:r w:rsidRPr="00603CC4">
              <w:rPr>
                <w:color w:val="000000"/>
              </w:rPr>
              <w:t>Predmet úpravy</w:t>
            </w:r>
          </w:p>
        </w:tc>
        <w:tc>
          <w:tcPr>
            <w:tcW w:w="397" w:type="dxa"/>
            <w:vAlign w:val="center"/>
          </w:tcPr>
          <w:p w:rsidR="00B20392" w:rsidRPr="008C67AA" w:rsidRDefault="00B20392" w:rsidP="00603CC4">
            <w:pPr>
              <w:spacing w:after="0" w:line="240" w:lineRule="auto"/>
              <w:rPr>
                <w:sz w:val="18"/>
                <w:szCs w:val="18"/>
              </w:rPr>
            </w:pPr>
          </w:p>
        </w:tc>
        <w:tc>
          <w:tcPr>
            <w:tcW w:w="708" w:type="dxa"/>
            <w:vAlign w:val="center"/>
          </w:tcPr>
          <w:p w:rsidR="00B20392" w:rsidRPr="00603CC4" w:rsidRDefault="00B20392" w:rsidP="00603CC4">
            <w:pPr>
              <w:spacing w:after="0" w:line="240" w:lineRule="auto"/>
            </w:pPr>
          </w:p>
        </w:tc>
        <w:tc>
          <w:tcPr>
            <w:tcW w:w="596" w:type="dxa"/>
            <w:vAlign w:val="center"/>
          </w:tcPr>
          <w:p w:rsidR="00B20392" w:rsidRPr="00603CC4" w:rsidRDefault="00B20392" w:rsidP="00603CC4">
            <w:pPr>
              <w:spacing w:after="0" w:line="240" w:lineRule="auto"/>
            </w:pPr>
          </w:p>
        </w:tc>
        <w:tc>
          <w:tcPr>
            <w:tcW w:w="6396" w:type="dxa"/>
            <w:vAlign w:val="center"/>
          </w:tcPr>
          <w:p w:rsidR="00B20392" w:rsidRPr="00EF5876" w:rsidRDefault="00B20392" w:rsidP="00603CC4">
            <w:pPr>
              <w:spacing w:after="0" w:line="240" w:lineRule="auto"/>
            </w:pPr>
          </w:p>
        </w:tc>
        <w:tc>
          <w:tcPr>
            <w:tcW w:w="508" w:type="dxa"/>
            <w:tcBorders>
              <w:bottom w:val="nil"/>
            </w:tcBorders>
            <w:vAlign w:val="center"/>
          </w:tcPr>
          <w:p w:rsidR="00B20392" w:rsidRPr="00603CC4" w:rsidRDefault="00B20392" w:rsidP="00603CC4">
            <w:pPr>
              <w:spacing w:after="0" w:line="240" w:lineRule="auto"/>
            </w:pPr>
          </w:p>
        </w:tc>
        <w:tc>
          <w:tcPr>
            <w:tcW w:w="508" w:type="dxa"/>
            <w:tcBorders>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pPr>
            <w:r w:rsidRPr="00603CC4">
              <w:t>O:1</w:t>
            </w:r>
          </w:p>
        </w:tc>
        <w:tc>
          <w:tcPr>
            <w:tcW w:w="5771" w:type="dxa"/>
            <w:vAlign w:val="center"/>
          </w:tcPr>
          <w:p w:rsidR="00B20392" w:rsidRPr="00603CC4" w:rsidRDefault="00B20392" w:rsidP="00603CC4">
            <w:pPr>
              <w:spacing w:after="0" w:line="240" w:lineRule="auto"/>
            </w:pPr>
            <w:r w:rsidRPr="00603CC4">
              <w:rPr>
                <w:color w:val="000000"/>
              </w:rPr>
              <w:t>V tejto smernici sa stanovujú pravidlá týkajúce sa kontroly emisií oxidu siričitého (SO</w:t>
            </w:r>
            <w:r w:rsidRPr="00603CC4">
              <w:rPr>
                <w:rStyle w:val="sub"/>
                <w:color w:val="000000"/>
                <w:sz w:val="22"/>
                <w:szCs w:val="22"/>
              </w:rPr>
              <w:t>2</w:t>
            </w:r>
            <w:r w:rsidRPr="00603CC4">
              <w:rPr>
                <w:color w:val="000000"/>
              </w:rPr>
              <w:t>), oxidov dusíka (NO</w:t>
            </w:r>
            <w:r w:rsidRPr="00603CC4">
              <w:rPr>
                <w:rStyle w:val="sub"/>
                <w:color w:val="000000"/>
                <w:sz w:val="22"/>
                <w:szCs w:val="22"/>
              </w:rPr>
              <w:t>x</w:t>
            </w:r>
            <w:r w:rsidRPr="00603CC4">
              <w:rPr>
                <w:color w:val="000000"/>
              </w:rPr>
              <w:t xml:space="preserve">) a prachu do </w:t>
            </w:r>
            <w:r w:rsidRPr="00603CC4">
              <w:rPr>
                <w:color w:val="000000"/>
              </w:rPr>
              <w:lastRenderedPageBreak/>
              <w:t>ovzdušia zo stredne veľkých spaľovacích zariadení s cieľom znížiť tak emisie do ovzdušia a potenciálne riziká týchto emisií pre ľudské zdravie a životné prostredie.</w:t>
            </w:r>
          </w:p>
        </w:tc>
        <w:tc>
          <w:tcPr>
            <w:tcW w:w="397" w:type="dxa"/>
            <w:vAlign w:val="center"/>
          </w:tcPr>
          <w:p w:rsidR="00B20392" w:rsidRPr="00603CC4" w:rsidRDefault="00B20392" w:rsidP="00603CC4">
            <w:pPr>
              <w:spacing w:after="0" w:line="240" w:lineRule="auto"/>
            </w:pPr>
            <w:r>
              <w:lastRenderedPageBreak/>
              <w:t>N</w:t>
            </w:r>
          </w:p>
        </w:tc>
        <w:tc>
          <w:tcPr>
            <w:tcW w:w="708" w:type="dxa"/>
            <w:vAlign w:val="center"/>
          </w:tcPr>
          <w:p w:rsidR="00B20392" w:rsidRPr="00603CC4" w:rsidRDefault="0089256B" w:rsidP="00603CC4">
            <w:pPr>
              <w:spacing w:after="0" w:line="240" w:lineRule="auto"/>
            </w:pPr>
            <w:r>
              <w:t>Z</w:t>
            </w:r>
          </w:p>
        </w:tc>
        <w:tc>
          <w:tcPr>
            <w:tcW w:w="596" w:type="dxa"/>
            <w:vAlign w:val="center"/>
          </w:tcPr>
          <w:p w:rsidR="00B20392" w:rsidRPr="00603CC4" w:rsidRDefault="000E363C" w:rsidP="00603CC4">
            <w:pPr>
              <w:spacing w:after="0" w:line="240" w:lineRule="auto"/>
            </w:pPr>
            <w:r>
              <w:t>§:1</w:t>
            </w:r>
          </w:p>
        </w:tc>
        <w:tc>
          <w:tcPr>
            <w:tcW w:w="6396" w:type="dxa"/>
            <w:vAlign w:val="center"/>
          </w:tcPr>
          <w:p w:rsidR="005549E9" w:rsidRPr="00EF5876" w:rsidRDefault="005549E9" w:rsidP="005549E9">
            <w:pPr>
              <w:autoSpaceDE w:val="0"/>
              <w:autoSpaceDN w:val="0"/>
              <w:adjustRightInd w:val="0"/>
              <w:spacing w:after="0" w:line="240" w:lineRule="auto"/>
            </w:pPr>
            <w:r w:rsidRPr="00EF5876">
              <w:t>(1) Tento zákon upravuje práva a povinnosti osôb pri ochrane ovzdušia pred vnášaním znečisťujúcich látok ľudskou</w:t>
            </w:r>
          </w:p>
          <w:p w:rsidR="00B20392" w:rsidRPr="00EF5876" w:rsidRDefault="005549E9" w:rsidP="005549E9">
            <w:pPr>
              <w:spacing w:after="0" w:line="240" w:lineRule="auto"/>
            </w:pPr>
            <w:r w:rsidRPr="00EF5876">
              <w:lastRenderedPageBreak/>
              <w:t>činnosťou pri obmedzovaní príčin a zmierňovaní následkov znečisťovania ovzdušia</w:t>
            </w: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tcBorders>
            <w:vAlign w:val="center"/>
          </w:tcPr>
          <w:p w:rsidR="00B20392" w:rsidRPr="00603CC4" w:rsidRDefault="00B20392" w:rsidP="00603CC4">
            <w:pPr>
              <w:spacing w:after="0" w:line="240" w:lineRule="auto"/>
            </w:pPr>
            <w:r w:rsidRPr="00603CC4">
              <w:lastRenderedPageBreak/>
              <w:t>O:2</w:t>
            </w:r>
          </w:p>
        </w:tc>
        <w:tc>
          <w:tcPr>
            <w:tcW w:w="5771" w:type="dxa"/>
            <w:shd w:val="clear" w:color="auto" w:fill="F2F2F2"/>
            <w:vAlign w:val="center"/>
          </w:tcPr>
          <w:p w:rsidR="00B20392" w:rsidRPr="00603CC4" w:rsidRDefault="00B20392" w:rsidP="00603CC4">
            <w:pPr>
              <w:spacing w:after="0" w:line="240" w:lineRule="auto"/>
            </w:pPr>
            <w:r w:rsidRPr="00603CC4">
              <w:rPr>
                <w:color w:val="000000"/>
              </w:rPr>
              <w:t>V tejto smernici sa stanovujú aj pravidlá pre monitorovanie emisií oxidu uhoľnatého (CO).</w:t>
            </w:r>
          </w:p>
        </w:tc>
        <w:tc>
          <w:tcPr>
            <w:tcW w:w="397" w:type="dxa"/>
            <w:shd w:val="clear" w:color="auto" w:fill="F2F2F2"/>
            <w:vAlign w:val="center"/>
          </w:tcPr>
          <w:p w:rsidR="00B20392" w:rsidRPr="00603CC4" w:rsidRDefault="00B20392" w:rsidP="00603CC4">
            <w:pPr>
              <w:spacing w:after="0" w:line="240" w:lineRule="auto"/>
            </w:pPr>
            <w:r>
              <w:t>N</w:t>
            </w:r>
          </w:p>
        </w:tc>
        <w:tc>
          <w:tcPr>
            <w:tcW w:w="708" w:type="dxa"/>
            <w:shd w:val="clear" w:color="auto" w:fill="F2F2F2"/>
            <w:vAlign w:val="center"/>
          </w:tcPr>
          <w:p w:rsidR="00B20392" w:rsidRPr="00603CC4" w:rsidRDefault="00B20392" w:rsidP="00603CC4">
            <w:pPr>
              <w:spacing w:after="0" w:line="240" w:lineRule="auto"/>
            </w:pPr>
            <w:r>
              <w:t>N</w:t>
            </w:r>
            <w:r w:rsidRPr="00603CC4">
              <w:t>411</w:t>
            </w:r>
          </w:p>
        </w:tc>
        <w:tc>
          <w:tcPr>
            <w:tcW w:w="596" w:type="dxa"/>
            <w:shd w:val="clear" w:color="auto" w:fill="F2F2F2"/>
            <w:vAlign w:val="center"/>
          </w:tcPr>
          <w:p w:rsidR="00B20392" w:rsidRPr="00603CC4" w:rsidRDefault="00B20392" w:rsidP="00603CC4">
            <w:pPr>
              <w:spacing w:after="0" w:line="240" w:lineRule="auto"/>
            </w:pPr>
            <w:r w:rsidRPr="00603CC4">
              <w:t>§</w:t>
            </w:r>
            <w:r w:rsidR="00D14602">
              <w:t>:</w:t>
            </w:r>
            <w:r w:rsidRPr="00603CC4">
              <w:t>2</w:t>
            </w:r>
          </w:p>
          <w:p w:rsidR="00B20392" w:rsidRPr="00603CC4" w:rsidRDefault="00B20392" w:rsidP="00603CC4">
            <w:pPr>
              <w:spacing w:after="0" w:line="240" w:lineRule="auto"/>
            </w:pPr>
            <w:r w:rsidRPr="00603CC4">
              <w:t>O</w:t>
            </w:r>
            <w:r w:rsidR="00D14602">
              <w:t>:</w:t>
            </w:r>
            <w:r w:rsidRPr="00603CC4">
              <w:t>4</w:t>
            </w:r>
          </w:p>
          <w:p w:rsidR="00B20392" w:rsidRDefault="00B20392" w:rsidP="00603CC4">
            <w:pPr>
              <w:spacing w:after="0" w:line="240" w:lineRule="auto"/>
            </w:pPr>
            <w:r>
              <w:t>P</w:t>
            </w:r>
            <w:r w:rsidR="00D14602">
              <w:t>:</w:t>
            </w:r>
            <w:r>
              <w:t>A</w:t>
            </w:r>
          </w:p>
          <w:p w:rsidR="00B20392" w:rsidRPr="00603CC4" w:rsidRDefault="00B20392" w:rsidP="00603CC4">
            <w:pPr>
              <w:spacing w:after="0" w:line="240" w:lineRule="auto"/>
            </w:pPr>
            <w:r>
              <w:t>B</w:t>
            </w:r>
            <w:r w:rsidR="00D14602">
              <w:t>:</w:t>
            </w:r>
            <w:r w:rsidRPr="00603CC4">
              <w:t>2</w:t>
            </w:r>
          </w:p>
        </w:tc>
        <w:tc>
          <w:tcPr>
            <w:tcW w:w="6396" w:type="dxa"/>
            <w:shd w:val="clear" w:color="auto" w:fill="F2F2F2"/>
            <w:vAlign w:val="center"/>
          </w:tcPr>
          <w:p w:rsidR="00B20392" w:rsidRPr="00EF5876" w:rsidRDefault="00B20392" w:rsidP="00603CC4">
            <w:pPr>
              <w:tabs>
                <w:tab w:val="left" w:pos="567"/>
              </w:tabs>
              <w:spacing w:before="120" w:after="0" w:line="22" w:lineRule="atLeast"/>
            </w:pPr>
            <w:r w:rsidRPr="00EF5876">
              <w:t>(4)Spôsob a požiadavky monitorovania množstva emisie a údajov o dodržaní emisnej požiadavky sa členia pre</w:t>
            </w:r>
          </w:p>
          <w:p w:rsidR="00B20392" w:rsidRPr="00EF5876" w:rsidRDefault="00B20392" w:rsidP="00215280">
            <w:pPr>
              <w:numPr>
                <w:ilvl w:val="0"/>
                <w:numId w:val="4"/>
              </w:numPr>
              <w:spacing w:before="60" w:after="0" w:line="22" w:lineRule="atLeast"/>
              <w:ind w:hanging="283"/>
              <w:jc w:val="both"/>
            </w:pPr>
            <w:r w:rsidRPr="00EF5876">
              <w:t xml:space="preserve">spaľovacie zariadenie podľa § 2 písm. p) zákona a osobitne pre </w:t>
            </w:r>
          </w:p>
          <w:p w:rsidR="00B20392" w:rsidRPr="00EF5876" w:rsidRDefault="00B20392" w:rsidP="00603CC4">
            <w:pPr>
              <w:spacing w:after="0" w:line="22" w:lineRule="atLeast"/>
              <w:ind w:left="452" w:hanging="142"/>
            </w:pPr>
            <w:r w:rsidRPr="00EF5876">
              <w:t xml:space="preserve">2. stredne veľké spaľovacie zariadenie podľa § 2 písm. u) zákona </w:t>
            </w:r>
            <w:r w:rsidRPr="00EF5876">
              <w:rPr>
                <w:u w:val="single"/>
              </w:rPr>
              <w:t>vrátane pravidiel pre monitorovanie emisií oxidu uhoľnatého (CO)</w:t>
            </w:r>
            <w:r w:rsidRPr="00EF5876">
              <w:t>,</w:t>
            </w:r>
          </w:p>
        </w:tc>
        <w:tc>
          <w:tcPr>
            <w:tcW w:w="508" w:type="dxa"/>
            <w:tcBorders>
              <w:top w:val="nil"/>
            </w:tcBorders>
            <w:vAlign w:val="center"/>
          </w:tcPr>
          <w:p w:rsidR="00B20392" w:rsidRPr="00603CC4" w:rsidRDefault="00B20392" w:rsidP="00603CC4">
            <w:pPr>
              <w:spacing w:after="0" w:line="240" w:lineRule="auto"/>
            </w:pPr>
            <w:r>
              <w:t>Ú</w:t>
            </w:r>
          </w:p>
        </w:tc>
        <w:tc>
          <w:tcPr>
            <w:tcW w:w="508" w:type="dxa"/>
            <w:tcBorders>
              <w:top w:val="nil"/>
            </w:tcBorders>
            <w:vAlign w:val="center"/>
          </w:tcPr>
          <w:p w:rsidR="00B20392" w:rsidRPr="00603CC4" w:rsidRDefault="00B20392" w:rsidP="00603CC4">
            <w:pPr>
              <w:spacing w:after="0" w:line="240" w:lineRule="auto"/>
            </w:pPr>
          </w:p>
        </w:tc>
      </w:tr>
      <w:tr w:rsidR="00B20392" w:rsidRPr="00603CC4" w:rsidTr="00EF5876">
        <w:tc>
          <w:tcPr>
            <w:tcW w:w="709" w:type="dxa"/>
            <w:tcBorders>
              <w:bottom w:val="nil"/>
            </w:tcBorders>
            <w:vAlign w:val="center"/>
          </w:tcPr>
          <w:p w:rsidR="00B20392" w:rsidRPr="00603CC4" w:rsidRDefault="00B20392" w:rsidP="00603CC4">
            <w:pPr>
              <w:spacing w:after="0" w:line="240" w:lineRule="auto"/>
            </w:pPr>
            <w:r w:rsidRPr="00603CC4">
              <w:t>Č:2</w:t>
            </w:r>
          </w:p>
        </w:tc>
        <w:tc>
          <w:tcPr>
            <w:tcW w:w="5771" w:type="dxa"/>
            <w:vAlign w:val="center"/>
          </w:tcPr>
          <w:p w:rsidR="00B20392" w:rsidRPr="00603CC4" w:rsidRDefault="00B20392" w:rsidP="00603CC4">
            <w:pPr>
              <w:spacing w:after="0" w:line="240" w:lineRule="auto"/>
              <w:rPr>
                <w:color w:val="000000"/>
              </w:rPr>
            </w:pPr>
            <w:r w:rsidRPr="00603CC4">
              <w:rPr>
                <w:color w:val="000000"/>
              </w:rPr>
              <w:t>Rozsah pôsobnosti</w:t>
            </w:r>
          </w:p>
        </w:tc>
        <w:tc>
          <w:tcPr>
            <w:tcW w:w="397" w:type="dxa"/>
            <w:vAlign w:val="center"/>
          </w:tcPr>
          <w:p w:rsidR="00B20392" w:rsidRPr="00603CC4" w:rsidRDefault="00B20392" w:rsidP="00603CC4">
            <w:pPr>
              <w:spacing w:after="0" w:line="240" w:lineRule="auto"/>
            </w:pPr>
          </w:p>
        </w:tc>
        <w:tc>
          <w:tcPr>
            <w:tcW w:w="708" w:type="dxa"/>
            <w:vAlign w:val="center"/>
          </w:tcPr>
          <w:p w:rsidR="00B20392" w:rsidRPr="00603CC4" w:rsidRDefault="00B20392" w:rsidP="00603CC4">
            <w:pPr>
              <w:spacing w:after="0" w:line="240" w:lineRule="auto"/>
            </w:pPr>
          </w:p>
        </w:tc>
        <w:tc>
          <w:tcPr>
            <w:tcW w:w="596" w:type="dxa"/>
            <w:vAlign w:val="center"/>
          </w:tcPr>
          <w:p w:rsidR="00B20392" w:rsidRPr="00603CC4" w:rsidRDefault="00B20392" w:rsidP="00603CC4">
            <w:pPr>
              <w:spacing w:after="0" w:line="240" w:lineRule="auto"/>
            </w:pPr>
          </w:p>
        </w:tc>
        <w:tc>
          <w:tcPr>
            <w:tcW w:w="6396" w:type="dxa"/>
            <w:vAlign w:val="center"/>
          </w:tcPr>
          <w:p w:rsidR="00B20392" w:rsidRPr="00EF5876" w:rsidRDefault="00B20392" w:rsidP="00603CC4">
            <w:pPr>
              <w:spacing w:after="0" w:line="240" w:lineRule="auto"/>
            </w:pPr>
          </w:p>
        </w:tc>
        <w:tc>
          <w:tcPr>
            <w:tcW w:w="508" w:type="dxa"/>
            <w:tcBorders>
              <w:bottom w:val="nil"/>
            </w:tcBorders>
            <w:vAlign w:val="center"/>
          </w:tcPr>
          <w:p w:rsidR="00B20392" w:rsidRPr="00603CC4" w:rsidRDefault="00B20392" w:rsidP="00603CC4">
            <w:pPr>
              <w:spacing w:after="0" w:line="240" w:lineRule="auto"/>
            </w:pPr>
          </w:p>
        </w:tc>
        <w:tc>
          <w:tcPr>
            <w:tcW w:w="508" w:type="dxa"/>
            <w:tcBorders>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Default="00B20392" w:rsidP="00603CC4">
            <w:pPr>
              <w:spacing w:after="0" w:line="240" w:lineRule="auto"/>
            </w:pPr>
            <w:r w:rsidRPr="00603CC4">
              <w:t>O:1</w:t>
            </w:r>
          </w:p>
          <w:p w:rsidR="003C6CB0" w:rsidRDefault="003C6CB0" w:rsidP="00603CC4">
            <w:pPr>
              <w:spacing w:after="0" w:line="240" w:lineRule="auto"/>
            </w:pPr>
          </w:p>
          <w:p w:rsidR="003C6CB0" w:rsidRDefault="003C6CB0" w:rsidP="00603CC4">
            <w:pPr>
              <w:spacing w:after="0" w:line="240" w:lineRule="auto"/>
            </w:pPr>
          </w:p>
          <w:p w:rsidR="003C6CB0" w:rsidRDefault="003C6CB0" w:rsidP="00603CC4">
            <w:pPr>
              <w:spacing w:after="0" w:line="240" w:lineRule="auto"/>
            </w:pPr>
          </w:p>
          <w:p w:rsidR="003C6CB0" w:rsidRDefault="003C6CB0" w:rsidP="00603CC4">
            <w:pPr>
              <w:spacing w:after="0" w:line="240" w:lineRule="auto"/>
            </w:pPr>
          </w:p>
          <w:p w:rsidR="003C6CB0" w:rsidRDefault="003C6CB0" w:rsidP="00603CC4">
            <w:pPr>
              <w:spacing w:after="0" w:line="240" w:lineRule="auto"/>
            </w:pPr>
          </w:p>
          <w:p w:rsidR="003C6CB0" w:rsidRDefault="003C6CB0" w:rsidP="00603CC4">
            <w:pPr>
              <w:spacing w:after="0" w:line="240" w:lineRule="auto"/>
            </w:pPr>
          </w:p>
          <w:p w:rsidR="003C6CB0" w:rsidRPr="00603CC4" w:rsidRDefault="003C6CB0" w:rsidP="00603CC4">
            <w:pPr>
              <w:spacing w:after="0" w:line="240" w:lineRule="auto"/>
            </w:pPr>
            <w:r>
              <w:t>O:2</w:t>
            </w:r>
          </w:p>
        </w:tc>
        <w:tc>
          <w:tcPr>
            <w:tcW w:w="5771" w:type="dxa"/>
            <w:vAlign w:val="center"/>
          </w:tcPr>
          <w:p w:rsidR="00B20392" w:rsidRPr="007D7E3B" w:rsidRDefault="00B20392" w:rsidP="00215280">
            <w:pPr>
              <w:pStyle w:val="Odsekzoznamu"/>
              <w:numPr>
                <w:ilvl w:val="0"/>
                <w:numId w:val="33"/>
              </w:numPr>
              <w:spacing w:after="0"/>
              <w:rPr>
                <w:rFonts w:ascii="Calibri" w:eastAsia="Calibri" w:hAnsi="Calibri" w:cs="Calibri"/>
                <w:color w:val="000000"/>
                <w:sz w:val="22"/>
                <w:szCs w:val="22"/>
                <w:lang w:eastAsia="sk-SK"/>
              </w:rPr>
            </w:pPr>
            <w:r w:rsidRPr="007D7E3B">
              <w:rPr>
                <w:rFonts w:ascii="Calibri" w:eastAsia="Calibri" w:hAnsi="Calibri" w:cs="Calibri"/>
                <w:color w:val="000000"/>
                <w:sz w:val="22"/>
                <w:szCs w:val="22"/>
                <w:lang w:eastAsia="sk-SK"/>
              </w:rPr>
              <w:t>Táto smernica sa vzťahuje na spaľovacie zariadenia, ktorých celkový menovitý tepelný príkon sa rovná alebo je väčší ako 1 MW a menší ako 50 MW (ďalej len „stredne veľké spaľovacie zariadenia“), bez ohľadu na druh paliva, ktorý používajú.</w:t>
            </w:r>
          </w:p>
          <w:p w:rsidR="003C6CB0" w:rsidRPr="003C6CB0" w:rsidRDefault="003C6CB0" w:rsidP="00215280">
            <w:pPr>
              <w:pStyle w:val="Odsekzoznamu"/>
              <w:numPr>
                <w:ilvl w:val="0"/>
                <w:numId w:val="33"/>
              </w:numPr>
              <w:spacing w:after="0"/>
              <w:rPr>
                <w:color w:val="000000"/>
              </w:rPr>
            </w:pPr>
            <w:r w:rsidRPr="007D7E3B">
              <w:rPr>
                <w:rFonts w:ascii="Calibri" w:eastAsia="Calibri" w:hAnsi="Calibri" w:cs="Calibri"/>
                <w:color w:val="000000"/>
                <w:sz w:val="22"/>
                <w:szCs w:val="22"/>
                <w:lang w:eastAsia="sk-SK"/>
              </w:rPr>
              <w:t>Táto smernica sa vzťahuje aj na kombináciu nových stredne veľkých spaľovacích zariadení podľa článku 4 vrátane kombinácie, keď sa celkový menovitý tepelný príkon rovná alebo je väčší ako 50MW, pokiaľ takáto kombinácia nie je spaľovacím zariadením, na ktoré sa vzťahuje kapitola III smernice 2010/75/EÚ.</w:t>
            </w:r>
          </w:p>
        </w:tc>
        <w:tc>
          <w:tcPr>
            <w:tcW w:w="397" w:type="dxa"/>
            <w:vAlign w:val="center"/>
          </w:tcPr>
          <w:p w:rsidR="00B20392" w:rsidRPr="00603CC4" w:rsidRDefault="00565E6C" w:rsidP="00603CC4">
            <w:pPr>
              <w:spacing w:after="0" w:line="240" w:lineRule="auto"/>
            </w:pPr>
            <w:r>
              <w:t>N</w:t>
            </w:r>
          </w:p>
        </w:tc>
        <w:tc>
          <w:tcPr>
            <w:tcW w:w="708" w:type="dxa"/>
            <w:vAlign w:val="center"/>
          </w:tcPr>
          <w:p w:rsidR="00B20392" w:rsidRPr="00603CC4" w:rsidRDefault="000E363C" w:rsidP="00603CC4">
            <w:pPr>
              <w:spacing w:after="0" w:line="240" w:lineRule="auto"/>
            </w:pPr>
            <w:r>
              <w:t>NZ</w:t>
            </w:r>
          </w:p>
        </w:tc>
        <w:tc>
          <w:tcPr>
            <w:tcW w:w="596" w:type="dxa"/>
            <w:vAlign w:val="center"/>
          </w:tcPr>
          <w:p w:rsidR="00B20392" w:rsidRPr="00603CC4" w:rsidRDefault="001D0587" w:rsidP="00603CC4">
            <w:pPr>
              <w:spacing w:after="0" w:line="240" w:lineRule="auto"/>
            </w:pPr>
            <w:r>
              <w:t>§:2 P:u</w:t>
            </w:r>
          </w:p>
        </w:tc>
        <w:tc>
          <w:tcPr>
            <w:tcW w:w="6396" w:type="dxa"/>
            <w:vAlign w:val="center"/>
          </w:tcPr>
          <w:p w:rsidR="003C6CB0" w:rsidRPr="00EF5876" w:rsidRDefault="003C6CB0" w:rsidP="00215280">
            <w:pPr>
              <w:pStyle w:val="Odsekzoznamu"/>
              <w:keepNext w:val="0"/>
              <w:numPr>
                <w:ilvl w:val="0"/>
                <w:numId w:val="29"/>
              </w:numPr>
              <w:spacing w:before="0" w:after="0" w:line="261" w:lineRule="auto"/>
              <w:ind w:left="426"/>
              <w:contextualSpacing/>
              <w:rPr>
                <w:rFonts w:ascii="Calibri" w:eastAsia="Calibri" w:hAnsi="Calibri" w:cs="Calibri"/>
                <w:sz w:val="22"/>
                <w:szCs w:val="22"/>
              </w:rPr>
            </w:pPr>
            <w:r w:rsidRPr="00EF5876">
              <w:rPr>
                <w:rFonts w:ascii="Calibri" w:eastAsia="Calibri" w:hAnsi="Calibri" w:cs="Calibri"/>
                <w:sz w:val="22"/>
                <w:szCs w:val="22"/>
              </w:rPr>
              <w:t xml:space="preserve">stredne veľkým spaľovacím zariadením spaľovacie zariadenie, s menovitým tepelným príkonom najmenej 1 MW vymedzené v súlade s ustanovenými </w:t>
            </w:r>
            <w:proofErr w:type="spellStart"/>
            <w:r w:rsidRPr="00EF5876">
              <w:rPr>
                <w:rFonts w:ascii="Calibri" w:eastAsia="Calibri" w:hAnsi="Calibri" w:cs="Calibri"/>
                <w:sz w:val="22"/>
                <w:szCs w:val="22"/>
              </w:rPr>
              <w:t>agregačnými</w:t>
            </w:r>
            <w:proofErr w:type="spellEnd"/>
            <w:r w:rsidRPr="00EF5876">
              <w:rPr>
                <w:rFonts w:ascii="Calibri" w:eastAsia="Calibri" w:hAnsi="Calibri" w:cs="Calibri"/>
                <w:sz w:val="22"/>
                <w:szCs w:val="22"/>
              </w:rPr>
              <w:t xml:space="preserve"> pravidlami [§ 33 písm. a)], okrem veľkých spaľovacích zariadení,</w:t>
            </w:r>
          </w:p>
          <w:p w:rsidR="00B20392" w:rsidRPr="00EF5876"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pPr>
            <w:r w:rsidRPr="00603CC4">
              <w:t>O:3</w:t>
            </w:r>
          </w:p>
        </w:tc>
        <w:tc>
          <w:tcPr>
            <w:tcW w:w="5771" w:type="dxa"/>
            <w:vAlign w:val="center"/>
          </w:tcPr>
          <w:p w:rsidR="00B20392" w:rsidRPr="00603CC4" w:rsidRDefault="00B20392" w:rsidP="00603CC4">
            <w:pPr>
              <w:spacing w:before="120" w:after="0" w:line="240" w:lineRule="auto"/>
              <w:jc w:val="both"/>
              <w:rPr>
                <w:color w:val="000000"/>
                <w:lang w:eastAsia="sk-SK"/>
              </w:rPr>
            </w:pPr>
            <w:r w:rsidRPr="00603CC4">
              <w:rPr>
                <w:color w:val="000000"/>
                <w:lang w:eastAsia="sk-SK"/>
              </w:rPr>
              <w:t>3. Táto smernica sa nevzťahuje na:</w:t>
            </w:r>
          </w:p>
          <w:tbl>
            <w:tblPr>
              <w:tblW w:w="5000" w:type="pct"/>
              <w:tblCellSpacing w:w="0" w:type="dxa"/>
              <w:tblLayout w:type="fixed"/>
              <w:tblCellMar>
                <w:left w:w="0" w:type="dxa"/>
                <w:right w:w="0" w:type="dxa"/>
              </w:tblCellMar>
              <w:tblLook w:val="00A0" w:firstRow="1" w:lastRow="0" w:firstColumn="1" w:lastColumn="0" w:noHBand="0" w:noVBand="0"/>
            </w:tblPr>
            <w:tblGrid>
              <w:gridCol w:w="144"/>
              <w:gridCol w:w="5411"/>
            </w:tblGrid>
            <w:tr w:rsidR="00B20392" w:rsidRPr="00603CC4">
              <w:trPr>
                <w:tblCellSpacing w:w="0" w:type="dxa"/>
              </w:trPr>
              <w:tc>
                <w:tcPr>
                  <w:tcW w:w="173" w:type="dxa"/>
                </w:tcPr>
                <w:p w:rsidR="00B20392" w:rsidRPr="00603CC4" w:rsidRDefault="00B20392" w:rsidP="007D7E3B">
                  <w:pPr>
                    <w:spacing w:before="120" w:after="0" w:line="240" w:lineRule="auto"/>
                    <w:jc w:val="both"/>
                    <w:rPr>
                      <w:color w:val="000000"/>
                      <w:lang w:eastAsia="sk-SK"/>
                    </w:rPr>
                  </w:pPr>
                  <w:r w:rsidRPr="00603CC4">
                    <w:rPr>
                      <w:color w:val="000000"/>
                      <w:lang w:eastAsia="sk-SK"/>
                    </w:rPr>
                    <w:t>a</w:t>
                  </w:r>
                </w:p>
              </w:tc>
              <w:tc>
                <w:tcPr>
                  <w:tcW w:w="6697" w:type="dxa"/>
                </w:tcPr>
                <w:p w:rsidR="00B20392" w:rsidRPr="00603CC4" w:rsidRDefault="007D7E3B" w:rsidP="002014E6">
                  <w:pPr>
                    <w:spacing w:before="120" w:after="0" w:line="240" w:lineRule="auto"/>
                    <w:jc w:val="both"/>
                    <w:rPr>
                      <w:color w:val="000000"/>
                      <w:lang w:eastAsia="sk-SK"/>
                    </w:rPr>
                  </w:pPr>
                  <w:r>
                    <w:rPr>
                      <w:color w:val="000000"/>
                      <w:lang w:eastAsia="sk-SK"/>
                    </w:rPr>
                    <w:t>)</w:t>
                  </w:r>
                  <w:r w:rsidR="00B20392" w:rsidRPr="00603CC4">
                    <w:rPr>
                      <w:color w:val="000000"/>
                      <w:lang w:eastAsia="sk-SK"/>
                    </w:rPr>
                    <w:t>spaľovacie zariadenia, na ktoré sa vzťahuje kapitola III alebo kapitola IV smernice 2010/75/EÚ;</w:t>
                  </w:r>
                </w:p>
              </w:tc>
            </w:tr>
          </w:tbl>
          <w:p w:rsidR="00B20392" w:rsidRPr="00603CC4" w:rsidRDefault="00B20392" w:rsidP="00603CC4">
            <w:pPr>
              <w:spacing w:after="0" w:line="240" w:lineRule="auto"/>
              <w:rPr>
                <w:vanish/>
                <w:color w:val="000000"/>
                <w:lang w:eastAsia="sk-SK"/>
              </w:rPr>
            </w:pPr>
          </w:p>
          <w:tbl>
            <w:tblPr>
              <w:tblW w:w="5000" w:type="pct"/>
              <w:tblCellSpacing w:w="0" w:type="dxa"/>
              <w:tblLayout w:type="fixed"/>
              <w:tblCellMar>
                <w:left w:w="0" w:type="dxa"/>
                <w:right w:w="0" w:type="dxa"/>
              </w:tblCellMar>
              <w:tblLook w:val="00A0" w:firstRow="1" w:lastRow="0" w:firstColumn="1" w:lastColumn="0" w:noHBand="0" w:noVBand="0"/>
            </w:tblPr>
            <w:tblGrid>
              <w:gridCol w:w="152"/>
              <w:gridCol w:w="5403"/>
            </w:tblGrid>
            <w:tr w:rsidR="00B20392" w:rsidRPr="00603CC4">
              <w:trPr>
                <w:tblCellSpacing w:w="0" w:type="dxa"/>
              </w:trPr>
              <w:tc>
                <w:tcPr>
                  <w:tcW w:w="183" w:type="dxa"/>
                </w:tcPr>
                <w:p w:rsidR="00B20392" w:rsidRPr="00603CC4" w:rsidRDefault="007D7E3B" w:rsidP="002014E6">
                  <w:pPr>
                    <w:spacing w:before="120" w:after="0" w:line="240" w:lineRule="auto"/>
                    <w:jc w:val="both"/>
                    <w:rPr>
                      <w:color w:val="000000"/>
                      <w:lang w:eastAsia="sk-SK"/>
                    </w:rPr>
                  </w:pPr>
                  <w:r>
                    <w:rPr>
                      <w:color w:val="000000"/>
                      <w:lang w:eastAsia="sk-SK"/>
                    </w:rPr>
                    <w:t>b</w:t>
                  </w:r>
                </w:p>
              </w:tc>
              <w:tc>
                <w:tcPr>
                  <w:tcW w:w="6687" w:type="dxa"/>
                </w:tcPr>
                <w:p w:rsidR="00B20392" w:rsidRPr="00603CC4" w:rsidRDefault="007D7E3B" w:rsidP="002014E6">
                  <w:pPr>
                    <w:spacing w:before="120" w:after="0" w:line="240" w:lineRule="auto"/>
                    <w:jc w:val="both"/>
                    <w:rPr>
                      <w:color w:val="000000"/>
                      <w:lang w:eastAsia="sk-SK"/>
                    </w:rPr>
                  </w:pPr>
                  <w:r>
                    <w:rPr>
                      <w:color w:val="000000"/>
                      <w:lang w:eastAsia="sk-SK"/>
                    </w:rPr>
                    <w:t>)</w:t>
                  </w:r>
                  <w:r w:rsidR="00B20392" w:rsidRPr="00603CC4">
                    <w:rPr>
                      <w:color w:val="000000"/>
                      <w:lang w:eastAsia="sk-SK"/>
                    </w:rPr>
                    <w:t>spaľovacie zariadenia, na ktoré sa vzťahuje smernica Európskeho parlamentu a Rady 97/68/ES</w:t>
                  </w:r>
                  <w:hyperlink r:id="rId6" w:anchor="ntr12-L_2015313SK.01000101-E0012" w:history="1">
                    <w:r w:rsidR="00B20392" w:rsidRPr="00603CC4">
                      <w:rPr>
                        <w:color w:val="0000FF"/>
                        <w:u w:val="single"/>
                        <w:lang w:eastAsia="sk-SK"/>
                      </w:rPr>
                      <w:t xml:space="preserve"> (</w:t>
                    </w:r>
                    <w:r w:rsidR="00B20392" w:rsidRPr="00603CC4">
                      <w:rPr>
                        <w:color w:val="0000FF"/>
                        <w:u w:val="single"/>
                        <w:vertAlign w:val="superscript"/>
                        <w:lang w:eastAsia="sk-SK"/>
                      </w:rPr>
                      <w:t>12</w:t>
                    </w:r>
                    <w:r w:rsidR="00B20392" w:rsidRPr="00603CC4">
                      <w:rPr>
                        <w:color w:val="0000FF"/>
                        <w:u w:val="single"/>
                        <w:lang w:eastAsia="sk-SK"/>
                      </w:rPr>
                      <w:t>)</w:t>
                    </w:r>
                  </w:hyperlink>
                  <w:r w:rsidR="00B20392" w:rsidRPr="00603CC4">
                    <w:rPr>
                      <w:color w:val="000000"/>
                      <w:lang w:eastAsia="sk-SK"/>
                    </w:rPr>
                    <w:t>;</w:t>
                  </w:r>
                </w:p>
              </w:tc>
            </w:tr>
          </w:tbl>
          <w:p w:rsidR="00B20392" w:rsidRPr="00603CC4" w:rsidRDefault="00B20392" w:rsidP="00603CC4">
            <w:pPr>
              <w:spacing w:after="0" w:line="240" w:lineRule="auto"/>
              <w:rPr>
                <w:vanish/>
                <w:color w:val="000000"/>
                <w:lang w:eastAsia="sk-SK"/>
              </w:rPr>
            </w:pPr>
          </w:p>
          <w:tbl>
            <w:tblPr>
              <w:tblW w:w="5000" w:type="pct"/>
              <w:tblCellSpacing w:w="0" w:type="dxa"/>
              <w:tblLayout w:type="fixed"/>
              <w:tblCellMar>
                <w:left w:w="0" w:type="dxa"/>
                <w:right w:w="0" w:type="dxa"/>
              </w:tblCellMar>
              <w:tblLook w:val="00A0" w:firstRow="1" w:lastRow="0" w:firstColumn="1" w:lastColumn="0" w:noHBand="0" w:noVBand="0"/>
            </w:tblPr>
            <w:tblGrid>
              <w:gridCol w:w="133"/>
              <w:gridCol w:w="5422"/>
            </w:tblGrid>
            <w:tr w:rsidR="00B20392" w:rsidRPr="00603CC4">
              <w:trPr>
                <w:tblCellSpacing w:w="0" w:type="dxa"/>
              </w:trPr>
              <w:tc>
                <w:tcPr>
                  <w:tcW w:w="160" w:type="dxa"/>
                </w:tcPr>
                <w:p w:rsidR="00B20392" w:rsidRPr="00603CC4" w:rsidRDefault="00B20392" w:rsidP="007D7E3B">
                  <w:pPr>
                    <w:spacing w:before="120" w:after="0" w:line="240" w:lineRule="auto"/>
                    <w:jc w:val="both"/>
                    <w:rPr>
                      <w:color w:val="000000"/>
                      <w:lang w:eastAsia="sk-SK"/>
                    </w:rPr>
                  </w:pPr>
                  <w:r w:rsidRPr="00603CC4">
                    <w:rPr>
                      <w:color w:val="000000"/>
                      <w:lang w:eastAsia="sk-SK"/>
                    </w:rPr>
                    <w:t>c</w:t>
                  </w:r>
                </w:p>
              </w:tc>
              <w:tc>
                <w:tcPr>
                  <w:tcW w:w="6710" w:type="dxa"/>
                </w:tcPr>
                <w:p w:rsidR="00B20392" w:rsidRPr="00603CC4" w:rsidRDefault="007D7E3B" w:rsidP="002014E6">
                  <w:pPr>
                    <w:spacing w:before="120" w:after="0" w:line="240" w:lineRule="auto"/>
                    <w:jc w:val="both"/>
                    <w:rPr>
                      <w:color w:val="000000"/>
                      <w:lang w:eastAsia="sk-SK"/>
                    </w:rPr>
                  </w:pPr>
                  <w:r>
                    <w:rPr>
                      <w:color w:val="000000"/>
                      <w:lang w:eastAsia="sk-SK"/>
                    </w:rPr>
                    <w:t>)</w:t>
                  </w:r>
                  <w:r w:rsidR="00B20392" w:rsidRPr="00603CC4">
                    <w:rPr>
                      <w:color w:val="000000"/>
                      <w:lang w:eastAsia="sk-SK"/>
                    </w:rPr>
                    <w:t>poľnohospodárske spaľovacie zariadenia s celkovým menovitým tepelným príkonom menším alebo rovnajúcim sa 5 MW, ktoré ako palivo využívajú výlučne nespracovaný trus hydiny, ako sa uvádza v článku 9 písm. a) nariadenia Európskeho parlamentu a Rady (ES) č. 1069/2009</w:t>
                  </w:r>
                  <w:hyperlink r:id="rId7" w:anchor="ntr13-L_2015313SK.01000101-E0013" w:history="1">
                    <w:r w:rsidR="00B20392" w:rsidRPr="00603CC4">
                      <w:rPr>
                        <w:color w:val="0000FF"/>
                        <w:u w:val="single"/>
                        <w:lang w:eastAsia="sk-SK"/>
                      </w:rPr>
                      <w:t xml:space="preserve"> (</w:t>
                    </w:r>
                    <w:r w:rsidR="00B20392" w:rsidRPr="00603CC4">
                      <w:rPr>
                        <w:color w:val="0000FF"/>
                        <w:u w:val="single"/>
                        <w:vertAlign w:val="superscript"/>
                        <w:lang w:eastAsia="sk-SK"/>
                      </w:rPr>
                      <w:t>13</w:t>
                    </w:r>
                    <w:r w:rsidR="00B20392" w:rsidRPr="00603CC4">
                      <w:rPr>
                        <w:color w:val="0000FF"/>
                        <w:u w:val="single"/>
                        <w:lang w:eastAsia="sk-SK"/>
                      </w:rPr>
                      <w:t>)</w:t>
                    </w:r>
                  </w:hyperlink>
                  <w:r w:rsidR="00B20392" w:rsidRPr="00603CC4">
                    <w:rPr>
                      <w:color w:val="000000"/>
                      <w:lang w:eastAsia="sk-SK"/>
                    </w:rPr>
                    <w:t>;</w:t>
                  </w:r>
                </w:p>
              </w:tc>
            </w:tr>
          </w:tbl>
          <w:p w:rsidR="00B20392" w:rsidRPr="00603CC4" w:rsidRDefault="00B20392" w:rsidP="00603CC4">
            <w:pPr>
              <w:spacing w:after="0" w:line="240" w:lineRule="auto"/>
              <w:rPr>
                <w:vanish/>
                <w:color w:val="000000"/>
                <w:lang w:eastAsia="sk-SK"/>
              </w:rPr>
            </w:pPr>
          </w:p>
          <w:tbl>
            <w:tblPr>
              <w:tblW w:w="5000" w:type="pct"/>
              <w:tblCellSpacing w:w="0" w:type="dxa"/>
              <w:tblLayout w:type="fixed"/>
              <w:tblCellMar>
                <w:left w:w="0" w:type="dxa"/>
                <w:right w:w="0" w:type="dxa"/>
              </w:tblCellMar>
              <w:tblLook w:val="00A0" w:firstRow="1" w:lastRow="0" w:firstColumn="1" w:lastColumn="0" w:noHBand="0" w:noVBand="0"/>
            </w:tblPr>
            <w:tblGrid>
              <w:gridCol w:w="152"/>
              <w:gridCol w:w="5403"/>
            </w:tblGrid>
            <w:tr w:rsidR="00B20392" w:rsidRPr="00603CC4">
              <w:trPr>
                <w:tblCellSpacing w:w="0" w:type="dxa"/>
              </w:trPr>
              <w:tc>
                <w:tcPr>
                  <w:tcW w:w="183" w:type="dxa"/>
                </w:tcPr>
                <w:p w:rsidR="00B20392" w:rsidRPr="00603CC4" w:rsidRDefault="00B20392" w:rsidP="007D7E3B">
                  <w:pPr>
                    <w:spacing w:before="120" w:after="0" w:line="240" w:lineRule="auto"/>
                    <w:jc w:val="both"/>
                    <w:rPr>
                      <w:color w:val="000000"/>
                      <w:lang w:eastAsia="sk-SK"/>
                    </w:rPr>
                  </w:pPr>
                  <w:r w:rsidRPr="00603CC4">
                    <w:rPr>
                      <w:color w:val="000000"/>
                      <w:lang w:eastAsia="sk-SK"/>
                    </w:rPr>
                    <w:t>d</w:t>
                  </w:r>
                </w:p>
              </w:tc>
              <w:tc>
                <w:tcPr>
                  <w:tcW w:w="6687" w:type="dxa"/>
                </w:tcPr>
                <w:p w:rsidR="00B20392" w:rsidRPr="00603CC4" w:rsidRDefault="007D7E3B" w:rsidP="002014E6">
                  <w:pPr>
                    <w:spacing w:before="120" w:after="0" w:line="240" w:lineRule="auto"/>
                    <w:jc w:val="both"/>
                    <w:rPr>
                      <w:color w:val="000000"/>
                      <w:lang w:eastAsia="sk-SK"/>
                    </w:rPr>
                  </w:pPr>
                  <w:r>
                    <w:rPr>
                      <w:color w:val="000000"/>
                      <w:lang w:eastAsia="sk-SK"/>
                    </w:rPr>
                    <w:t>)</w:t>
                  </w:r>
                  <w:r w:rsidR="00B20392" w:rsidRPr="00603CC4">
                    <w:rPr>
                      <w:color w:val="000000"/>
                      <w:lang w:eastAsia="sk-SK"/>
                    </w:rPr>
                    <w:t xml:space="preserve">spaľovacie zariadenia, v ktorých sa plynné produkty </w:t>
                  </w:r>
                  <w:r w:rsidR="00B20392" w:rsidRPr="00603CC4">
                    <w:rPr>
                      <w:color w:val="000000"/>
                      <w:lang w:eastAsia="sk-SK"/>
                    </w:rPr>
                    <w:lastRenderedPageBreak/>
                    <w:t>vznikajúce pri spaľovaní používajú na priamy ohrev, sušenie alebo inú úpravu predmetov alebo materiálov;</w:t>
                  </w:r>
                </w:p>
              </w:tc>
            </w:tr>
          </w:tbl>
          <w:p w:rsidR="00B20392" w:rsidRPr="00603CC4" w:rsidRDefault="00B20392" w:rsidP="00603CC4">
            <w:pPr>
              <w:spacing w:after="0" w:line="240" w:lineRule="auto"/>
              <w:rPr>
                <w:vanish/>
                <w:color w:val="000000"/>
                <w:lang w:eastAsia="sk-SK"/>
              </w:rPr>
            </w:pPr>
          </w:p>
          <w:tbl>
            <w:tblPr>
              <w:tblW w:w="5000" w:type="pct"/>
              <w:tblCellSpacing w:w="0" w:type="dxa"/>
              <w:tblLayout w:type="fixed"/>
              <w:tblCellMar>
                <w:left w:w="0" w:type="dxa"/>
                <w:right w:w="0" w:type="dxa"/>
              </w:tblCellMar>
              <w:tblLook w:val="00A0" w:firstRow="1" w:lastRow="0" w:firstColumn="1" w:lastColumn="0" w:noHBand="0" w:noVBand="0"/>
            </w:tblPr>
            <w:tblGrid>
              <w:gridCol w:w="147"/>
              <w:gridCol w:w="5408"/>
            </w:tblGrid>
            <w:tr w:rsidR="00B20392" w:rsidRPr="00603CC4">
              <w:trPr>
                <w:tblCellSpacing w:w="0" w:type="dxa"/>
              </w:trPr>
              <w:tc>
                <w:tcPr>
                  <w:tcW w:w="177" w:type="dxa"/>
                </w:tcPr>
                <w:p w:rsidR="00B20392" w:rsidRPr="00603CC4" w:rsidRDefault="007D7E3B" w:rsidP="002014E6">
                  <w:pPr>
                    <w:spacing w:before="120" w:after="0" w:line="240" w:lineRule="auto"/>
                    <w:jc w:val="both"/>
                    <w:rPr>
                      <w:color w:val="000000"/>
                      <w:lang w:eastAsia="sk-SK"/>
                    </w:rPr>
                  </w:pPr>
                  <w:r>
                    <w:rPr>
                      <w:color w:val="000000"/>
                      <w:lang w:eastAsia="sk-SK"/>
                    </w:rPr>
                    <w:t>e</w:t>
                  </w:r>
                </w:p>
              </w:tc>
              <w:tc>
                <w:tcPr>
                  <w:tcW w:w="6693" w:type="dxa"/>
                </w:tcPr>
                <w:p w:rsidR="00B20392" w:rsidRPr="00603CC4" w:rsidRDefault="007D7E3B" w:rsidP="002014E6">
                  <w:pPr>
                    <w:spacing w:before="120" w:after="0" w:line="240" w:lineRule="auto"/>
                    <w:jc w:val="both"/>
                    <w:rPr>
                      <w:color w:val="000000"/>
                      <w:lang w:eastAsia="sk-SK"/>
                    </w:rPr>
                  </w:pPr>
                  <w:r>
                    <w:rPr>
                      <w:color w:val="000000"/>
                      <w:lang w:eastAsia="sk-SK"/>
                    </w:rPr>
                    <w:t>)</w:t>
                  </w:r>
                  <w:r w:rsidR="00B20392" w:rsidRPr="00603CC4">
                    <w:rPr>
                      <w:color w:val="000000"/>
                      <w:lang w:eastAsia="sk-SK"/>
                    </w:rPr>
                    <w:t>spaľovacie zariadenia, v ktorých sa plynné produkty vznikajúce pri spaľovaní používajú na priame vykurovanie plynom využívané na vykurovanie vnútorných priestorov na účely zlepšenia podmienok na pracovisku;</w:t>
                  </w:r>
                </w:p>
              </w:tc>
            </w:tr>
          </w:tbl>
          <w:p w:rsidR="00B20392" w:rsidRPr="00603CC4" w:rsidRDefault="00B20392" w:rsidP="00603CC4">
            <w:pPr>
              <w:spacing w:after="0" w:line="240" w:lineRule="auto"/>
              <w:rPr>
                <w:vanish/>
                <w:color w:val="000000"/>
                <w:lang w:eastAsia="sk-SK"/>
              </w:rPr>
            </w:pPr>
          </w:p>
          <w:tbl>
            <w:tblPr>
              <w:tblW w:w="5000" w:type="pct"/>
              <w:tblCellSpacing w:w="0" w:type="dxa"/>
              <w:tblLayout w:type="fixed"/>
              <w:tblCellMar>
                <w:left w:w="0" w:type="dxa"/>
                <w:right w:w="0" w:type="dxa"/>
              </w:tblCellMar>
              <w:tblLook w:val="00A0" w:firstRow="1" w:lastRow="0" w:firstColumn="1" w:lastColumn="0" w:noHBand="0" w:noVBand="0"/>
            </w:tblPr>
            <w:tblGrid>
              <w:gridCol w:w="112"/>
              <w:gridCol w:w="5443"/>
            </w:tblGrid>
            <w:tr w:rsidR="00B20392" w:rsidRPr="00603CC4">
              <w:trPr>
                <w:tblCellSpacing w:w="0" w:type="dxa"/>
              </w:trPr>
              <w:tc>
                <w:tcPr>
                  <w:tcW w:w="134" w:type="dxa"/>
                </w:tcPr>
                <w:p w:rsidR="00B20392" w:rsidRPr="00603CC4" w:rsidRDefault="00B20392" w:rsidP="007D7E3B">
                  <w:pPr>
                    <w:spacing w:before="120" w:after="0" w:line="240" w:lineRule="auto"/>
                    <w:jc w:val="both"/>
                    <w:rPr>
                      <w:color w:val="000000"/>
                      <w:lang w:eastAsia="sk-SK"/>
                    </w:rPr>
                  </w:pPr>
                  <w:r w:rsidRPr="00603CC4">
                    <w:rPr>
                      <w:color w:val="000000"/>
                      <w:lang w:eastAsia="sk-SK"/>
                    </w:rPr>
                    <w:t>f</w:t>
                  </w:r>
                </w:p>
              </w:tc>
              <w:tc>
                <w:tcPr>
                  <w:tcW w:w="6736" w:type="dxa"/>
                </w:tcPr>
                <w:p w:rsidR="00B20392" w:rsidRPr="00603CC4" w:rsidRDefault="007D7E3B" w:rsidP="002014E6">
                  <w:pPr>
                    <w:spacing w:before="120" w:after="0" w:line="240" w:lineRule="auto"/>
                    <w:jc w:val="both"/>
                    <w:rPr>
                      <w:color w:val="000000"/>
                      <w:lang w:eastAsia="sk-SK"/>
                    </w:rPr>
                  </w:pPr>
                  <w:r>
                    <w:rPr>
                      <w:color w:val="000000"/>
                      <w:lang w:eastAsia="sk-SK"/>
                    </w:rPr>
                    <w:t>)</w:t>
                  </w:r>
                  <w:r w:rsidR="00B20392" w:rsidRPr="00603CC4">
                    <w:rPr>
                      <w:color w:val="000000"/>
                      <w:lang w:eastAsia="sk-SK"/>
                    </w:rPr>
                    <w:t>zariadenia na dodatočné spaľovanie určené na čistenie odpadových plynov z priemyselných procesov spaľovaním, ktoré nie sú prevádzkované ako samostatné spaľovacie zariadenia;</w:t>
                  </w:r>
                </w:p>
              </w:tc>
            </w:tr>
          </w:tbl>
          <w:p w:rsidR="00B20392" w:rsidRPr="00603CC4" w:rsidRDefault="00B20392" w:rsidP="00603CC4">
            <w:pPr>
              <w:spacing w:after="0" w:line="240" w:lineRule="auto"/>
              <w:rPr>
                <w:vanish/>
                <w:color w:val="000000"/>
                <w:lang w:eastAsia="sk-SK"/>
              </w:rPr>
            </w:pPr>
          </w:p>
          <w:tbl>
            <w:tblPr>
              <w:tblW w:w="5000" w:type="pct"/>
              <w:tblCellSpacing w:w="0" w:type="dxa"/>
              <w:tblLayout w:type="fixed"/>
              <w:tblCellMar>
                <w:left w:w="0" w:type="dxa"/>
                <w:right w:w="0" w:type="dxa"/>
              </w:tblCellMar>
              <w:tblLook w:val="00A0" w:firstRow="1" w:lastRow="0" w:firstColumn="1" w:lastColumn="0" w:noHBand="0" w:noVBand="0"/>
            </w:tblPr>
            <w:tblGrid>
              <w:gridCol w:w="142"/>
              <w:gridCol w:w="5413"/>
            </w:tblGrid>
            <w:tr w:rsidR="00B20392" w:rsidRPr="00603CC4">
              <w:trPr>
                <w:tblCellSpacing w:w="0" w:type="dxa"/>
              </w:trPr>
              <w:tc>
                <w:tcPr>
                  <w:tcW w:w="171" w:type="dxa"/>
                </w:tcPr>
                <w:p w:rsidR="00B20392" w:rsidRPr="00603CC4" w:rsidRDefault="00B20392" w:rsidP="007D7E3B">
                  <w:pPr>
                    <w:spacing w:before="120" w:after="0" w:line="240" w:lineRule="auto"/>
                    <w:jc w:val="both"/>
                    <w:rPr>
                      <w:color w:val="000000"/>
                      <w:lang w:eastAsia="sk-SK"/>
                    </w:rPr>
                  </w:pPr>
                  <w:r w:rsidRPr="00603CC4">
                    <w:rPr>
                      <w:color w:val="000000"/>
                      <w:lang w:eastAsia="sk-SK"/>
                    </w:rPr>
                    <w:t>g</w:t>
                  </w:r>
                </w:p>
              </w:tc>
              <w:tc>
                <w:tcPr>
                  <w:tcW w:w="6699" w:type="dxa"/>
                </w:tcPr>
                <w:p w:rsidR="00B20392" w:rsidRPr="00603CC4" w:rsidRDefault="007D7E3B" w:rsidP="002014E6">
                  <w:pPr>
                    <w:spacing w:before="120" w:after="0" w:line="240" w:lineRule="auto"/>
                    <w:jc w:val="both"/>
                    <w:rPr>
                      <w:color w:val="000000"/>
                      <w:lang w:eastAsia="sk-SK"/>
                    </w:rPr>
                  </w:pPr>
                  <w:r>
                    <w:rPr>
                      <w:color w:val="000000"/>
                      <w:lang w:eastAsia="sk-SK"/>
                    </w:rPr>
                    <w:t>)</w:t>
                  </w:r>
                  <w:r w:rsidR="00B20392" w:rsidRPr="00603CC4">
                    <w:rPr>
                      <w:color w:val="000000"/>
                      <w:lang w:eastAsia="sk-SK"/>
                    </w:rPr>
                    <w:t>akékoľvek technické zariadenia používané na pohon vozidiel, lodí alebo lietadiel;</w:t>
                  </w:r>
                </w:p>
              </w:tc>
            </w:tr>
          </w:tbl>
          <w:p w:rsidR="00B20392" w:rsidRPr="00603CC4" w:rsidRDefault="00B20392" w:rsidP="00603CC4">
            <w:pPr>
              <w:spacing w:after="0" w:line="240" w:lineRule="auto"/>
              <w:rPr>
                <w:vanish/>
                <w:color w:val="000000"/>
                <w:lang w:eastAsia="sk-SK"/>
              </w:rPr>
            </w:pPr>
          </w:p>
          <w:tbl>
            <w:tblPr>
              <w:tblW w:w="5000" w:type="pct"/>
              <w:tblCellSpacing w:w="0" w:type="dxa"/>
              <w:tblLayout w:type="fixed"/>
              <w:tblCellMar>
                <w:left w:w="0" w:type="dxa"/>
                <w:right w:w="0" w:type="dxa"/>
              </w:tblCellMar>
              <w:tblLook w:val="00A0" w:firstRow="1" w:lastRow="0" w:firstColumn="1" w:lastColumn="0" w:noHBand="0" w:noVBand="0"/>
            </w:tblPr>
            <w:tblGrid>
              <w:gridCol w:w="152"/>
              <w:gridCol w:w="5403"/>
            </w:tblGrid>
            <w:tr w:rsidR="00B20392" w:rsidRPr="00603CC4">
              <w:trPr>
                <w:tblCellSpacing w:w="0" w:type="dxa"/>
              </w:trPr>
              <w:tc>
                <w:tcPr>
                  <w:tcW w:w="183" w:type="dxa"/>
                </w:tcPr>
                <w:p w:rsidR="00B20392" w:rsidRPr="00603CC4" w:rsidRDefault="00B20392" w:rsidP="007D7E3B">
                  <w:pPr>
                    <w:spacing w:before="120" w:after="0" w:line="240" w:lineRule="auto"/>
                    <w:jc w:val="both"/>
                    <w:rPr>
                      <w:color w:val="000000"/>
                      <w:lang w:eastAsia="sk-SK"/>
                    </w:rPr>
                  </w:pPr>
                  <w:r w:rsidRPr="00603CC4">
                    <w:rPr>
                      <w:color w:val="000000"/>
                      <w:lang w:eastAsia="sk-SK"/>
                    </w:rPr>
                    <w:t>h</w:t>
                  </w:r>
                </w:p>
              </w:tc>
              <w:tc>
                <w:tcPr>
                  <w:tcW w:w="6687" w:type="dxa"/>
                </w:tcPr>
                <w:p w:rsidR="00B20392" w:rsidRPr="00603CC4" w:rsidRDefault="007D7E3B" w:rsidP="002014E6">
                  <w:pPr>
                    <w:spacing w:before="120" w:after="0" w:line="240" w:lineRule="auto"/>
                    <w:jc w:val="both"/>
                    <w:rPr>
                      <w:color w:val="000000"/>
                      <w:lang w:eastAsia="sk-SK"/>
                    </w:rPr>
                  </w:pPr>
                  <w:r>
                    <w:rPr>
                      <w:color w:val="000000"/>
                      <w:lang w:eastAsia="sk-SK"/>
                    </w:rPr>
                    <w:t>)</w:t>
                  </w:r>
                  <w:r w:rsidR="00B20392" w:rsidRPr="00603CC4">
                    <w:rPr>
                      <w:color w:val="000000"/>
                      <w:lang w:eastAsia="sk-SK"/>
                    </w:rPr>
                    <w:t>plynové turbíny a plynové a naftové motory používané na morských plošinách;</w:t>
                  </w:r>
                </w:p>
              </w:tc>
            </w:tr>
          </w:tbl>
          <w:p w:rsidR="00B20392" w:rsidRPr="00603CC4" w:rsidRDefault="00B20392" w:rsidP="00603CC4">
            <w:pPr>
              <w:spacing w:after="0" w:line="240" w:lineRule="auto"/>
              <w:rPr>
                <w:vanish/>
                <w:color w:val="000000"/>
                <w:lang w:eastAsia="sk-SK"/>
              </w:rPr>
            </w:pPr>
          </w:p>
          <w:tbl>
            <w:tblPr>
              <w:tblW w:w="5000" w:type="pct"/>
              <w:tblCellSpacing w:w="0" w:type="dxa"/>
              <w:tblLayout w:type="fixed"/>
              <w:tblCellMar>
                <w:left w:w="0" w:type="dxa"/>
                <w:right w:w="0" w:type="dxa"/>
              </w:tblCellMar>
              <w:tblLook w:val="00A0" w:firstRow="1" w:lastRow="0" w:firstColumn="1" w:lastColumn="0" w:noHBand="0" w:noVBand="0"/>
            </w:tblPr>
            <w:tblGrid>
              <w:gridCol w:w="112"/>
              <w:gridCol w:w="5443"/>
            </w:tblGrid>
            <w:tr w:rsidR="00B20392" w:rsidRPr="00603CC4">
              <w:trPr>
                <w:tblCellSpacing w:w="0" w:type="dxa"/>
              </w:trPr>
              <w:tc>
                <w:tcPr>
                  <w:tcW w:w="134" w:type="dxa"/>
                </w:tcPr>
                <w:p w:rsidR="00B20392" w:rsidRPr="00603CC4" w:rsidRDefault="00B20392" w:rsidP="007D7E3B">
                  <w:pPr>
                    <w:spacing w:before="120" w:after="0" w:line="240" w:lineRule="auto"/>
                    <w:jc w:val="both"/>
                    <w:rPr>
                      <w:color w:val="000000"/>
                      <w:lang w:eastAsia="sk-SK"/>
                    </w:rPr>
                  </w:pPr>
                  <w:r w:rsidRPr="00603CC4">
                    <w:rPr>
                      <w:color w:val="000000"/>
                      <w:lang w:eastAsia="sk-SK"/>
                    </w:rPr>
                    <w:t>i</w:t>
                  </w:r>
                </w:p>
              </w:tc>
              <w:tc>
                <w:tcPr>
                  <w:tcW w:w="6736" w:type="dxa"/>
                </w:tcPr>
                <w:p w:rsidR="00B20392" w:rsidRPr="00603CC4" w:rsidRDefault="007D7E3B" w:rsidP="002014E6">
                  <w:pPr>
                    <w:spacing w:before="120" w:after="0" w:line="240" w:lineRule="auto"/>
                    <w:jc w:val="both"/>
                    <w:rPr>
                      <w:color w:val="000000"/>
                      <w:lang w:eastAsia="sk-SK"/>
                    </w:rPr>
                  </w:pPr>
                  <w:r>
                    <w:rPr>
                      <w:color w:val="000000"/>
                      <w:lang w:eastAsia="sk-SK"/>
                    </w:rPr>
                    <w:t>)</w:t>
                  </w:r>
                  <w:r w:rsidR="00B20392" w:rsidRPr="00603CC4">
                    <w:rPr>
                      <w:color w:val="000000"/>
                      <w:lang w:eastAsia="sk-SK"/>
                    </w:rPr>
                    <w:t>zariadenia na regeneráciu katalyzátorov na katalytické krakovanie;</w:t>
                  </w:r>
                </w:p>
              </w:tc>
            </w:tr>
          </w:tbl>
          <w:p w:rsidR="00B20392" w:rsidRPr="00603CC4" w:rsidRDefault="00B20392" w:rsidP="00603CC4">
            <w:pPr>
              <w:spacing w:after="0" w:line="240" w:lineRule="auto"/>
              <w:rPr>
                <w:vanish/>
                <w:color w:val="000000"/>
                <w:lang w:eastAsia="sk-SK"/>
              </w:rPr>
            </w:pPr>
          </w:p>
          <w:tbl>
            <w:tblPr>
              <w:tblW w:w="5000" w:type="pct"/>
              <w:tblCellSpacing w:w="0" w:type="dxa"/>
              <w:tblLayout w:type="fixed"/>
              <w:tblCellMar>
                <w:left w:w="0" w:type="dxa"/>
                <w:right w:w="0" w:type="dxa"/>
              </w:tblCellMar>
              <w:tblLook w:val="00A0" w:firstRow="1" w:lastRow="0" w:firstColumn="1" w:lastColumn="0" w:noHBand="0" w:noVBand="0"/>
            </w:tblPr>
            <w:tblGrid>
              <w:gridCol w:w="189"/>
              <w:gridCol w:w="5366"/>
            </w:tblGrid>
            <w:tr w:rsidR="00B20392" w:rsidRPr="00603CC4">
              <w:trPr>
                <w:tblCellSpacing w:w="0" w:type="dxa"/>
              </w:trPr>
              <w:tc>
                <w:tcPr>
                  <w:tcW w:w="229" w:type="dxa"/>
                </w:tcPr>
                <w:p w:rsidR="00B20392" w:rsidRPr="00603CC4" w:rsidRDefault="00B20392" w:rsidP="002014E6">
                  <w:pPr>
                    <w:spacing w:before="120" w:after="0" w:line="240" w:lineRule="auto"/>
                    <w:jc w:val="both"/>
                    <w:rPr>
                      <w:color w:val="000000"/>
                      <w:lang w:eastAsia="sk-SK"/>
                    </w:rPr>
                  </w:pPr>
                  <w:r w:rsidRPr="00603CC4">
                    <w:rPr>
                      <w:color w:val="000000"/>
                      <w:lang w:eastAsia="sk-SK"/>
                    </w:rPr>
                    <w:t>j)</w:t>
                  </w:r>
                </w:p>
              </w:tc>
              <w:tc>
                <w:tcPr>
                  <w:tcW w:w="6641" w:type="dxa"/>
                </w:tcPr>
                <w:p w:rsidR="00B20392" w:rsidRPr="00603CC4" w:rsidRDefault="00B20392" w:rsidP="002014E6">
                  <w:pPr>
                    <w:spacing w:before="120" w:after="0" w:line="240" w:lineRule="auto"/>
                    <w:jc w:val="both"/>
                    <w:rPr>
                      <w:color w:val="000000"/>
                      <w:lang w:eastAsia="sk-SK"/>
                    </w:rPr>
                  </w:pPr>
                  <w:r w:rsidRPr="00603CC4">
                    <w:rPr>
                      <w:color w:val="000000"/>
                      <w:lang w:eastAsia="sk-SK"/>
                    </w:rPr>
                    <w:t xml:space="preserve">zariadenia na premenu </w:t>
                  </w:r>
                  <w:proofErr w:type="spellStart"/>
                  <w:r w:rsidRPr="00603CC4">
                    <w:rPr>
                      <w:color w:val="000000"/>
                      <w:lang w:eastAsia="sk-SK"/>
                    </w:rPr>
                    <w:t>sulfánu</w:t>
                  </w:r>
                  <w:proofErr w:type="spellEnd"/>
                  <w:r w:rsidRPr="00603CC4">
                    <w:rPr>
                      <w:color w:val="000000"/>
                      <w:lang w:eastAsia="sk-SK"/>
                    </w:rPr>
                    <w:t xml:space="preserve"> na síru;</w:t>
                  </w:r>
                </w:p>
              </w:tc>
            </w:tr>
          </w:tbl>
          <w:p w:rsidR="00B20392" w:rsidRPr="00603CC4" w:rsidRDefault="00B20392" w:rsidP="00603CC4">
            <w:pPr>
              <w:spacing w:after="0" w:line="240" w:lineRule="auto"/>
              <w:rPr>
                <w:vanish/>
                <w:color w:val="000000"/>
                <w:lang w:eastAsia="sk-SK"/>
              </w:rPr>
            </w:pPr>
          </w:p>
          <w:tbl>
            <w:tblPr>
              <w:tblW w:w="5000" w:type="pct"/>
              <w:tblCellSpacing w:w="0" w:type="dxa"/>
              <w:tblLayout w:type="fixed"/>
              <w:tblCellMar>
                <w:left w:w="0" w:type="dxa"/>
                <w:right w:w="0" w:type="dxa"/>
              </w:tblCellMar>
              <w:tblLook w:val="00A0" w:firstRow="1" w:lastRow="0" w:firstColumn="1" w:lastColumn="0" w:noHBand="0" w:noVBand="0"/>
            </w:tblPr>
            <w:tblGrid>
              <w:gridCol w:w="230"/>
              <w:gridCol w:w="5325"/>
            </w:tblGrid>
            <w:tr w:rsidR="00B20392" w:rsidRPr="00603CC4">
              <w:trPr>
                <w:tblCellSpacing w:w="0" w:type="dxa"/>
              </w:trPr>
              <w:tc>
                <w:tcPr>
                  <w:tcW w:w="280" w:type="dxa"/>
                </w:tcPr>
                <w:p w:rsidR="00B20392" w:rsidRPr="00603CC4" w:rsidRDefault="00B20392" w:rsidP="002014E6">
                  <w:pPr>
                    <w:spacing w:before="120" w:after="0" w:line="240" w:lineRule="auto"/>
                    <w:jc w:val="both"/>
                    <w:rPr>
                      <w:color w:val="000000"/>
                      <w:lang w:eastAsia="sk-SK"/>
                    </w:rPr>
                  </w:pPr>
                  <w:r w:rsidRPr="00603CC4">
                    <w:rPr>
                      <w:color w:val="000000"/>
                      <w:lang w:eastAsia="sk-SK"/>
                    </w:rPr>
                    <w:t>k)</w:t>
                  </w:r>
                </w:p>
              </w:tc>
              <w:tc>
                <w:tcPr>
                  <w:tcW w:w="6590" w:type="dxa"/>
                </w:tcPr>
                <w:p w:rsidR="00B20392" w:rsidRPr="00603CC4" w:rsidRDefault="00B20392" w:rsidP="002014E6">
                  <w:pPr>
                    <w:spacing w:before="120" w:after="0" w:line="240" w:lineRule="auto"/>
                    <w:jc w:val="both"/>
                    <w:rPr>
                      <w:color w:val="000000"/>
                      <w:lang w:eastAsia="sk-SK"/>
                    </w:rPr>
                  </w:pPr>
                  <w:r w:rsidRPr="00603CC4">
                    <w:rPr>
                      <w:color w:val="000000"/>
                      <w:lang w:eastAsia="sk-SK"/>
                    </w:rPr>
                    <w:t>reaktory používané v chemickom priemysle;</w:t>
                  </w:r>
                </w:p>
              </w:tc>
            </w:tr>
          </w:tbl>
          <w:p w:rsidR="00B20392" w:rsidRPr="00603CC4" w:rsidRDefault="00B20392" w:rsidP="00603CC4">
            <w:pPr>
              <w:spacing w:after="0" w:line="240" w:lineRule="auto"/>
              <w:rPr>
                <w:vanish/>
                <w:color w:val="000000"/>
                <w:lang w:eastAsia="sk-SK"/>
              </w:rPr>
            </w:pPr>
          </w:p>
          <w:tbl>
            <w:tblPr>
              <w:tblW w:w="4896" w:type="pct"/>
              <w:tblCellSpacing w:w="0" w:type="dxa"/>
              <w:tblLayout w:type="fixed"/>
              <w:tblCellMar>
                <w:left w:w="0" w:type="dxa"/>
                <w:right w:w="0" w:type="dxa"/>
              </w:tblCellMar>
              <w:tblLook w:val="00A0" w:firstRow="1" w:lastRow="0" w:firstColumn="1" w:lastColumn="0" w:noHBand="0" w:noVBand="0"/>
            </w:tblPr>
            <w:tblGrid>
              <w:gridCol w:w="166"/>
              <w:gridCol w:w="5273"/>
            </w:tblGrid>
            <w:tr w:rsidR="00B20392" w:rsidRPr="00603CC4">
              <w:trPr>
                <w:tblCellSpacing w:w="0" w:type="dxa"/>
              </w:trPr>
              <w:tc>
                <w:tcPr>
                  <w:tcW w:w="153" w:type="pct"/>
                </w:tcPr>
                <w:p w:rsidR="00B20392" w:rsidRPr="00603CC4" w:rsidRDefault="00B20392" w:rsidP="002014E6">
                  <w:pPr>
                    <w:spacing w:before="120" w:after="0" w:line="240" w:lineRule="auto"/>
                    <w:jc w:val="both"/>
                    <w:rPr>
                      <w:color w:val="000000"/>
                      <w:lang w:eastAsia="sk-SK"/>
                    </w:rPr>
                  </w:pPr>
                  <w:r w:rsidRPr="00603CC4">
                    <w:rPr>
                      <w:color w:val="000000"/>
                      <w:lang w:eastAsia="sk-SK"/>
                    </w:rPr>
                    <w:t>l)</w:t>
                  </w:r>
                </w:p>
              </w:tc>
              <w:tc>
                <w:tcPr>
                  <w:tcW w:w="6521" w:type="dxa"/>
                </w:tcPr>
                <w:p w:rsidR="00B20392" w:rsidRPr="00603CC4" w:rsidRDefault="00B20392" w:rsidP="002014E6">
                  <w:pPr>
                    <w:spacing w:before="120" w:after="0" w:line="240" w:lineRule="auto"/>
                    <w:jc w:val="both"/>
                    <w:rPr>
                      <w:color w:val="000000"/>
                      <w:lang w:eastAsia="sk-SK"/>
                    </w:rPr>
                  </w:pPr>
                  <w:r w:rsidRPr="00603CC4">
                    <w:rPr>
                      <w:color w:val="000000"/>
                      <w:lang w:eastAsia="sk-SK"/>
                    </w:rPr>
                    <w:t>pece s koksovými batériami;</w:t>
                  </w:r>
                </w:p>
              </w:tc>
            </w:tr>
          </w:tbl>
          <w:p w:rsidR="00B20392" w:rsidRPr="00603CC4" w:rsidRDefault="00B20392" w:rsidP="00603CC4">
            <w:pPr>
              <w:spacing w:after="0" w:line="240" w:lineRule="auto"/>
              <w:rPr>
                <w:vanish/>
                <w:color w:val="000000"/>
                <w:lang w:eastAsia="sk-SK"/>
              </w:rPr>
            </w:pPr>
          </w:p>
          <w:tbl>
            <w:tblPr>
              <w:tblW w:w="3918" w:type="pct"/>
              <w:tblCellSpacing w:w="0" w:type="dxa"/>
              <w:tblLayout w:type="fixed"/>
              <w:tblCellMar>
                <w:left w:w="0" w:type="dxa"/>
                <w:right w:w="0" w:type="dxa"/>
              </w:tblCellMar>
              <w:tblLook w:val="00A0" w:firstRow="1" w:lastRow="0" w:firstColumn="1" w:lastColumn="0" w:noHBand="0" w:noVBand="0"/>
            </w:tblPr>
            <w:tblGrid>
              <w:gridCol w:w="300"/>
              <w:gridCol w:w="4053"/>
            </w:tblGrid>
            <w:tr w:rsidR="00B20392" w:rsidRPr="00603CC4">
              <w:trPr>
                <w:tblCellSpacing w:w="0" w:type="dxa"/>
              </w:trPr>
              <w:tc>
                <w:tcPr>
                  <w:tcW w:w="345" w:type="pct"/>
                </w:tcPr>
                <w:p w:rsidR="00B20392" w:rsidRPr="00603CC4" w:rsidRDefault="00B20392" w:rsidP="002014E6">
                  <w:pPr>
                    <w:spacing w:before="120" w:after="0" w:line="240" w:lineRule="auto"/>
                    <w:jc w:val="both"/>
                    <w:rPr>
                      <w:color w:val="000000"/>
                      <w:lang w:eastAsia="sk-SK"/>
                    </w:rPr>
                  </w:pPr>
                  <w:r w:rsidRPr="00603CC4">
                    <w:rPr>
                      <w:color w:val="000000"/>
                      <w:lang w:eastAsia="sk-SK"/>
                    </w:rPr>
                    <w:t>m)</w:t>
                  </w:r>
                </w:p>
              </w:tc>
              <w:tc>
                <w:tcPr>
                  <w:tcW w:w="5012" w:type="dxa"/>
                </w:tcPr>
                <w:p w:rsidR="00B20392" w:rsidRPr="00603CC4" w:rsidRDefault="00B20392" w:rsidP="002014E6">
                  <w:pPr>
                    <w:spacing w:before="120" w:after="0" w:line="240" w:lineRule="auto"/>
                    <w:jc w:val="both"/>
                    <w:rPr>
                      <w:color w:val="000000"/>
                      <w:lang w:eastAsia="sk-SK"/>
                    </w:rPr>
                  </w:pPr>
                  <w:proofErr w:type="spellStart"/>
                  <w:r w:rsidRPr="00603CC4">
                    <w:rPr>
                      <w:color w:val="000000"/>
                      <w:lang w:eastAsia="sk-SK"/>
                    </w:rPr>
                    <w:t>kaupre</w:t>
                  </w:r>
                  <w:proofErr w:type="spellEnd"/>
                  <w:r w:rsidRPr="00603CC4">
                    <w:rPr>
                      <w:color w:val="000000"/>
                      <w:lang w:eastAsia="sk-SK"/>
                    </w:rPr>
                    <w:t>;</w:t>
                  </w:r>
                </w:p>
              </w:tc>
            </w:tr>
          </w:tbl>
          <w:p w:rsidR="00B20392" w:rsidRPr="00603CC4" w:rsidRDefault="00B20392" w:rsidP="00603CC4">
            <w:pPr>
              <w:spacing w:after="0" w:line="240" w:lineRule="auto"/>
              <w:rPr>
                <w:vanish/>
                <w:color w:val="000000"/>
                <w:lang w:eastAsia="sk-SK"/>
              </w:rPr>
            </w:pPr>
          </w:p>
          <w:tbl>
            <w:tblPr>
              <w:tblW w:w="4505" w:type="pct"/>
              <w:tblCellSpacing w:w="0" w:type="dxa"/>
              <w:tblLayout w:type="fixed"/>
              <w:tblCellMar>
                <w:left w:w="0" w:type="dxa"/>
                <w:right w:w="0" w:type="dxa"/>
              </w:tblCellMar>
              <w:tblLook w:val="00A0" w:firstRow="1" w:lastRow="0" w:firstColumn="1" w:lastColumn="0" w:noHBand="0" w:noVBand="0"/>
            </w:tblPr>
            <w:tblGrid>
              <w:gridCol w:w="300"/>
              <w:gridCol w:w="4705"/>
            </w:tblGrid>
            <w:tr w:rsidR="00B20392" w:rsidRPr="00603CC4">
              <w:trPr>
                <w:tblCellSpacing w:w="0" w:type="dxa"/>
              </w:trPr>
              <w:tc>
                <w:tcPr>
                  <w:tcW w:w="300" w:type="pct"/>
                </w:tcPr>
                <w:p w:rsidR="00B20392" w:rsidRPr="00603CC4" w:rsidRDefault="00B20392" w:rsidP="002014E6">
                  <w:pPr>
                    <w:spacing w:before="120" w:after="0" w:line="240" w:lineRule="auto"/>
                    <w:jc w:val="both"/>
                    <w:rPr>
                      <w:color w:val="000000"/>
                      <w:lang w:eastAsia="sk-SK"/>
                    </w:rPr>
                  </w:pPr>
                  <w:r w:rsidRPr="00603CC4">
                    <w:rPr>
                      <w:color w:val="000000"/>
                      <w:lang w:eastAsia="sk-SK"/>
                    </w:rPr>
                    <w:t>n)</w:t>
                  </w:r>
                </w:p>
              </w:tc>
              <w:tc>
                <w:tcPr>
                  <w:tcW w:w="5819" w:type="dxa"/>
                </w:tcPr>
                <w:p w:rsidR="00B20392" w:rsidRPr="00603CC4" w:rsidRDefault="00B20392" w:rsidP="002014E6">
                  <w:pPr>
                    <w:spacing w:before="120" w:after="0" w:line="240" w:lineRule="auto"/>
                    <w:jc w:val="both"/>
                    <w:rPr>
                      <w:color w:val="000000"/>
                      <w:lang w:eastAsia="sk-SK"/>
                    </w:rPr>
                  </w:pPr>
                  <w:r w:rsidRPr="00603CC4">
                    <w:rPr>
                      <w:color w:val="000000"/>
                      <w:lang w:eastAsia="sk-SK"/>
                    </w:rPr>
                    <w:t>krematóriá;</w:t>
                  </w:r>
                </w:p>
              </w:tc>
            </w:tr>
          </w:tbl>
          <w:p w:rsidR="00B20392" w:rsidRPr="00603CC4" w:rsidRDefault="00B20392" w:rsidP="00603CC4">
            <w:pPr>
              <w:spacing w:after="0" w:line="240" w:lineRule="auto"/>
              <w:rPr>
                <w:vanish/>
                <w:color w:val="000000"/>
                <w:lang w:eastAsia="sk-SK"/>
              </w:rPr>
            </w:pPr>
          </w:p>
          <w:tbl>
            <w:tblPr>
              <w:tblW w:w="5000" w:type="pct"/>
              <w:tblCellSpacing w:w="0" w:type="dxa"/>
              <w:tblLayout w:type="fixed"/>
              <w:tblCellMar>
                <w:left w:w="0" w:type="dxa"/>
                <w:right w:w="0" w:type="dxa"/>
              </w:tblCellMar>
              <w:tblLook w:val="00A0" w:firstRow="1" w:lastRow="0" w:firstColumn="1" w:lastColumn="0" w:noHBand="0" w:noVBand="0"/>
            </w:tblPr>
            <w:tblGrid>
              <w:gridCol w:w="152"/>
              <w:gridCol w:w="5403"/>
            </w:tblGrid>
            <w:tr w:rsidR="00B20392" w:rsidRPr="00603CC4">
              <w:trPr>
                <w:tblCellSpacing w:w="0" w:type="dxa"/>
              </w:trPr>
              <w:tc>
                <w:tcPr>
                  <w:tcW w:w="183" w:type="dxa"/>
                </w:tcPr>
                <w:p w:rsidR="00B20392" w:rsidRPr="00603CC4" w:rsidRDefault="007D7E3B" w:rsidP="002014E6">
                  <w:pPr>
                    <w:spacing w:before="120" w:after="0" w:line="240" w:lineRule="auto"/>
                    <w:jc w:val="both"/>
                    <w:rPr>
                      <w:color w:val="000000"/>
                      <w:lang w:eastAsia="sk-SK"/>
                    </w:rPr>
                  </w:pPr>
                  <w:r>
                    <w:rPr>
                      <w:color w:val="000000"/>
                      <w:lang w:eastAsia="sk-SK"/>
                    </w:rPr>
                    <w:t>o</w:t>
                  </w:r>
                </w:p>
              </w:tc>
              <w:tc>
                <w:tcPr>
                  <w:tcW w:w="6687" w:type="dxa"/>
                </w:tcPr>
                <w:p w:rsidR="00B20392" w:rsidRPr="00603CC4" w:rsidRDefault="007D7E3B" w:rsidP="002014E6">
                  <w:pPr>
                    <w:spacing w:before="120" w:after="0" w:line="240" w:lineRule="auto"/>
                    <w:jc w:val="both"/>
                    <w:rPr>
                      <w:color w:val="000000"/>
                      <w:lang w:eastAsia="sk-SK"/>
                    </w:rPr>
                  </w:pPr>
                  <w:r>
                    <w:rPr>
                      <w:color w:val="000000"/>
                      <w:lang w:eastAsia="sk-SK"/>
                    </w:rPr>
                    <w:t>)</w:t>
                  </w:r>
                  <w:r w:rsidR="00B20392" w:rsidRPr="00603CC4">
                    <w:rPr>
                      <w:color w:val="000000"/>
                      <w:lang w:eastAsia="sk-SK"/>
                    </w:rPr>
                    <w:t>spaľovacie zariadenia, ktoré spaľujú výlučne rafinérske palivá alebo rafinérske palivá s inými palivami na výrobu energie v rafinériách minerálnych olejov a plynu;</w:t>
                  </w:r>
                </w:p>
              </w:tc>
            </w:tr>
          </w:tbl>
          <w:p w:rsidR="00B20392" w:rsidRPr="00603CC4" w:rsidRDefault="00B20392" w:rsidP="00603CC4">
            <w:pPr>
              <w:spacing w:after="0" w:line="240" w:lineRule="auto"/>
              <w:rPr>
                <w:vanish/>
                <w:color w:val="000000"/>
                <w:lang w:eastAsia="sk-SK"/>
              </w:rPr>
            </w:pPr>
          </w:p>
          <w:tbl>
            <w:tblPr>
              <w:tblW w:w="5000" w:type="pct"/>
              <w:tblCellSpacing w:w="0" w:type="dxa"/>
              <w:tblLayout w:type="fixed"/>
              <w:tblCellMar>
                <w:left w:w="0" w:type="dxa"/>
                <w:right w:w="0" w:type="dxa"/>
              </w:tblCellMar>
              <w:tblLook w:val="00A0" w:firstRow="1" w:lastRow="0" w:firstColumn="1" w:lastColumn="0" w:noHBand="0" w:noVBand="0"/>
            </w:tblPr>
            <w:tblGrid>
              <w:gridCol w:w="211"/>
              <w:gridCol w:w="5344"/>
            </w:tblGrid>
            <w:tr w:rsidR="00B20392" w:rsidRPr="00603CC4">
              <w:trPr>
                <w:tblCellSpacing w:w="0" w:type="dxa"/>
              </w:trPr>
              <w:tc>
                <w:tcPr>
                  <w:tcW w:w="256" w:type="dxa"/>
                </w:tcPr>
                <w:p w:rsidR="00B20392" w:rsidRPr="00603CC4" w:rsidRDefault="00B20392" w:rsidP="002014E6">
                  <w:pPr>
                    <w:spacing w:before="120" w:after="0" w:line="240" w:lineRule="auto"/>
                    <w:jc w:val="both"/>
                    <w:rPr>
                      <w:color w:val="000000"/>
                      <w:lang w:eastAsia="sk-SK"/>
                    </w:rPr>
                  </w:pPr>
                  <w:r w:rsidRPr="00603CC4">
                    <w:rPr>
                      <w:color w:val="000000"/>
                      <w:lang w:eastAsia="sk-SK"/>
                    </w:rPr>
                    <w:t>p)</w:t>
                  </w:r>
                </w:p>
              </w:tc>
              <w:tc>
                <w:tcPr>
                  <w:tcW w:w="6614" w:type="dxa"/>
                </w:tcPr>
                <w:p w:rsidR="00B20392" w:rsidRPr="00603CC4" w:rsidRDefault="00B20392" w:rsidP="002014E6">
                  <w:pPr>
                    <w:spacing w:before="120" w:after="0" w:line="240" w:lineRule="auto"/>
                    <w:jc w:val="both"/>
                    <w:rPr>
                      <w:color w:val="000000"/>
                      <w:lang w:eastAsia="sk-SK"/>
                    </w:rPr>
                  </w:pPr>
                  <w:r w:rsidRPr="00603CC4">
                    <w:rPr>
                      <w:color w:val="000000"/>
                      <w:lang w:eastAsia="sk-SK"/>
                    </w:rPr>
                    <w:t>regeneračné kotle v zariadeniach na výrobu celulózy.</w:t>
                  </w:r>
                </w:p>
              </w:tc>
            </w:tr>
          </w:tbl>
          <w:p w:rsidR="00B20392" w:rsidRPr="00603CC4" w:rsidRDefault="00B20392" w:rsidP="00603CC4">
            <w:pPr>
              <w:spacing w:after="0" w:line="240" w:lineRule="auto"/>
              <w:rPr>
                <w:color w:val="000000"/>
              </w:rPr>
            </w:pPr>
          </w:p>
        </w:tc>
        <w:tc>
          <w:tcPr>
            <w:tcW w:w="397" w:type="dxa"/>
            <w:vAlign w:val="center"/>
          </w:tcPr>
          <w:p w:rsidR="00B20392" w:rsidRPr="00603CC4" w:rsidRDefault="00565E6C" w:rsidP="00603CC4">
            <w:pPr>
              <w:spacing w:after="0" w:line="240" w:lineRule="auto"/>
            </w:pPr>
            <w:r>
              <w:lastRenderedPageBreak/>
              <w:t>N</w:t>
            </w:r>
          </w:p>
        </w:tc>
        <w:tc>
          <w:tcPr>
            <w:tcW w:w="708" w:type="dxa"/>
            <w:vAlign w:val="center"/>
          </w:tcPr>
          <w:p w:rsidR="00B20392" w:rsidRDefault="000E363C" w:rsidP="00603CC4">
            <w:pPr>
              <w:spacing w:after="0" w:line="240" w:lineRule="auto"/>
            </w:pPr>
            <w:r>
              <w:t>V410</w:t>
            </w:r>
          </w:p>
          <w:p w:rsidR="000E363C" w:rsidRDefault="000E363C" w:rsidP="00603CC4">
            <w:pPr>
              <w:spacing w:after="0" w:line="240" w:lineRule="auto"/>
            </w:pPr>
          </w:p>
          <w:p w:rsidR="000E363C" w:rsidRDefault="000E363C" w:rsidP="00603CC4">
            <w:pPr>
              <w:spacing w:after="0" w:line="240" w:lineRule="auto"/>
            </w:pPr>
          </w:p>
          <w:p w:rsidR="000E363C" w:rsidRDefault="000E363C" w:rsidP="00603CC4">
            <w:pPr>
              <w:spacing w:after="0" w:line="240" w:lineRule="auto"/>
            </w:pPr>
          </w:p>
          <w:p w:rsidR="000E363C" w:rsidRDefault="000E363C" w:rsidP="00603CC4">
            <w:pPr>
              <w:spacing w:after="0" w:line="240" w:lineRule="auto"/>
            </w:pPr>
          </w:p>
          <w:p w:rsidR="000E363C" w:rsidRDefault="000E363C" w:rsidP="00603CC4">
            <w:pPr>
              <w:spacing w:after="0" w:line="240" w:lineRule="auto"/>
            </w:pPr>
          </w:p>
          <w:p w:rsidR="000E363C" w:rsidRDefault="000E363C" w:rsidP="00603CC4">
            <w:pPr>
              <w:spacing w:after="0" w:line="240" w:lineRule="auto"/>
            </w:pPr>
          </w:p>
          <w:p w:rsidR="000E363C" w:rsidRDefault="000E363C" w:rsidP="00603CC4">
            <w:pPr>
              <w:spacing w:after="0" w:line="240" w:lineRule="auto"/>
            </w:pPr>
          </w:p>
          <w:p w:rsidR="000E363C" w:rsidRDefault="000E363C" w:rsidP="00603CC4">
            <w:pPr>
              <w:spacing w:after="0" w:line="240" w:lineRule="auto"/>
            </w:pPr>
          </w:p>
          <w:p w:rsidR="000E363C" w:rsidRDefault="000E363C" w:rsidP="00603CC4">
            <w:pPr>
              <w:spacing w:after="0" w:line="240" w:lineRule="auto"/>
            </w:pPr>
          </w:p>
          <w:p w:rsidR="000E363C" w:rsidRDefault="000E363C" w:rsidP="00603CC4">
            <w:pPr>
              <w:spacing w:after="0" w:line="240" w:lineRule="auto"/>
            </w:pPr>
          </w:p>
          <w:p w:rsidR="000E363C" w:rsidRDefault="000E363C" w:rsidP="00603CC4">
            <w:pPr>
              <w:spacing w:after="0" w:line="240" w:lineRule="auto"/>
            </w:pPr>
          </w:p>
          <w:p w:rsidR="000E363C" w:rsidRDefault="000E363C" w:rsidP="00603CC4">
            <w:pPr>
              <w:spacing w:after="0" w:line="240" w:lineRule="auto"/>
            </w:pPr>
          </w:p>
          <w:p w:rsidR="000E363C" w:rsidRDefault="000E363C" w:rsidP="00603CC4">
            <w:pPr>
              <w:spacing w:after="0" w:line="240" w:lineRule="auto"/>
            </w:pPr>
          </w:p>
          <w:p w:rsidR="000E363C" w:rsidRDefault="000E363C" w:rsidP="00603CC4">
            <w:pPr>
              <w:spacing w:after="0" w:line="240" w:lineRule="auto"/>
            </w:pPr>
          </w:p>
          <w:p w:rsidR="000E363C" w:rsidRDefault="000E363C" w:rsidP="00603CC4">
            <w:pPr>
              <w:spacing w:after="0" w:line="240" w:lineRule="auto"/>
            </w:pPr>
          </w:p>
          <w:p w:rsidR="000E363C" w:rsidRDefault="000E363C" w:rsidP="00603CC4">
            <w:pPr>
              <w:spacing w:after="0" w:line="240" w:lineRule="auto"/>
            </w:pPr>
          </w:p>
          <w:p w:rsidR="000E363C" w:rsidRDefault="000E363C" w:rsidP="00603CC4">
            <w:pPr>
              <w:spacing w:after="0" w:line="240" w:lineRule="auto"/>
            </w:pPr>
          </w:p>
          <w:p w:rsidR="000E363C" w:rsidRDefault="000E363C" w:rsidP="00603CC4">
            <w:pPr>
              <w:spacing w:after="0" w:line="240" w:lineRule="auto"/>
            </w:pPr>
          </w:p>
          <w:p w:rsidR="000E363C" w:rsidRDefault="000E363C" w:rsidP="00603CC4">
            <w:pPr>
              <w:spacing w:after="0" w:line="240" w:lineRule="auto"/>
            </w:pPr>
          </w:p>
          <w:p w:rsidR="000E363C" w:rsidRDefault="000E363C" w:rsidP="00EF5876">
            <w:pPr>
              <w:spacing w:after="0" w:line="240" w:lineRule="auto"/>
              <w:ind w:left="-108" w:right="-108"/>
            </w:pPr>
          </w:p>
          <w:p w:rsidR="000E363C" w:rsidRDefault="000E363C" w:rsidP="00603CC4">
            <w:pPr>
              <w:spacing w:after="0" w:line="240" w:lineRule="auto"/>
            </w:pPr>
          </w:p>
          <w:p w:rsidR="000E363C" w:rsidRDefault="000E363C" w:rsidP="00603CC4">
            <w:pPr>
              <w:spacing w:after="0" w:line="240" w:lineRule="auto"/>
            </w:pPr>
            <w:r>
              <w:t>N410</w:t>
            </w:r>
          </w:p>
          <w:p w:rsidR="000E363C" w:rsidRDefault="000E363C" w:rsidP="00603CC4">
            <w:pPr>
              <w:spacing w:after="0" w:line="240" w:lineRule="auto"/>
            </w:pPr>
          </w:p>
          <w:p w:rsidR="000E363C" w:rsidRDefault="000E363C" w:rsidP="00603CC4">
            <w:pPr>
              <w:spacing w:after="0" w:line="240" w:lineRule="auto"/>
            </w:pPr>
          </w:p>
          <w:p w:rsidR="000E363C" w:rsidRDefault="000E363C" w:rsidP="00603CC4">
            <w:pPr>
              <w:spacing w:after="0" w:line="240" w:lineRule="auto"/>
            </w:pPr>
          </w:p>
          <w:p w:rsidR="000E363C" w:rsidRDefault="000E363C" w:rsidP="00603CC4">
            <w:pPr>
              <w:spacing w:after="0" w:line="240" w:lineRule="auto"/>
            </w:pPr>
          </w:p>
          <w:p w:rsidR="000E363C" w:rsidRDefault="000E363C" w:rsidP="00603CC4">
            <w:pPr>
              <w:spacing w:after="0" w:line="240" w:lineRule="auto"/>
            </w:pPr>
          </w:p>
          <w:p w:rsidR="000E363C" w:rsidRDefault="000E363C" w:rsidP="00603CC4">
            <w:pPr>
              <w:spacing w:after="0" w:line="240" w:lineRule="auto"/>
            </w:pPr>
          </w:p>
          <w:p w:rsidR="000E363C" w:rsidRDefault="000E363C" w:rsidP="00603CC4">
            <w:pPr>
              <w:spacing w:after="0" w:line="240" w:lineRule="auto"/>
            </w:pPr>
          </w:p>
          <w:p w:rsidR="000E363C" w:rsidRDefault="000E363C" w:rsidP="00603CC4">
            <w:pPr>
              <w:spacing w:after="0" w:line="240" w:lineRule="auto"/>
            </w:pPr>
          </w:p>
          <w:p w:rsidR="000E363C" w:rsidRDefault="000E363C" w:rsidP="00603CC4">
            <w:pPr>
              <w:spacing w:after="0" w:line="240" w:lineRule="auto"/>
            </w:pPr>
          </w:p>
          <w:p w:rsidR="000E363C" w:rsidRDefault="000E363C" w:rsidP="00603CC4">
            <w:pPr>
              <w:spacing w:after="0" w:line="240" w:lineRule="auto"/>
            </w:pPr>
          </w:p>
          <w:p w:rsidR="000E363C" w:rsidRDefault="000E363C" w:rsidP="00603CC4">
            <w:pPr>
              <w:spacing w:after="0" w:line="240" w:lineRule="auto"/>
            </w:pPr>
          </w:p>
          <w:p w:rsidR="000E363C" w:rsidRDefault="000E363C" w:rsidP="00603CC4">
            <w:pPr>
              <w:spacing w:after="0" w:line="240" w:lineRule="auto"/>
            </w:pPr>
          </w:p>
          <w:p w:rsidR="000E363C" w:rsidRDefault="000E363C" w:rsidP="00603CC4">
            <w:pPr>
              <w:spacing w:after="0" w:line="240" w:lineRule="auto"/>
            </w:pPr>
          </w:p>
          <w:p w:rsidR="000E363C" w:rsidRPr="00603CC4" w:rsidRDefault="000E363C" w:rsidP="00603CC4">
            <w:pPr>
              <w:spacing w:after="0" w:line="240" w:lineRule="auto"/>
            </w:pPr>
          </w:p>
        </w:tc>
        <w:tc>
          <w:tcPr>
            <w:tcW w:w="596" w:type="dxa"/>
            <w:vAlign w:val="center"/>
          </w:tcPr>
          <w:p w:rsidR="000E363C" w:rsidRDefault="000E363C" w:rsidP="00603CC4">
            <w:pPr>
              <w:spacing w:after="0" w:line="240" w:lineRule="auto"/>
            </w:pPr>
            <w:r>
              <w:lastRenderedPageBreak/>
              <w:t xml:space="preserve">§:8 </w:t>
            </w:r>
          </w:p>
          <w:p w:rsidR="00B20392" w:rsidRDefault="000E363C" w:rsidP="00603CC4">
            <w:pPr>
              <w:spacing w:after="0" w:line="240" w:lineRule="auto"/>
            </w:pPr>
            <w:r>
              <w:t>O: 1</w:t>
            </w:r>
          </w:p>
          <w:p w:rsidR="000E363C" w:rsidRDefault="000E363C" w:rsidP="00603CC4">
            <w:pPr>
              <w:spacing w:after="0" w:line="240" w:lineRule="auto"/>
            </w:pPr>
          </w:p>
          <w:p w:rsidR="000E363C" w:rsidRDefault="000E363C" w:rsidP="00603CC4">
            <w:pPr>
              <w:spacing w:after="0" w:line="240" w:lineRule="auto"/>
            </w:pPr>
          </w:p>
          <w:p w:rsidR="000E363C" w:rsidRDefault="000E363C" w:rsidP="00603CC4">
            <w:pPr>
              <w:spacing w:after="0" w:line="240" w:lineRule="auto"/>
            </w:pPr>
          </w:p>
          <w:p w:rsidR="000E363C" w:rsidRDefault="000E363C" w:rsidP="00603CC4">
            <w:pPr>
              <w:spacing w:after="0" w:line="240" w:lineRule="auto"/>
            </w:pPr>
          </w:p>
          <w:p w:rsidR="000E363C" w:rsidRDefault="000E363C" w:rsidP="00603CC4">
            <w:pPr>
              <w:spacing w:after="0" w:line="240" w:lineRule="auto"/>
            </w:pPr>
          </w:p>
          <w:p w:rsidR="000E363C" w:rsidRDefault="000E363C" w:rsidP="00603CC4">
            <w:pPr>
              <w:spacing w:after="0" w:line="240" w:lineRule="auto"/>
            </w:pPr>
          </w:p>
          <w:p w:rsidR="000E363C" w:rsidRDefault="000E363C" w:rsidP="00603CC4">
            <w:pPr>
              <w:spacing w:after="0" w:line="240" w:lineRule="auto"/>
            </w:pPr>
          </w:p>
          <w:p w:rsidR="000E363C" w:rsidRDefault="000E363C" w:rsidP="00603CC4">
            <w:pPr>
              <w:spacing w:after="0" w:line="240" w:lineRule="auto"/>
            </w:pPr>
          </w:p>
          <w:p w:rsidR="000E363C" w:rsidRDefault="000E363C" w:rsidP="00603CC4">
            <w:pPr>
              <w:spacing w:after="0" w:line="240" w:lineRule="auto"/>
            </w:pPr>
          </w:p>
          <w:p w:rsidR="000E363C" w:rsidRDefault="000E363C" w:rsidP="00603CC4">
            <w:pPr>
              <w:spacing w:after="0" w:line="240" w:lineRule="auto"/>
            </w:pPr>
          </w:p>
          <w:p w:rsidR="000E363C" w:rsidRDefault="000E363C" w:rsidP="00603CC4">
            <w:pPr>
              <w:spacing w:after="0" w:line="240" w:lineRule="auto"/>
            </w:pPr>
          </w:p>
          <w:p w:rsidR="000E363C" w:rsidRDefault="000E363C" w:rsidP="00603CC4">
            <w:pPr>
              <w:spacing w:after="0" w:line="240" w:lineRule="auto"/>
            </w:pPr>
          </w:p>
          <w:p w:rsidR="000E363C" w:rsidRDefault="000E363C" w:rsidP="00603CC4">
            <w:pPr>
              <w:spacing w:after="0" w:line="240" w:lineRule="auto"/>
            </w:pPr>
          </w:p>
          <w:p w:rsidR="000E363C" w:rsidRDefault="000E363C" w:rsidP="00603CC4">
            <w:pPr>
              <w:spacing w:after="0" w:line="240" w:lineRule="auto"/>
            </w:pPr>
          </w:p>
          <w:p w:rsidR="000E363C" w:rsidRDefault="000E363C" w:rsidP="00603CC4">
            <w:pPr>
              <w:spacing w:after="0" w:line="240" w:lineRule="auto"/>
            </w:pPr>
          </w:p>
          <w:p w:rsidR="000E363C" w:rsidRDefault="000E363C" w:rsidP="00603CC4">
            <w:pPr>
              <w:spacing w:after="0" w:line="240" w:lineRule="auto"/>
            </w:pPr>
          </w:p>
          <w:p w:rsidR="000E363C" w:rsidRDefault="000E363C" w:rsidP="00603CC4">
            <w:pPr>
              <w:spacing w:after="0" w:line="240" w:lineRule="auto"/>
            </w:pPr>
          </w:p>
          <w:p w:rsidR="000E363C" w:rsidRDefault="000E363C" w:rsidP="00603CC4">
            <w:pPr>
              <w:spacing w:after="0" w:line="240" w:lineRule="auto"/>
            </w:pPr>
          </w:p>
          <w:p w:rsidR="000E363C" w:rsidRDefault="000E363C" w:rsidP="00603CC4">
            <w:pPr>
              <w:spacing w:after="0" w:line="240" w:lineRule="auto"/>
            </w:pPr>
          </w:p>
          <w:p w:rsidR="000E363C" w:rsidRDefault="000E363C" w:rsidP="00603CC4">
            <w:pPr>
              <w:spacing w:after="0" w:line="240" w:lineRule="auto"/>
            </w:pPr>
          </w:p>
          <w:p w:rsidR="000E363C" w:rsidRDefault="000E363C" w:rsidP="00603CC4">
            <w:pPr>
              <w:spacing w:after="0" w:line="240" w:lineRule="auto"/>
            </w:pPr>
          </w:p>
          <w:p w:rsidR="000E363C" w:rsidRDefault="000E363C" w:rsidP="00603CC4">
            <w:pPr>
              <w:spacing w:after="0" w:line="240" w:lineRule="auto"/>
            </w:pPr>
          </w:p>
          <w:p w:rsidR="000E363C" w:rsidRDefault="000E363C" w:rsidP="00603CC4">
            <w:pPr>
              <w:spacing w:after="0" w:line="240" w:lineRule="auto"/>
            </w:pPr>
          </w:p>
          <w:p w:rsidR="000E363C" w:rsidRDefault="000E363C" w:rsidP="00603CC4">
            <w:pPr>
              <w:spacing w:after="0" w:line="240" w:lineRule="auto"/>
            </w:pPr>
            <w:r>
              <w:t>§:8</w:t>
            </w:r>
          </w:p>
          <w:p w:rsidR="000E363C" w:rsidRPr="00603CC4" w:rsidRDefault="000E363C" w:rsidP="00603CC4">
            <w:pPr>
              <w:spacing w:after="0" w:line="240" w:lineRule="auto"/>
            </w:pPr>
            <w:r>
              <w:t>O:2</w:t>
            </w:r>
          </w:p>
        </w:tc>
        <w:tc>
          <w:tcPr>
            <w:tcW w:w="6396" w:type="dxa"/>
            <w:vAlign w:val="center"/>
          </w:tcPr>
          <w:p w:rsidR="00BA0058" w:rsidRPr="00EF5876" w:rsidRDefault="00BA0058" w:rsidP="00BA0058">
            <w:pPr>
              <w:spacing w:after="0"/>
              <w:ind w:firstLine="851"/>
              <w:jc w:val="both"/>
            </w:pPr>
            <w:r w:rsidRPr="00EF5876">
              <w:lastRenderedPageBreak/>
              <w:t xml:space="preserve">(1) Špecifické požiadavky na spaľovacie zariadenia ustanovené v tejto časti sa uplatňujú na zariadenia spaľujúce palivá; neuplatňujú sa pre </w:t>
            </w:r>
          </w:p>
          <w:p w:rsidR="00BA0058" w:rsidRPr="00EF5876" w:rsidRDefault="00BA0058" w:rsidP="00BA0058">
            <w:pPr>
              <w:spacing w:after="0"/>
              <w:ind w:left="284" w:hanging="284"/>
              <w:jc w:val="both"/>
            </w:pPr>
            <w:r w:rsidRPr="00EF5876">
              <w:t xml:space="preserve">a) zariadenia, v ktorých sa spaliny používajú na priamy ohrev, sušenie alebo iné tepelné spracovanie materiálov alebo predmetov (ďalej len „priamy procesný ohrev“), </w:t>
            </w:r>
          </w:p>
          <w:p w:rsidR="00BA0058" w:rsidRPr="00EF5876" w:rsidRDefault="00BA0058" w:rsidP="00BA0058">
            <w:pPr>
              <w:spacing w:after="0"/>
              <w:ind w:left="284" w:hanging="284"/>
              <w:jc w:val="both"/>
            </w:pPr>
            <w:r w:rsidRPr="00EF5876">
              <w:t xml:space="preserve">b) koncové spaľovacie zariadenia určené na čistenie odpadových plynov spaľovaním, ak nie sú prevádzkované ako samostatné spaľovacie zariadenia, </w:t>
            </w:r>
          </w:p>
          <w:p w:rsidR="00BA0058" w:rsidRPr="00EF5876" w:rsidRDefault="00BA0058" w:rsidP="00BA0058">
            <w:pPr>
              <w:spacing w:after="0"/>
              <w:ind w:left="284" w:hanging="284"/>
              <w:jc w:val="both"/>
            </w:pPr>
            <w:r w:rsidRPr="00EF5876">
              <w:t>c) zariadenia na regeneráciu katalyzátorov pre katalytické krakovanie,</w:t>
            </w:r>
          </w:p>
          <w:p w:rsidR="00BA0058" w:rsidRPr="00EF5876" w:rsidRDefault="00BA0058" w:rsidP="00BA0058">
            <w:pPr>
              <w:spacing w:after="0"/>
              <w:ind w:left="284" w:hanging="284"/>
              <w:jc w:val="both"/>
            </w:pPr>
            <w:r w:rsidRPr="00EF5876">
              <w:lastRenderedPageBreak/>
              <w:t xml:space="preserve">d) zariadenia na premenu </w:t>
            </w:r>
            <w:proofErr w:type="spellStart"/>
            <w:r w:rsidRPr="00EF5876">
              <w:t>sulfánu</w:t>
            </w:r>
            <w:proofErr w:type="spellEnd"/>
            <w:r w:rsidRPr="00EF5876">
              <w:t xml:space="preserve"> na síru,</w:t>
            </w:r>
          </w:p>
          <w:p w:rsidR="00BA0058" w:rsidRPr="00EF5876" w:rsidRDefault="00BA0058" w:rsidP="00BA0058">
            <w:pPr>
              <w:spacing w:after="0"/>
              <w:ind w:left="284" w:hanging="284"/>
              <w:jc w:val="both"/>
            </w:pPr>
            <w:r w:rsidRPr="00EF5876">
              <w:t>e) reaktory používané v chemickom priemysle okrem zariadení na nepriamy procesný ohrev,</w:t>
            </w:r>
          </w:p>
          <w:p w:rsidR="00BA0058" w:rsidRPr="00EF5876" w:rsidRDefault="00BA0058" w:rsidP="00BA0058">
            <w:pPr>
              <w:spacing w:after="0"/>
              <w:ind w:left="284" w:hanging="284"/>
              <w:jc w:val="both"/>
            </w:pPr>
            <w:r w:rsidRPr="00EF5876">
              <w:t>f) koksárenské pece,</w:t>
            </w:r>
          </w:p>
          <w:p w:rsidR="00BA0058" w:rsidRPr="00EF5876" w:rsidRDefault="00BA0058" w:rsidP="00BA0058">
            <w:pPr>
              <w:spacing w:after="0"/>
              <w:ind w:left="284" w:hanging="284"/>
              <w:jc w:val="both"/>
            </w:pPr>
            <w:r w:rsidRPr="00EF5876">
              <w:t xml:space="preserve">g) ohrievače vetra – </w:t>
            </w:r>
            <w:proofErr w:type="spellStart"/>
            <w:r w:rsidRPr="00EF5876">
              <w:t>kaupre</w:t>
            </w:r>
            <w:proofErr w:type="spellEnd"/>
            <w:r w:rsidRPr="00EF5876">
              <w:t>,</w:t>
            </w:r>
          </w:p>
          <w:p w:rsidR="00BA0058" w:rsidRPr="00EF5876" w:rsidRDefault="00BA0058" w:rsidP="00BA0058">
            <w:pPr>
              <w:spacing w:after="0"/>
              <w:ind w:left="284" w:hanging="284"/>
              <w:jc w:val="both"/>
            </w:pPr>
            <w:r w:rsidRPr="00EF5876">
              <w:t>h) technické zariadenia používané na pohon vozidiel, lodí alebo lietadiel,</w:t>
            </w:r>
          </w:p>
          <w:p w:rsidR="00BA0058" w:rsidRPr="00EF5876" w:rsidRDefault="00BA0058" w:rsidP="00BA0058">
            <w:pPr>
              <w:spacing w:after="0"/>
              <w:ind w:left="284" w:hanging="284"/>
              <w:jc w:val="both"/>
            </w:pPr>
            <w:r w:rsidRPr="00EF5876">
              <w:t>i) plynové turbíny a zážihové motory používané na morských plošinách,</w:t>
            </w:r>
          </w:p>
          <w:p w:rsidR="00BA0058" w:rsidRPr="00EF5876" w:rsidRDefault="00BA0058" w:rsidP="00BA0058">
            <w:pPr>
              <w:spacing w:after="0"/>
              <w:ind w:left="284" w:hanging="284"/>
              <w:jc w:val="both"/>
            </w:pPr>
            <w:r w:rsidRPr="00EF5876">
              <w:t>j) zariadenia, ktoré používajú ako palivo tuhý alebo kvapalný odpad iný ako odpad uvedený v odseku 2 písm. i),</w:t>
            </w:r>
          </w:p>
          <w:p w:rsidR="00BA0058" w:rsidRPr="00EF5876" w:rsidRDefault="00BA0058" w:rsidP="00215280">
            <w:pPr>
              <w:pStyle w:val="Odsekzoznamu"/>
              <w:numPr>
                <w:ilvl w:val="0"/>
                <w:numId w:val="28"/>
              </w:numPr>
              <w:spacing w:after="0"/>
              <w:contextualSpacing/>
              <w:rPr>
                <w:rFonts w:ascii="Calibri" w:eastAsia="Calibri" w:hAnsi="Calibri" w:cs="Calibri"/>
                <w:sz w:val="22"/>
                <w:szCs w:val="22"/>
              </w:rPr>
            </w:pPr>
            <w:r w:rsidRPr="00EF5876">
              <w:rPr>
                <w:rFonts w:ascii="Calibri" w:eastAsia="Calibri" w:hAnsi="Calibri" w:cs="Calibri"/>
                <w:sz w:val="22"/>
                <w:szCs w:val="22"/>
              </w:rPr>
              <w:t xml:space="preserve">Špecifické požiadavky ustanovené pre stredne veľké spaľovacie zariadenia, menšie stredné spaľovacie zariadenia a malé spaľovacie zariadenia sa neuplatňujú aj na  tieto zariadenia </w:t>
            </w:r>
          </w:p>
          <w:p w:rsidR="00BA0058" w:rsidRPr="00EF5876" w:rsidRDefault="00BA0058" w:rsidP="00215280">
            <w:pPr>
              <w:pStyle w:val="Odsekzoznamu"/>
              <w:keepNext w:val="0"/>
              <w:numPr>
                <w:ilvl w:val="0"/>
                <w:numId w:val="27"/>
              </w:numPr>
              <w:spacing w:before="0" w:after="0"/>
              <w:ind w:left="284" w:hanging="284"/>
              <w:contextualSpacing/>
              <w:rPr>
                <w:rFonts w:ascii="Calibri" w:eastAsia="Calibri" w:hAnsi="Calibri" w:cs="Calibri"/>
                <w:sz w:val="22"/>
                <w:szCs w:val="22"/>
              </w:rPr>
            </w:pPr>
            <w:r w:rsidRPr="00EF5876">
              <w:rPr>
                <w:rFonts w:ascii="Calibri" w:eastAsia="Calibri" w:hAnsi="Calibri" w:cs="Calibri"/>
                <w:sz w:val="22"/>
                <w:szCs w:val="22"/>
              </w:rPr>
              <w:t>veľké spaľovacie zariadenia,</w:t>
            </w:r>
          </w:p>
          <w:p w:rsidR="00BA0058" w:rsidRPr="00EF5876" w:rsidRDefault="00BA0058" w:rsidP="00215280">
            <w:pPr>
              <w:pStyle w:val="Odsekzoznamu"/>
              <w:keepNext w:val="0"/>
              <w:numPr>
                <w:ilvl w:val="0"/>
                <w:numId w:val="27"/>
              </w:numPr>
              <w:tabs>
                <w:tab w:val="left" w:pos="851"/>
              </w:tabs>
              <w:spacing w:before="0" w:after="0"/>
              <w:ind w:left="284" w:hanging="284"/>
              <w:contextualSpacing/>
              <w:rPr>
                <w:rFonts w:ascii="Calibri" w:eastAsia="Calibri" w:hAnsi="Calibri" w:cs="Calibri"/>
                <w:sz w:val="22"/>
                <w:szCs w:val="22"/>
              </w:rPr>
            </w:pPr>
            <w:r w:rsidRPr="00EF5876">
              <w:rPr>
                <w:rFonts w:ascii="Calibri" w:eastAsia="Calibri" w:hAnsi="Calibri" w:cs="Calibri"/>
                <w:sz w:val="22"/>
                <w:szCs w:val="22"/>
              </w:rPr>
              <w:t>spaľovne odpadov a zariadenia na spoluspaľovanie odpadov,</w:t>
            </w:r>
          </w:p>
          <w:p w:rsidR="00BA0058" w:rsidRPr="00EF5876" w:rsidRDefault="00BA0058" w:rsidP="00215280">
            <w:pPr>
              <w:pStyle w:val="Odsekzoznamu"/>
              <w:keepNext w:val="0"/>
              <w:numPr>
                <w:ilvl w:val="0"/>
                <w:numId w:val="27"/>
              </w:numPr>
              <w:tabs>
                <w:tab w:val="left" w:pos="851"/>
              </w:tabs>
              <w:spacing w:before="0" w:after="0"/>
              <w:ind w:left="284" w:hanging="284"/>
              <w:contextualSpacing/>
              <w:rPr>
                <w:rFonts w:ascii="Calibri" w:eastAsia="Calibri" w:hAnsi="Calibri" w:cs="Calibri"/>
                <w:sz w:val="22"/>
                <w:szCs w:val="22"/>
              </w:rPr>
            </w:pPr>
            <w:r w:rsidRPr="00EF5876">
              <w:rPr>
                <w:rFonts w:ascii="Calibri" w:eastAsia="Calibri" w:hAnsi="Calibri" w:cs="Calibri"/>
                <w:sz w:val="22"/>
                <w:szCs w:val="22"/>
              </w:rPr>
              <w:t>spaľovacie zariadenia, ktoré spaľujú výlučne rafinérske palivá alebo rafinérske palivá  s inými palivami na výrobu energie v rafinériách minerálnych olejov a plynu,</w:t>
            </w:r>
          </w:p>
          <w:p w:rsidR="00BA0058" w:rsidRPr="00EF5876" w:rsidRDefault="00BA0058" w:rsidP="00215280">
            <w:pPr>
              <w:pStyle w:val="Odsekzoznamu"/>
              <w:keepNext w:val="0"/>
              <w:numPr>
                <w:ilvl w:val="0"/>
                <w:numId w:val="27"/>
              </w:numPr>
              <w:tabs>
                <w:tab w:val="left" w:pos="851"/>
              </w:tabs>
              <w:spacing w:before="0" w:after="0"/>
              <w:ind w:left="284" w:hanging="284"/>
              <w:contextualSpacing/>
              <w:rPr>
                <w:rFonts w:ascii="Calibri" w:eastAsia="Calibri" w:hAnsi="Calibri" w:cs="Calibri"/>
                <w:sz w:val="22"/>
                <w:szCs w:val="22"/>
              </w:rPr>
            </w:pPr>
            <w:r w:rsidRPr="00EF5876">
              <w:rPr>
                <w:rFonts w:ascii="Calibri" w:eastAsia="Calibri" w:hAnsi="Calibri" w:cs="Calibri"/>
                <w:sz w:val="22"/>
                <w:szCs w:val="22"/>
              </w:rPr>
              <w:t>regeneračné kotle v prevádzkach na výrobu celulózy,</w:t>
            </w:r>
          </w:p>
          <w:p w:rsidR="00BA0058" w:rsidRPr="00EF5876" w:rsidRDefault="00BA0058" w:rsidP="00215280">
            <w:pPr>
              <w:pStyle w:val="Odsekzoznamu"/>
              <w:keepNext w:val="0"/>
              <w:numPr>
                <w:ilvl w:val="0"/>
                <w:numId w:val="27"/>
              </w:numPr>
              <w:tabs>
                <w:tab w:val="left" w:pos="851"/>
              </w:tabs>
              <w:spacing w:before="0" w:after="0"/>
              <w:ind w:left="284" w:hanging="284"/>
              <w:contextualSpacing/>
              <w:rPr>
                <w:rFonts w:ascii="Calibri" w:eastAsia="Calibri" w:hAnsi="Calibri" w:cs="Calibri"/>
                <w:sz w:val="22"/>
                <w:szCs w:val="22"/>
              </w:rPr>
            </w:pPr>
            <w:r w:rsidRPr="00EF5876">
              <w:rPr>
                <w:rFonts w:ascii="Calibri" w:eastAsia="Calibri" w:hAnsi="Calibri" w:cs="Calibri"/>
                <w:sz w:val="22"/>
                <w:szCs w:val="22"/>
              </w:rPr>
              <w:t xml:space="preserve">spaľovacie zariadenia, v ktorých sa spaliny využívajú na priame vykurovanie vnútorných  priestorov za účelom  zlepšenia podmienok na pracovisku, </w:t>
            </w:r>
          </w:p>
          <w:p w:rsidR="00BA0058" w:rsidRPr="00EF5876" w:rsidRDefault="00BA0058" w:rsidP="00215280">
            <w:pPr>
              <w:pStyle w:val="Odsekzoznamu"/>
              <w:keepNext w:val="0"/>
              <w:numPr>
                <w:ilvl w:val="0"/>
                <w:numId w:val="27"/>
              </w:numPr>
              <w:tabs>
                <w:tab w:val="left" w:pos="851"/>
              </w:tabs>
              <w:spacing w:before="0" w:after="0"/>
              <w:ind w:left="284" w:hanging="284"/>
              <w:contextualSpacing/>
              <w:rPr>
                <w:rFonts w:ascii="Calibri" w:eastAsia="Calibri" w:hAnsi="Calibri" w:cs="Calibri"/>
                <w:sz w:val="22"/>
                <w:szCs w:val="22"/>
              </w:rPr>
            </w:pPr>
            <w:r w:rsidRPr="00EF5876">
              <w:rPr>
                <w:rFonts w:ascii="Calibri" w:eastAsia="Calibri" w:hAnsi="Calibri" w:cs="Calibri"/>
                <w:sz w:val="22"/>
                <w:szCs w:val="22"/>
              </w:rPr>
              <w:t>krematóriá,</w:t>
            </w:r>
          </w:p>
          <w:p w:rsidR="00BA0058" w:rsidRPr="00EF5876" w:rsidRDefault="00BA0058" w:rsidP="00215280">
            <w:pPr>
              <w:pStyle w:val="Odsekzoznamu"/>
              <w:keepNext w:val="0"/>
              <w:numPr>
                <w:ilvl w:val="0"/>
                <w:numId w:val="27"/>
              </w:numPr>
              <w:tabs>
                <w:tab w:val="left" w:pos="851"/>
              </w:tabs>
              <w:spacing w:before="0" w:after="0"/>
              <w:ind w:left="284" w:hanging="284"/>
              <w:contextualSpacing/>
              <w:rPr>
                <w:rFonts w:ascii="Calibri" w:eastAsia="Calibri" w:hAnsi="Calibri" w:cs="Calibri"/>
                <w:sz w:val="22"/>
                <w:szCs w:val="22"/>
              </w:rPr>
            </w:pPr>
            <w:r w:rsidRPr="00EF5876">
              <w:rPr>
                <w:rFonts w:ascii="Calibri" w:eastAsia="Calibri" w:hAnsi="Calibri" w:cs="Calibri"/>
                <w:sz w:val="22"/>
                <w:szCs w:val="22"/>
              </w:rPr>
              <w:t xml:space="preserve">poľnohospodárske spaľovacie zariadenia s celkovým menovitým tepelným menším alebo rovným 5 MW, ktoré ako palivo využívajú výlučne nespracovaný trus hydiny, 2xa) </w:t>
            </w:r>
          </w:p>
          <w:p w:rsidR="00BA0058" w:rsidRPr="00EF5876" w:rsidRDefault="00BA0058" w:rsidP="00215280">
            <w:pPr>
              <w:pStyle w:val="Odsekzoznamu"/>
              <w:keepNext w:val="0"/>
              <w:numPr>
                <w:ilvl w:val="0"/>
                <w:numId w:val="27"/>
              </w:numPr>
              <w:tabs>
                <w:tab w:val="left" w:pos="851"/>
              </w:tabs>
              <w:spacing w:before="0" w:after="0"/>
              <w:ind w:left="284" w:hanging="284"/>
              <w:contextualSpacing/>
              <w:rPr>
                <w:rFonts w:ascii="Calibri" w:eastAsia="Calibri" w:hAnsi="Calibri" w:cs="Calibri"/>
                <w:sz w:val="22"/>
                <w:szCs w:val="22"/>
              </w:rPr>
            </w:pPr>
            <w:r w:rsidRPr="00EF5876">
              <w:rPr>
                <w:rFonts w:ascii="Calibri" w:eastAsia="Calibri" w:hAnsi="Calibri" w:cs="Calibri"/>
                <w:sz w:val="22"/>
                <w:szCs w:val="22"/>
              </w:rPr>
              <w:t>spaľovacie zariadenia ako sú necestné pojazdné stroje podľa osobitného predpisu.2xb)</w:t>
            </w:r>
          </w:p>
          <w:p w:rsidR="00BA0058" w:rsidRPr="00EF5876" w:rsidRDefault="00BA0058" w:rsidP="007D7E3B">
            <w:pPr>
              <w:spacing w:before="120" w:after="0" w:line="20" w:lineRule="atLeast"/>
            </w:pPr>
            <w:r w:rsidRPr="00EF5876">
              <w:t xml:space="preserve">Poznámky pod čiarou k odkazu  2xa)a  2xa) znejú: </w:t>
            </w:r>
          </w:p>
          <w:p w:rsidR="00BA0058" w:rsidRPr="00EF5876" w:rsidRDefault="00BA0058" w:rsidP="00BA0058">
            <w:pPr>
              <w:pStyle w:val="Odsekzoznamu"/>
              <w:tabs>
                <w:tab w:val="left" w:pos="851"/>
              </w:tabs>
              <w:ind w:left="284"/>
              <w:rPr>
                <w:rFonts w:ascii="Calibri" w:eastAsia="Calibri" w:hAnsi="Calibri" w:cs="Calibri"/>
                <w:sz w:val="22"/>
                <w:szCs w:val="22"/>
              </w:rPr>
            </w:pPr>
            <w:r w:rsidRPr="00EF5876">
              <w:rPr>
                <w:rFonts w:ascii="Calibri" w:eastAsia="Calibri" w:hAnsi="Calibri" w:cs="Calibri"/>
                <w:sz w:val="22"/>
                <w:szCs w:val="22"/>
              </w:rPr>
              <w:t xml:space="preserve">„2xa) Čl. 9 písm. a) nariadenia Európskeho parlamentu a Rady (ES) č. 1069/2009 z 21. Októbra 2009, ktorým sa ustanovujú </w:t>
            </w:r>
            <w:r w:rsidRPr="00EF5876">
              <w:rPr>
                <w:rFonts w:ascii="Calibri" w:eastAsia="Calibri" w:hAnsi="Calibri" w:cs="Calibri"/>
                <w:sz w:val="22"/>
                <w:szCs w:val="22"/>
              </w:rPr>
              <w:lastRenderedPageBreak/>
              <w:t>zdravotné predpisy týkajúce sa vedľajších  živočíšnych produktov a odvodených produktov neurčených na ľudskú spotrebu a ktorým sa zrušuje  nariadenie (ES) č. 1774/2002 (nariadenie o vedľajších živočíšnych produktoch) (Ú. v. EÚ L 300 14. 11. 2009).</w:t>
            </w:r>
          </w:p>
          <w:p w:rsidR="00BA0058" w:rsidRPr="00EF5876" w:rsidRDefault="00BA0058" w:rsidP="00EF5876">
            <w:pPr>
              <w:pStyle w:val="Default"/>
              <w:tabs>
                <w:tab w:val="left" w:pos="284"/>
              </w:tabs>
              <w:ind w:left="426"/>
              <w:jc w:val="both"/>
              <w:rPr>
                <w:rFonts w:ascii="Calibri" w:eastAsia="Calibri" w:hAnsi="Calibri" w:cs="Calibri"/>
                <w:color w:val="auto"/>
                <w:sz w:val="22"/>
                <w:szCs w:val="22"/>
                <w:lang w:eastAsia="en-US"/>
              </w:rPr>
            </w:pPr>
            <w:r w:rsidRPr="00EF5876">
              <w:rPr>
                <w:rFonts w:ascii="Calibri" w:eastAsia="Calibri" w:hAnsi="Calibri" w:cs="Calibri"/>
                <w:color w:val="auto"/>
                <w:sz w:val="22"/>
                <w:szCs w:val="22"/>
                <w:lang w:eastAsia="en-US"/>
              </w:rPr>
              <w:t>2xb) Nariadenie Európskeho parlamentu a Rady (EÚ) 2016/1628 zo 14. septembra 2016 o požiadavkách na emisné limity plynných a pevných znečisťujúcich látok a typové schválenie spaľovacích motorov necestných pojazdných strojov, ktorým sa menia nariadenia (EÚ) č. 1024/2012 a (EÚ) č. 167/2013 a ktorým sa mení a zrušuje smernica 97/68/ES (Ú. v.  EÚ L 252, 16.9. 2016). “.</w:t>
            </w: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tcBorders>
            <w:vAlign w:val="center"/>
          </w:tcPr>
          <w:p w:rsidR="00B20392" w:rsidRPr="00603CC4" w:rsidRDefault="00B20392" w:rsidP="00603CC4">
            <w:pPr>
              <w:spacing w:after="0" w:line="240" w:lineRule="auto"/>
            </w:pPr>
            <w:r w:rsidRPr="00603CC4">
              <w:lastRenderedPageBreak/>
              <w:t>O:4</w:t>
            </w:r>
          </w:p>
        </w:tc>
        <w:tc>
          <w:tcPr>
            <w:tcW w:w="5771" w:type="dxa"/>
            <w:vAlign w:val="center"/>
          </w:tcPr>
          <w:p w:rsidR="00B20392" w:rsidRPr="00603CC4" w:rsidRDefault="00B20392" w:rsidP="00603CC4">
            <w:pPr>
              <w:spacing w:after="0" w:line="240" w:lineRule="auto"/>
              <w:rPr>
                <w:color w:val="000000"/>
              </w:rPr>
            </w:pPr>
            <w:r w:rsidRPr="00603CC4">
              <w:rPr>
                <w:color w:val="000000"/>
              </w:rPr>
              <w:t>4. Táto smernica sa neuplatňuje na aktivity v oblasti výskumu, vývoja a testovania týkajúce sa stredne veľkých spaľovacích zariadení. Členské štáty môžu na uplatňovanie tohto odseku stanoviť osobitné podmienky.</w:t>
            </w:r>
          </w:p>
        </w:tc>
        <w:tc>
          <w:tcPr>
            <w:tcW w:w="397" w:type="dxa"/>
            <w:vAlign w:val="center"/>
          </w:tcPr>
          <w:p w:rsidR="00B20392" w:rsidRPr="00603CC4" w:rsidRDefault="00565E6C" w:rsidP="00603CC4">
            <w:pPr>
              <w:spacing w:after="0" w:line="240" w:lineRule="auto"/>
            </w:pPr>
            <w:r>
              <w:t>N</w:t>
            </w:r>
          </w:p>
        </w:tc>
        <w:tc>
          <w:tcPr>
            <w:tcW w:w="708" w:type="dxa"/>
            <w:vAlign w:val="center"/>
          </w:tcPr>
          <w:p w:rsidR="00B20392" w:rsidRPr="00603CC4" w:rsidRDefault="000E363C" w:rsidP="00603CC4">
            <w:pPr>
              <w:spacing w:after="0" w:line="240" w:lineRule="auto"/>
            </w:pPr>
            <w:r>
              <w:t>N410</w:t>
            </w:r>
          </w:p>
        </w:tc>
        <w:tc>
          <w:tcPr>
            <w:tcW w:w="596" w:type="dxa"/>
            <w:vAlign w:val="center"/>
          </w:tcPr>
          <w:p w:rsidR="00B20392" w:rsidRPr="00603CC4" w:rsidRDefault="000E363C" w:rsidP="00603CC4">
            <w:pPr>
              <w:spacing w:after="0" w:line="240" w:lineRule="auto"/>
            </w:pPr>
            <w:r>
              <w:t>§:8 O:3</w:t>
            </w:r>
          </w:p>
        </w:tc>
        <w:tc>
          <w:tcPr>
            <w:tcW w:w="6396" w:type="dxa"/>
            <w:vAlign w:val="center"/>
          </w:tcPr>
          <w:p w:rsidR="00BA0058" w:rsidRPr="00EF5876" w:rsidRDefault="000E363C" w:rsidP="000E363C">
            <w:pPr>
              <w:tabs>
                <w:tab w:val="left" w:pos="1276"/>
              </w:tabs>
              <w:spacing w:after="0"/>
              <w:contextualSpacing/>
            </w:pPr>
            <w:r w:rsidRPr="00EF5876">
              <w:t>(3)</w:t>
            </w:r>
            <w:r w:rsidR="00BA0058" w:rsidRPr="00EF5876">
              <w:t>Požiadavky na stredne veľké spaľovacie zariadenia, menšie stredné spaľovacie zariadenia sa neuplatňujú na činnosti v oblasti výskumu, vývoja a testovania týkajúce sa týchto zariadení.</w:t>
            </w:r>
          </w:p>
          <w:p w:rsidR="00B20392" w:rsidRPr="00EF5876" w:rsidRDefault="00B20392" w:rsidP="00603CC4">
            <w:pPr>
              <w:spacing w:after="0" w:line="240" w:lineRule="auto"/>
            </w:pPr>
          </w:p>
        </w:tc>
        <w:tc>
          <w:tcPr>
            <w:tcW w:w="508" w:type="dxa"/>
            <w:tcBorders>
              <w:top w:val="nil"/>
            </w:tcBorders>
            <w:vAlign w:val="center"/>
          </w:tcPr>
          <w:p w:rsidR="00B20392" w:rsidRPr="00603CC4" w:rsidRDefault="00B20392" w:rsidP="00603CC4">
            <w:pPr>
              <w:spacing w:after="0" w:line="240" w:lineRule="auto"/>
            </w:pPr>
          </w:p>
        </w:tc>
        <w:tc>
          <w:tcPr>
            <w:tcW w:w="508" w:type="dxa"/>
            <w:tcBorders>
              <w:top w:val="nil"/>
            </w:tcBorders>
            <w:vAlign w:val="center"/>
          </w:tcPr>
          <w:p w:rsidR="00B20392" w:rsidRPr="00603CC4" w:rsidRDefault="00B20392" w:rsidP="00603CC4">
            <w:pPr>
              <w:spacing w:after="0" w:line="240" w:lineRule="auto"/>
            </w:pPr>
          </w:p>
        </w:tc>
      </w:tr>
      <w:tr w:rsidR="00B20392" w:rsidRPr="00603CC4" w:rsidTr="00EF5876">
        <w:tc>
          <w:tcPr>
            <w:tcW w:w="709" w:type="dxa"/>
            <w:tcBorders>
              <w:bottom w:val="nil"/>
            </w:tcBorders>
            <w:vAlign w:val="center"/>
          </w:tcPr>
          <w:p w:rsidR="00B20392" w:rsidRPr="00603CC4" w:rsidRDefault="00B20392" w:rsidP="00603CC4">
            <w:pPr>
              <w:spacing w:after="0" w:line="240" w:lineRule="auto"/>
            </w:pPr>
            <w:r w:rsidRPr="00603CC4">
              <w:t>Č:3</w:t>
            </w:r>
          </w:p>
        </w:tc>
        <w:tc>
          <w:tcPr>
            <w:tcW w:w="5771" w:type="dxa"/>
            <w:vAlign w:val="center"/>
          </w:tcPr>
          <w:p w:rsidR="00B20392" w:rsidRPr="00603CC4" w:rsidRDefault="00B20392" w:rsidP="00603CC4">
            <w:pPr>
              <w:spacing w:after="0" w:line="240" w:lineRule="auto"/>
              <w:rPr>
                <w:color w:val="000000"/>
              </w:rPr>
            </w:pPr>
            <w:r w:rsidRPr="00603CC4">
              <w:rPr>
                <w:color w:val="000000"/>
              </w:rPr>
              <w:t>Vymedzenia pojmov</w:t>
            </w:r>
          </w:p>
        </w:tc>
        <w:tc>
          <w:tcPr>
            <w:tcW w:w="397" w:type="dxa"/>
            <w:vAlign w:val="center"/>
          </w:tcPr>
          <w:p w:rsidR="00B20392" w:rsidRPr="00603CC4" w:rsidRDefault="00B20392" w:rsidP="00603CC4">
            <w:pPr>
              <w:spacing w:after="0" w:line="240" w:lineRule="auto"/>
            </w:pPr>
          </w:p>
        </w:tc>
        <w:tc>
          <w:tcPr>
            <w:tcW w:w="708" w:type="dxa"/>
            <w:vAlign w:val="center"/>
          </w:tcPr>
          <w:p w:rsidR="00B20392" w:rsidRPr="00603CC4" w:rsidRDefault="00B20392" w:rsidP="00603CC4">
            <w:pPr>
              <w:spacing w:after="0" w:line="240" w:lineRule="auto"/>
            </w:pPr>
          </w:p>
        </w:tc>
        <w:tc>
          <w:tcPr>
            <w:tcW w:w="596" w:type="dxa"/>
            <w:vAlign w:val="center"/>
          </w:tcPr>
          <w:p w:rsidR="00B20392" w:rsidRPr="00603CC4" w:rsidRDefault="00B20392" w:rsidP="00603CC4">
            <w:pPr>
              <w:spacing w:after="0" w:line="240" w:lineRule="auto"/>
            </w:pPr>
          </w:p>
        </w:tc>
        <w:tc>
          <w:tcPr>
            <w:tcW w:w="6396" w:type="dxa"/>
            <w:vAlign w:val="center"/>
          </w:tcPr>
          <w:p w:rsidR="00B20392" w:rsidRPr="00EF5876" w:rsidRDefault="00B20392" w:rsidP="00603CC4">
            <w:pPr>
              <w:spacing w:after="0" w:line="240" w:lineRule="auto"/>
            </w:pPr>
          </w:p>
        </w:tc>
        <w:tc>
          <w:tcPr>
            <w:tcW w:w="508" w:type="dxa"/>
            <w:tcBorders>
              <w:bottom w:val="nil"/>
            </w:tcBorders>
            <w:vAlign w:val="center"/>
          </w:tcPr>
          <w:p w:rsidR="00B20392" w:rsidRPr="00603CC4" w:rsidRDefault="00B20392" w:rsidP="00603CC4">
            <w:pPr>
              <w:spacing w:after="0" w:line="240" w:lineRule="auto"/>
            </w:pPr>
          </w:p>
        </w:tc>
        <w:tc>
          <w:tcPr>
            <w:tcW w:w="508" w:type="dxa"/>
            <w:tcBorders>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pPr>
            <w:r w:rsidRPr="00603CC4">
              <w:t>O:1</w:t>
            </w:r>
          </w:p>
        </w:tc>
        <w:tc>
          <w:tcPr>
            <w:tcW w:w="5771" w:type="dxa"/>
            <w:vAlign w:val="center"/>
          </w:tcPr>
          <w:p w:rsidR="00B20392" w:rsidRPr="00603CC4" w:rsidRDefault="00B20392" w:rsidP="007D7E3B">
            <w:pPr>
              <w:spacing w:after="0" w:line="240" w:lineRule="auto"/>
              <w:jc w:val="both"/>
              <w:rPr>
                <w:color w:val="000000"/>
                <w:lang w:eastAsia="sk-SK"/>
              </w:rPr>
            </w:pPr>
            <w:r w:rsidRPr="00603CC4">
              <w:rPr>
                <w:color w:val="000000"/>
                <w:lang w:eastAsia="sk-SK"/>
              </w:rPr>
              <w:t>Na účely tejto smernice sa uplatňujú tieto vymedzenia pojmov:</w:t>
            </w:r>
          </w:p>
          <w:tbl>
            <w:tblPr>
              <w:tblW w:w="5000" w:type="pct"/>
              <w:tblCellSpacing w:w="0" w:type="dxa"/>
              <w:tblLayout w:type="fixed"/>
              <w:tblCellMar>
                <w:left w:w="0" w:type="dxa"/>
                <w:right w:w="0" w:type="dxa"/>
              </w:tblCellMar>
              <w:tblLook w:val="00A0" w:firstRow="1" w:lastRow="0" w:firstColumn="1" w:lastColumn="0" w:noHBand="0" w:noVBand="0"/>
            </w:tblPr>
            <w:tblGrid>
              <w:gridCol w:w="152"/>
              <w:gridCol w:w="5403"/>
            </w:tblGrid>
            <w:tr w:rsidR="00B20392" w:rsidRPr="00603CC4">
              <w:trPr>
                <w:tblCellSpacing w:w="0" w:type="dxa"/>
              </w:trPr>
              <w:tc>
                <w:tcPr>
                  <w:tcW w:w="184" w:type="dxa"/>
                </w:tcPr>
                <w:p w:rsidR="00B20392" w:rsidRPr="00603CC4" w:rsidRDefault="00B20392" w:rsidP="007D7E3B">
                  <w:pPr>
                    <w:spacing w:after="0" w:line="240" w:lineRule="auto"/>
                    <w:jc w:val="both"/>
                    <w:rPr>
                      <w:color w:val="000000"/>
                      <w:lang w:eastAsia="sk-SK"/>
                    </w:rPr>
                  </w:pPr>
                  <w:r w:rsidRPr="00603CC4">
                    <w:rPr>
                      <w:color w:val="000000"/>
                      <w:lang w:eastAsia="sk-SK"/>
                    </w:rPr>
                    <w:t>1.</w:t>
                  </w:r>
                </w:p>
              </w:tc>
              <w:tc>
                <w:tcPr>
                  <w:tcW w:w="6686" w:type="dxa"/>
                </w:tcPr>
                <w:p w:rsidR="00B20392" w:rsidRPr="00603CC4" w:rsidRDefault="00B20392" w:rsidP="007D7E3B">
                  <w:pPr>
                    <w:spacing w:after="0" w:line="240" w:lineRule="auto"/>
                    <w:jc w:val="both"/>
                    <w:rPr>
                      <w:color w:val="000000"/>
                      <w:lang w:eastAsia="sk-SK"/>
                    </w:rPr>
                  </w:pPr>
                  <w:r w:rsidRPr="00603CC4">
                    <w:rPr>
                      <w:color w:val="000000"/>
                      <w:lang w:eastAsia="sk-SK"/>
                    </w:rPr>
                    <w:t>„emisia“ je vypúšťanie látok zo spaľovacieho zariadenia do ovzdušia;</w:t>
                  </w:r>
                </w:p>
              </w:tc>
            </w:tr>
          </w:tbl>
          <w:p w:rsidR="00B20392" w:rsidRPr="00603CC4" w:rsidRDefault="00B20392" w:rsidP="00603CC4">
            <w:pPr>
              <w:spacing w:after="0" w:line="240" w:lineRule="auto"/>
              <w:rPr>
                <w:color w:val="000000"/>
              </w:rPr>
            </w:pPr>
          </w:p>
        </w:tc>
        <w:tc>
          <w:tcPr>
            <w:tcW w:w="397" w:type="dxa"/>
            <w:vAlign w:val="center"/>
          </w:tcPr>
          <w:p w:rsidR="00B20392" w:rsidRPr="00603CC4" w:rsidRDefault="00565E6C" w:rsidP="00603CC4">
            <w:pPr>
              <w:spacing w:after="0" w:line="240" w:lineRule="auto"/>
            </w:pPr>
            <w:r>
              <w:t>N</w:t>
            </w:r>
          </w:p>
        </w:tc>
        <w:tc>
          <w:tcPr>
            <w:tcW w:w="708" w:type="dxa"/>
            <w:vAlign w:val="center"/>
          </w:tcPr>
          <w:p w:rsidR="00B20392" w:rsidRPr="00603CC4" w:rsidRDefault="00466AD1" w:rsidP="00603CC4">
            <w:pPr>
              <w:spacing w:after="0" w:line="240" w:lineRule="auto"/>
            </w:pPr>
            <w:r>
              <w:t>Z</w:t>
            </w:r>
          </w:p>
        </w:tc>
        <w:tc>
          <w:tcPr>
            <w:tcW w:w="596" w:type="dxa"/>
            <w:vAlign w:val="center"/>
          </w:tcPr>
          <w:p w:rsidR="00B20392" w:rsidRPr="00603CC4" w:rsidRDefault="0089256B" w:rsidP="0089256B">
            <w:pPr>
              <w:spacing w:after="0" w:line="240" w:lineRule="auto"/>
            </w:pPr>
            <w:r>
              <w:t>§</w:t>
            </w:r>
            <w:r w:rsidR="00D14602">
              <w:t>:</w:t>
            </w:r>
            <w:r w:rsidR="00466AD1">
              <w:t>2</w:t>
            </w:r>
            <w:r w:rsidR="00D14602">
              <w:t xml:space="preserve">  </w:t>
            </w:r>
            <w:r>
              <w:t>P</w:t>
            </w:r>
            <w:r w:rsidR="00D14602">
              <w:t>:</w:t>
            </w:r>
            <w:r w:rsidR="00466AD1">
              <w:t>g</w:t>
            </w:r>
          </w:p>
        </w:tc>
        <w:tc>
          <w:tcPr>
            <w:tcW w:w="6396" w:type="dxa"/>
            <w:vAlign w:val="center"/>
          </w:tcPr>
          <w:p w:rsidR="00466AD1" w:rsidRPr="00EF5876" w:rsidRDefault="00466AD1" w:rsidP="00466AD1">
            <w:pPr>
              <w:spacing w:after="74" w:line="261" w:lineRule="auto"/>
              <w:jc w:val="both"/>
              <w:rPr>
                <w:lang w:eastAsia="sk-SK"/>
              </w:rPr>
            </w:pPr>
            <w:r w:rsidRPr="00EF5876">
              <w:t>g)emisiou každé priame alebo nepriame vypustenie znečisťujúcej látky do ovzdušia,</w:t>
            </w:r>
          </w:p>
          <w:p w:rsidR="00B20392" w:rsidRPr="00EF5876"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rPr>
          <w:trHeight w:val="2033"/>
        </w:trPr>
        <w:tc>
          <w:tcPr>
            <w:tcW w:w="709" w:type="dxa"/>
            <w:tcBorders>
              <w:top w:val="nil"/>
              <w:bottom w:val="nil"/>
            </w:tcBorders>
            <w:vAlign w:val="center"/>
          </w:tcPr>
          <w:p w:rsidR="00B20392" w:rsidRPr="00603CC4" w:rsidRDefault="00B20392" w:rsidP="00603CC4">
            <w:pPr>
              <w:spacing w:after="0" w:line="240" w:lineRule="auto"/>
            </w:pPr>
            <w:r w:rsidRPr="00603CC4">
              <w:t>O:2</w:t>
            </w:r>
          </w:p>
        </w:tc>
        <w:tc>
          <w:tcPr>
            <w:tcW w:w="5771" w:type="dxa"/>
            <w:vAlign w:val="center"/>
          </w:tcPr>
          <w:tbl>
            <w:tblPr>
              <w:tblW w:w="5000" w:type="pct"/>
              <w:tblCellSpacing w:w="0" w:type="dxa"/>
              <w:tblLayout w:type="fixed"/>
              <w:tblCellMar>
                <w:left w:w="0" w:type="dxa"/>
                <w:right w:w="0" w:type="dxa"/>
              </w:tblCellMar>
              <w:tblLook w:val="00A0" w:firstRow="1" w:lastRow="0" w:firstColumn="1" w:lastColumn="0" w:noHBand="0" w:noVBand="0"/>
            </w:tblPr>
            <w:tblGrid>
              <w:gridCol w:w="140"/>
              <w:gridCol w:w="5415"/>
            </w:tblGrid>
            <w:tr w:rsidR="00B20392" w:rsidRPr="00603CC4">
              <w:trPr>
                <w:tblCellSpacing w:w="0" w:type="dxa"/>
              </w:trPr>
              <w:tc>
                <w:tcPr>
                  <w:tcW w:w="168" w:type="dxa"/>
                </w:tcPr>
                <w:p w:rsidR="00B20392" w:rsidRPr="00603CC4" w:rsidRDefault="00B20392" w:rsidP="001E0DAF">
                  <w:pPr>
                    <w:spacing w:before="120" w:after="0" w:line="240" w:lineRule="auto"/>
                    <w:jc w:val="both"/>
                    <w:rPr>
                      <w:color w:val="000000"/>
                      <w:lang w:eastAsia="sk-SK"/>
                    </w:rPr>
                  </w:pPr>
                  <w:r w:rsidRPr="00603CC4">
                    <w:rPr>
                      <w:color w:val="000000"/>
                      <w:lang w:eastAsia="sk-SK"/>
                    </w:rPr>
                    <w:t>2.</w:t>
                  </w:r>
                </w:p>
              </w:tc>
              <w:tc>
                <w:tcPr>
                  <w:tcW w:w="6702" w:type="dxa"/>
                </w:tcPr>
                <w:p w:rsidR="00B20392" w:rsidRPr="00603CC4" w:rsidRDefault="00B20392" w:rsidP="001E0DAF">
                  <w:pPr>
                    <w:spacing w:before="120" w:after="0" w:line="240" w:lineRule="auto"/>
                    <w:jc w:val="both"/>
                    <w:rPr>
                      <w:color w:val="000000"/>
                      <w:lang w:eastAsia="sk-SK"/>
                    </w:rPr>
                  </w:pPr>
                  <w:r w:rsidRPr="00603CC4">
                    <w:rPr>
                      <w:color w:val="000000"/>
                      <w:lang w:eastAsia="sk-SK"/>
                    </w:rPr>
                    <w:t>„emisný limit“ je prípustné množstvo látky v odpadových plynoch zo spaľovacieho zariadenia, ktoré môže byť vypustené do ovzdušia za dané obdobie;</w:t>
                  </w:r>
                </w:p>
              </w:tc>
            </w:tr>
          </w:tbl>
          <w:p w:rsidR="00B20392" w:rsidRPr="00603CC4" w:rsidRDefault="00B20392" w:rsidP="00603CC4">
            <w:pPr>
              <w:spacing w:after="0" w:line="240" w:lineRule="auto"/>
              <w:rPr>
                <w:color w:val="000000"/>
              </w:rPr>
            </w:pPr>
          </w:p>
        </w:tc>
        <w:tc>
          <w:tcPr>
            <w:tcW w:w="397" w:type="dxa"/>
            <w:vAlign w:val="center"/>
          </w:tcPr>
          <w:p w:rsidR="00B20392" w:rsidRPr="00603CC4" w:rsidRDefault="00565E6C" w:rsidP="00603CC4">
            <w:pPr>
              <w:spacing w:after="0" w:line="240" w:lineRule="auto"/>
            </w:pPr>
            <w:r>
              <w:t>N</w:t>
            </w:r>
          </w:p>
        </w:tc>
        <w:tc>
          <w:tcPr>
            <w:tcW w:w="708" w:type="dxa"/>
            <w:vAlign w:val="center"/>
          </w:tcPr>
          <w:p w:rsidR="00B20392" w:rsidRPr="00603CC4" w:rsidRDefault="00466AD1" w:rsidP="00603CC4">
            <w:pPr>
              <w:spacing w:after="0" w:line="240" w:lineRule="auto"/>
            </w:pPr>
            <w:r>
              <w:t>Z</w:t>
            </w:r>
          </w:p>
        </w:tc>
        <w:tc>
          <w:tcPr>
            <w:tcW w:w="596" w:type="dxa"/>
            <w:vAlign w:val="center"/>
          </w:tcPr>
          <w:p w:rsidR="00B20392" w:rsidRPr="00603CC4" w:rsidRDefault="0089256B" w:rsidP="0089256B">
            <w:pPr>
              <w:spacing w:after="0" w:line="240" w:lineRule="auto"/>
            </w:pPr>
            <w:r>
              <w:t>§</w:t>
            </w:r>
            <w:r w:rsidR="00D14602">
              <w:t>:</w:t>
            </w:r>
            <w:r w:rsidR="00466AD1">
              <w:t>4 O</w:t>
            </w:r>
            <w:r w:rsidR="00D14602">
              <w:t>:</w:t>
            </w:r>
            <w:r w:rsidR="00466AD1">
              <w:t>2</w:t>
            </w:r>
          </w:p>
        </w:tc>
        <w:tc>
          <w:tcPr>
            <w:tcW w:w="6396" w:type="dxa"/>
            <w:vAlign w:val="center"/>
          </w:tcPr>
          <w:p w:rsidR="00466AD1" w:rsidRPr="00EF5876" w:rsidRDefault="00466AD1" w:rsidP="00EF5876">
            <w:pPr>
              <w:spacing w:after="0"/>
              <w:ind w:left="-15" w:firstLine="227"/>
              <w:rPr>
                <w:lang w:eastAsia="sk-SK"/>
              </w:rPr>
            </w:pPr>
            <w:r w:rsidRPr="00EF5876">
              <w:t>Emisný limit je najvyššia prípustná miera vypúšťania znečisťujúcej látky do ovzdušia zo zariadenia stacionárneho zdroja alebo jeho časti vyjadrená ako</w:t>
            </w:r>
          </w:p>
          <w:p w:rsidR="00466AD1" w:rsidRPr="00EF5876" w:rsidRDefault="00466AD1" w:rsidP="00EF5876">
            <w:pPr>
              <w:numPr>
                <w:ilvl w:val="0"/>
                <w:numId w:val="31"/>
              </w:numPr>
              <w:spacing w:after="0" w:line="261" w:lineRule="auto"/>
              <w:ind w:hanging="283"/>
              <w:jc w:val="both"/>
            </w:pPr>
            <w:r w:rsidRPr="00EF5876">
              <w:t>hmotnostná koncentrácia alebo objemová koncentrácia znečisťujúcej látky v odpadových plynoch,</w:t>
            </w:r>
          </w:p>
          <w:p w:rsidR="00466AD1" w:rsidRPr="00EF5876" w:rsidRDefault="00466AD1" w:rsidP="00EF5876">
            <w:pPr>
              <w:numPr>
                <w:ilvl w:val="0"/>
                <w:numId w:val="31"/>
              </w:numPr>
              <w:spacing w:after="0" w:line="261" w:lineRule="auto"/>
              <w:ind w:hanging="283"/>
              <w:jc w:val="both"/>
            </w:pPr>
            <w:r w:rsidRPr="00EF5876">
              <w:t>hmotnostný tok znečisťujúcej látky za jednotku času,</w:t>
            </w:r>
          </w:p>
          <w:p w:rsidR="00466AD1" w:rsidRPr="00EF5876" w:rsidRDefault="00466AD1" w:rsidP="00EF5876">
            <w:pPr>
              <w:numPr>
                <w:ilvl w:val="0"/>
                <w:numId w:val="31"/>
              </w:numPr>
              <w:spacing w:after="0" w:line="261" w:lineRule="auto"/>
              <w:ind w:hanging="283"/>
              <w:jc w:val="both"/>
            </w:pPr>
            <w:r w:rsidRPr="00EF5876">
              <w:t>limitný emisný faktor,</w:t>
            </w:r>
          </w:p>
          <w:p w:rsidR="00466AD1" w:rsidRPr="00EF5876" w:rsidRDefault="00466AD1" w:rsidP="00EF5876">
            <w:pPr>
              <w:numPr>
                <w:ilvl w:val="0"/>
                <w:numId w:val="31"/>
              </w:numPr>
              <w:spacing w:after="0" w:line="261" w:lineRule="auto"/>
              <w:ind w:hanging="283"/>
              <w:jc w:val="both"/>
            </w:pPr>
            <w:r w:rsidRPr="00EF5876">
              <w:t>emisný stupeň,</w:t>
            </w:r>
          </w:p>
          <w:p w:rsidR="00466AD1" w:rsidRPr="00EF5876" w:rsidRDefault="00466AD1" w:rsidP="00EF5876">
            <w:pPr>
              <w:numPr>
                <w:ilvl w:val="0"/>
                <w:numId w:val="31"/>
              </w:numPr>
              <w:spacing w:after="0" w:line="261" w:lineRule="auto"/>
              <w:ind w:hanging="283"/>
              <w:jc w:val="both"/>
            </w:pPr>
            <w:r w:rsidRPr="00EF5876">
              <w:t>stupeň odsírenia,</w:t>
            </w:r>
          </w:p>
          <w:p w:rsidR="00B20392" w:rsidRPr="00EF5876" w:rsidRDefault="00466AD1" w:rsidP="00EF5876">
            <w:pPr>
              <w:numPr>
                <w:ilvl w:val="0"/>
                <w:numId w:val="31"/>
              </w:numPr>
              <w:spacing w:after="0" w:line="262" w:lineRule="auto"/>
              <w:ind w:left="284" w:hanging="284"/>
              <w:jc w:val="both"/>
            </w:pPr>
            <w:r w:rsidRPr="00EF5876">
              <w:t>tmavosť dymu.</w:t>
            </w: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pPr>
            <w:r w:rsidRPr="00603CC4">
              <w:t>O:3</w:t>
            </w:r>
          </w:p>
        </w:tc>
        <w:tc>
          <w:tcPr>
            <w:tcW w:w="5771" w:type="dxa"/>
            <w:vAlign w:val="center"/>
          </w:tcPr>
          <w:tbl>
            <w:tblPr>
              <w:tblW w:w="5000" w:type="pct"/>
              <w:tblCellSpacing w:w="0" w:type="dxa"/>
              <w:tblLayout w:type="fixed"/>
              <w:tblCellMar>
                <w:left w:w="0" w:type="dxa"/>
                <w:right w:w="0" w:type="dxa"/>
              </w:tblCellMar>
              <w:tblLook w:val="00A0" w:firstRow="1" w:lastRow="0" w:firstColumn="1" w:lastColumn="0" w:noHBand="0" w:noVBand="0"/>
            </w:tblPr>
            <w:tblGrid>
              <w:gridCol w:w="140"/>
              <w:gridCol w:w="5415"/>
            </w:tblGrid>
            <w:tr w:rsidR="00B20392" w:rsidRPr="00603CC4">
              <w:trPr>
                <w:tblCellSpacing w:w="0" w:type="dxa"/>
              </w:trPr>
              <w:tc>
                <w:tcPr>
                  <w:tcW w:w="168" w:type="dxa"/>
                </w:tcPr>
                <w:p w:rsidR="00B20392" w:rsidRPr="00603CC4" w:rsidRDefault="00B20392" w:rsidP="001E0DAF">
                  <w:pPr>
                    <w:spacing w:before="120" w:after="0" w:line="240" w:lineRule="auto"/>
                    <w:jc w:val="both"/>
                    <w:rPr>
                      <w:color w:val="000000"/>
                      <w:lang w:eastAsia="sk-SK"/>
                    </w:rPr>
                  </w:pPr>
                  <w:r w:rsidRPr="00603CC4">
                    <w:rPr>
                      <w:color w:val="000000"/>
                      <w:lang w:eastAsia="sk-SK"/>
                    </w:rPr>
                    <w:t>3.</w:t>
                  </w:r>
                </w:p>
              </w:tc>
              <w:tc>
                <w:tcPr>
                  <w:tcW w:w="6702" w:type="dxa"/>
                </w:tcPr>
                <w:p w:rsidR="00B20392" w:rsidRPr="00603CC4" w:rsidRDefault="00B20392" w:rsidP="001E0DAF">
                  <w:pPr>
                    <w:spacing w:before="120" w:after="0" w:line="240" w:lineRule="auto"/>
                    <w:jc w:val="both"/>
                    <w:rPr>
                      <w:color w:val="000000"/>
                      <w:lang w:eastAsia="sk-SK"/>
                    </w:rPr>
                  </w:pPr>
                  <w:r w:rsidRPr="00603CC4">
                    <w:rPr>
                      <w:color w:val="000000"/>
                      <w:lang w:eastAsia="sk-SK"/>
                    </w:rPr>
                    <w:t>„oxidy dusíka“ (</w:t>
                  </w:r>
                  <w:proofErr w:type="spellStart"/>
                  <w:r w:rsidRPr="00603CC4">
                    <w:rPr>
                      <w:color w:val="000000"/>
                      <w:lang w:eastAsia="sk-SK"/>
                    </w:rPr>
                    <w:t>NO</w:t>
                  </w:r>
                  <w:r w:rsidRPr="00603CC4">
                    <w:rPr>
                      <w:color w:val="000000"/>
                      <w:vertAlign w:val="subscript"/>
                      <w:lang w:eastAsia="sk-SK"/>
                    </w:rPr>
                    <w:t>x</w:t>
                  </w:r>
                  <w:proofErr w:type="spellEnd"/>
                  <w:r w:rsidRPr="00603CC4">
                    <w:rPr>
                      <w:color w:val="000000"/>
                      <w:lang w:eastAsia="sk-SK"/>
                    </w:rPr>
                    <w:t xml:space="preserve">) sú oxid </w:t>
                  </w:r>
                  <w:proofErr w:type="spellStart"/>
                  <w:r w:rsidRPr="00603CC4">
                    <w:rPr>
                      <w:color w:val="000000"/>
                      <w:lang w:eastAsia="sk-SK"/>
                    </w:rPr>
                    <w:t>dusnatý</w:t>
                  </w:r>
                  <w:proofErr w:type="spellEnd"/>
                  <w:r w:rsidRPr="00603CC4">
                    <w:rPr>
                      <w:color w:val="000000"/>
                      <w:lang w:eastAsia="sk-SK"/>
                    </w:rPr>
                    <w:t xml:space="preserve"> a oxid dusičitý, vyjadrené ako oxid dusičitý (NO</w:t>
                  </w:r>
                  <w:r w:rsidRPr="00603CC4">
                    <w:rPr>
                      <w:color w:val="000000"/>
                      <w:vertAlign w:val="subscript"/>
                      <w:lang w:eastAsia="sk-SK"/>
                    </w:rPr>
                    <w:t>2</w:t>
                  </w:r>
                  <w:r w:rsidRPr="00603CC4">
                    <w:rPr>
                      <w:color w:val="000000"/>
                      <w:lang w:eastAsia="sk-SK"/>
                    </w:rPr>
                    <w:t>);</w:t>
                  </w:r>
                </w:p>
              </w:tc>
            </w:tr>
          </w:tbl>
          <w:p w:rsidR="00B20392" w:rsidRPr="00603CC4" w:rsidRDefault="00B20392" w:rsidP="00603CC4">
            <w:pPr>
              <w:spacing w:after="0" w:line="240" w:lineRule="auto"/>
              <w:rPr>
                <w:color w:val="000000"/>
              </w:rPr>
            </w:pPr>
          </w:p>
        </w:tc>
        <w:tc>
          <w:tcPr>
            <w:tcW w:w="397" w:type="dxa"/>
            <w:vAlign w:val="center"/>
          </w:tcPr>
          <w:p w:rsidR="00B20392" w:rsidRPr="00603CC4" w:rsidRDefault="00565E6C" w:rsidP="00603CC4">
            <w:pPr>
              <w:spacing w:after="0" w:line="240" w:lineRule="auto"/>
            </w:pPr>
            <w:r>
              <w:t>N</w:t>
            </w:r>
          </w:p>
        </w:tc>
        <w:tc>
          <w:tcPr>
            <w:tcW w:w="708" w:type="dxa"/>
            <w:vAlign w:val="center"/>
          </w:tcPr>
          <w:p w:rsidR="00B20392" w:rsidRPr="00603CC4" w:rsidRDefault="00137B61" w:rsidP="00603CC4">
            <w:pPr>
              <w:spacing w:after="0" w:line="240" w:lineRule="auto"/>
            </w:pPr>
            <w:r>
              <w:t>V</w:t>
            </w:r>
            <w:r w:rsidR="000478AD">
              <w:t>410</w:t>
            </w:r>
            <w:r>
              <w:t xml:space="preserve"> </w:t>
            </w:r>
          </w:p>
        </w:tc>
        <w:tc>
          <w:tcPr>
            <w:tcW w:w="596" w:type="dxa"/>
            <w:vAlign w:val="center"/>
          </w:tcPr>
          <w:p w:rsidR="00B20392" w:rsidRPr="00603CC4" w:rsidRDefault="0089256B" w:rsidP="000478AD">
            <w:pPr>
              <w:spacing w:after="0" w:line="240" w:lineRule="auto"/>
            </w:pPr>
            <w:r>
              <w:t>Pr</w:t>
            </w:r>
            <w:r w:rsidR="000478AD">
              <w:t>.</w:t>
            </w:r>
            <w:r>
              <w:t xml:space="preserve"> </w:t>
            </w:r>
            <w:r w:rsidR="00137B61">
              <w:t>2</w:t>
            </w:r>
          </w:p>
        </w:tc>
        <w:tc>
          <w:tcPr>
            <w:tcW w:w="6396" w:type="dxa"/>
            <w:vAlign w:val="center"/>
          </w:tcPr>
          <w:p w:rsidR="00B20392" w:rsidRPr="00EF5876" w:rsidRDefault="00137B61" w:rsidP="00603CC4">
            <w:pPr>
              <w:spacing w:after="0" w:line="240" w:lineRule="auto"/>
            </w:pPr>
            <w:r w:rsidRPr="00EF5876">
              <w:t>oxidy dusíka (</w:t>
            </w:r>
            <w:proofErr w:type="spellStart"/>
            <w:r w:rsidRPr="00EF5876">
              <w:t>NO</w:t>
            </w:r>
            <w:r w:rsidRPr="00EF5876">
              <w:rPr>
                <w:vertAlign w:val="subscript"/>
              </w:rPr>
              <w:t>x</w:t>
            </w:r>
            <w:proofErr w:type="spellEnd"/>
            <w:r w:rsidRPr="00EF5876">
              <w:t xml:space="preserve">) - oxid </w:t>
            </w:r>
            <w:proofErr w:type="spellStart"/>
            <w:r w:rsidRPr="00EF5876">
              <w:t>dusnatý</w:t>
            </w:r>
            <w:proofErr w:type="spellEnd"/>
            <w:r w:rsidRPr="00EF5876">
              <w:t xml:space="preserve"> a oxid dusičitý vyjadrené ako oxid dusičitý (NO</w:t>
            </w:r>
            <w:r w:rsidRPr="00EF5876">
              <w:rPr>
                <w:vertAlign w:val="subscript"/>
              </w:rPr>
              <w:t>2</w:t>
            </w:r>
            <w:r w:rsidRPr="00EF5876">
              <w:t>)</w:t>
            </w: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pPr>
            <w:r w:rsidRPr="00603CC4">
              <w:lastRenderedPageBreak/>
              <w:t>O:4</w:t>
            </w:r>
          </w:p>
        </w:tc>
        <w:tc>
          <w:tcPr>
            <w:tcW w:w="5771" w:type="dxa"/>
            <w:vAlign w:val="center"/>
          </w:tcPr>
          <w:tbl>
            <w:tblPr>
              <w:tblW w:w="5000" w:type="pct"/>
              <w:tblCellSpacing w:w="0" w:type="dxa"/>
              <w:tblLayout w:type="fixed"/>
              <w:tblCellMar>
                <w:left w:w="0" w:type="dxa"/>
                <w:right w:w="0" w:type="dxa"/>
              </w:tblCellMar>
              <w:tblLook w:val="00A0" w:firstRow="1" w:lastRow="0" w:firstColumn="1" w:lastColumn="0" w:noHBand="0" w:noVBand="0"/>
            </w:tblPr>
            <w:tblGrid>
              <w:gridCol w:w="140"/>
              <w:gridCol w:w="5415"/>
            </w:tblGrid>
            <w:tr w:rsidR="00B20392" w:rsidRPr="00603CC4">
              <w:trPr>
                <w:tblCellSpacing w:w="0" w:type="dxa"/>
              </w:trPr>
              <w:tc>
                <w:tcPr>
                  <w:tcW w:w="168" w:type="dxa"/>
                </w:tcPr>
                <w:p w:rsidR="00B20392" w:rsidRPr="00603CC4" w:rsidRDefault="00B20392" w:rsidP="001E0DAF">
                  <w:pPr>
                    <w:spacing w:before="120" w:after="0" w:line="240" w:lineRule="auto"/>
                    <w:jc w:val="both"/>
                    <w:rPr>
                      <w:color w:val="000000"/>
                      <w:lang w:eastAsia="sk-SK"/>
                    </w:rPr>
                  </w:pPr>
                  <w:r w:rsidRPr="00603CC4">
                    <w:rPr>
                      <w:color w:val="000000"/>
                      <w:lang w:eastAsia="sk-SK"/>
                    </w:rPr>
                    <w:t>4.</w:t>
                  </w:r>
                </w:p>
              </w:tc>
              <w:tc>
                <w:tcPr>
                  <w:tcW w:w="6702" w:type="dxa"/>
                </w:tcPr>
                <w:p w:rsidR="00B20392" w:rsidRPr="00603CC4" w:rsidRDefault="00B20392" w:rsidP="001E0DAF">
                  <w:pPr>
                    <w:spacing w:before="120" w:after="0" w:line="240" w:lineRule="auto"/>
                    <w:jc w:val="both"/>
                    <w:rPr>
                      <w:color w:val="000000"/>
                      <w:lang w:eastAsia="sk-SK"/>
                    </w:rPr>
                  </w:pPr>
                  <w:r w:rsidRPr="00603CC4">
                    <w:rPr>
                      <w:color w:val="000000"/>
                      <w:lang w:eastAsia="sk-SK"/>
                    </w:rPr>
                    <w:t>„prach“ sú častice akéhokoľvek tvaru, štruktúry alebo hustoty, rozptýlené v plynnej fáze v podmienkach na mieste odberu vzoriek, ktoré sa môžu zachytiť filtráciou za určených podmienok po odbere reprezentatívnych vzoriek analyzovaného plynu a ktoré zostávajú pred filtrom a na filtri po vysušení za určených podmienok;</w:t>
                  </w:r>
                </w:p>
              </w:tc>
            </w:tr>
          </w:tbl>
          <w:p w:rsidR="00B20392" w:rsidRPr="00603CC4" w:rsidRDefault="00B20392" w:rsidP="00603CC4">
            <w:pPr>
              <w:spacing w:after="0" w:line="240" w:lineRule="auto"/>
              <w:rPr>
                <w:color w:val="000000"/>
              </w:rPr>
            </w:pPr>
          </w:p>
        </w:tc>
        <w:tc>
          <w:tcPr>
            <w:tcW w:w="397" w:type="dxa"/>
            <w:vAlign w:val="center"/>
          </w:tcPr>
          <w:p w:rsidR="00B20392" w:rsidRPr="00603CC4" w:rsidRDefault="00565E6C" w:rsidP="00603CC4">
            <w:pPr>
              <w:spacing w:after="0" w:line="240" w:lineRule="auto"/>
            </w:pPr>
            <w:r>
              <w:t>N</w:t>
            </w:r>
          </w:p>
        </w:tc>
        <w:tc>
          <w:tcPr>
            <w:tcW w:w="708" w:type="dxa"/>
            <w:vAlign w:val="center"/>
          </w:tcPr>
          <w:p w:rsidR="00B20392" w:rsidRPr="00603CC4" w:rsidRDefault="00466AD1" w:rsidP="00603CC4">
            <w:pPr>
              <w:spacing w:after="0" w:line="240" w:lineRule="auto"/>
            </w:pPr>
            <w:r>
              <w:t>V</w:t>
            </w:r>
            <w:r w:rsidR="000478AD">
              <w:t>410</w:t>
            </w:r>
          </w:p>
        </w:tc>
        <w:tc>
          <w:tcPr>
            <w:tcW w:w="596" w:type="dxa"/>
            <w:vAlign w:val="center"/>
          </w:tcPr>
          <w:p w:rsidR="00D14602" w:rsidRDefault="00D14602" w:rsidP="00D14602">
            <w:pPr>
              <w:spacing w:after="0" w:line="240" w:lineRule="auto"/>
            </w:pPr>
            <w:r>
              <w:t>§:</w:t>
            </w:r>
            <w:r w:rsidR="00466AD1">
              <w:t xml:space="preserve">5 </w:t>
            </w:r>
          </w:p>
          <w:p w:rsidR="00B20392" w:rsidRPr="00603CC4" w:rsidRDefault="00D14602" w:rsidP="00D14602">
            <w:pPr>
              <w:spacing w:after="0" w:line="240" w:lineRule="auto"/>
            </w:pPr>
            <w:r>
              <w:t>O:</w:t>
            </w:r>
            <w:r w:rsidR="00466AD1">
              <w:t>3</w:t>
            </w:r>
          </w:p>
        </w:tc>
        <w:tc>
          <w:tcPr>
            <w:tcW w:w="6396" w:type="dxa"/>
            <w:vAlign w:val="center"/>
          </w:tcPr>
          <w:p w:rsidR="00B20392" w:rsidRPr="00EF5876" w:rsidRDefault="00466AD1" w:rsidP="007D7E3B">
            <w:pPr>
              <w:spacing w:after="0"/>
              <w:ind w:firstLine="851"/>
              <w:jc w:val="both"/>
            </w:pPr>
            <w:r w:rsidRPr="00EF5876">
              <w:t>(3)Tuhou znečisťujúcou látkou sa rozumejú častice znečisťujúcej látky ľubovoľného tvaru, štruktúry alebo hustoty rozptýlené v plynnej fáze, ktoré sa pri odbere reprezentatívnej vzorky zachytili na vstupnej strane filtra v súlade s požiadavkami príslušných technických noriem za špecifikovaných podmienok odlučovania a následne boli vysušené a zvážené za špecifikovaných podmienok podľa metódy zisťov</w:t>
            </w:r>
            <w:r w:rsidR="00137B61" w:rsidRPr="00EF5876">
              <w:t xml:space="preserve">ania. </w:t>
            </w: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pPr>
            <w:r w:rsidRPr="00603CC4">
              <w:t>O:5</w:t>
            </w:r>
          </w:p>
        </w:tc>
        <w:tc>
          <w:tcPr>
            <w:tcW w:w="5771" w:type="dxa"/>
            <w:vAlign w:val="center"/>
          </w:tcPr>
          <w:tbl>
            <w:tblPr>
              <w:tblW w:w="5000" w:type="pct"/>
              <w:tblCellSpacing w:w="0" w:type="dxa"/>
              <w:tblLayout w:type="fixed"/>
              <w:tblCellMar>
                <w:left w:w="0" w:type="dxa"/>
                <w:right w:w="0" w:type="dxa"/>
              </w:tblCellMar>
              <w:tblLook w:val="00A0" w:firstRow="1" w:lastRow="0" w:firstColumn="1" w:lastColumn="0" w:noHBand="0" w:noVBand="0"/>
            </w:tblPr>
            <w:tblGrid>
              <w:gridCol w:w="140"/>
              <w:gridCol w:w="5415"/>
            </w:tblGrid>
            <w:tr w:rsidR="00B20392" w:rsidRPr="00603CC4">
              <w:trPr>
                <w:tblCellSpacing w:w="0" w:type="dxa"/>
              </w:trPr>
              <w:tc>
                <w:tcPr>
                  <w:tcW w:w="168" w:type="dxa"/>
                </w:tcPr>
                <w:p w:rsidR="00B20392" w:rsidRPr="00603CC4" w:rsidRDefault="00B20392" w:rsidP="001E0DAF">
                  <w:pPr>
                    <w:spacing w:before="120" w:after="0" w:line="240" w:lineRule="auto"/>
                    <w:jc w:val="both"/>
                    <w:rPr>
                      <w:color w:val="000000"/>
                      <w:lang w:eastAsia="sk-SK"/>
                    </w:rPr>
                  </w:pPr>
                  <w:r w:rsidRPr="00603CC4">
                    <w:rPr>
                      <w:color w:val="000000"/>
                      <w:lang w:eastAsia="sk-SK"/>
                    </w:rPr>
                    <w:t>5.</w:t>
                  </w:r>
                </w:p>
              </w:tc>
              <w:tc>
                <w:tcPr>
                  <w:tcW w:w="6702" w:type="dxa"/>
                </w:tcPr>
                <w:p w:rsidR="00B20392" w:rsidRPr="00603CC4" w:rsidRDefault="00B20392" w:rsidP="001E0DAF">
                  <w:pPr>
                    <w:spacing w:before="120" w:after="0" w:line="240" w:lineRule="auto"/>
                    <w:jc w:val="both"/>
                    <w:rPr>
                      <w:color w:val="000000"/>
                      <w:lang w:eastAsia="sk-SK"/>
                    </w:rPr>
                  </w:pPr>
                  <w:r w:rsidRPr="00603CC4">
                    <w:rPr>
                      <w:color w:val="000000"/>
                      <w:lang w:eastAsia="sk-SK"/>
                    </w:rPr>
                    <w:t>„spaľovacie zariadenie“ je každé technické zariadenie, v ktorom sa oxidujú palivá s cieľom využiť takto vzniknuté teplo;</w:t>
                  </w:r>
                </w:p>
              </w:tc>
            </w:tr>
          </w:tbl>
          <w:p w:rsidR="00B20392" w:rsidRPr="00603CC4" w:rsidRDefault="00B20392" w:rsidP="00603CC4">
            <w:pPr>
              <w:spacing w:after="0" w:line="240" w:lineRule="auto"/>
              <w:rPr>
                <w:color w:val="000000"/>
              </w:rPr>
            </w:pPr>
          </w:p>
        </w:tc>
        <w:tc>
          <w:tcPr>
            <w:tcW w:w="397" w:type="dxa"/>
            <w:vAlign w:val="center"/>
          </w:tcPr>
          <w:p w:rsidR="00B20392" w:rsidRPr="00603CC4" w:rsidRDefault="00565E6C" w:rsidP="00603CC4">
            <w:pPr>
              <w:spacing w:after="0" w:line="240" w:lineRule="auto"/>
            </w:pPr>
            <w:r>
              <w:t>N</w:t>
            </w:r>
          </w:p>
        </w:tc>
        <w:tc>
          <w:tcPr>
            <w:tcW w:w="708" w:type="dxa"/>
            <w:vAlign w:val="center"/>
          </w:tcPr>
          <w:p w:rsidR="00B20392" w:rsidRPr="00603CC4" w:rsidRDefault="00466AD1" w:rsidP="00603CC4">
            <w:pPr>
              <w:spacing w:after="0" w:line="240" w:lineRule="auto"/>
            </w:pPr>
            <w:r>
              <w:t>NZ</w:t>
            </w:r>
          </w:p>
        </w:tc>
        <w:tc>
          <w:tcPr>
            <w:tcW w:w="596" w:type="dxa"/>
            <w:vAlign w:val="center"/>
          </w:tcPr>
          <w:p w:rsidR="00D14602" w:rsidRDefault="00D14602" w:rsidP="00D14602">
            <w:pPr>
              <w:spacing w:after="0" w:line="240" w:lineRule="auto"/>
            </w:pPr>
            <w:r>
              <w:t>§:</w:t>
            </w:r>
            <w:r w:rsidR="00466AD1">
              <w:t xml:space="preserve">2 </w:t>
            </w:r>
          </w:p>
          <w:p w:rsidR="00B20392" w:rsidRPr="00603CC4" w:rsidRDefault="00D14602" w:rsidP="00D14602">
            <w:pPr>
              <w:spacing w:after="0" w:line="240" w:lineRule="auto"/>
            </w:pPr>
            <w:r>
              <w:t>P:p</w:t>
            </w:r>
          </w:p>
        </w:tc>
        <w:tc>
          <w:tcPr>
            <w:tcW w:w="6396" w:type="dxa"/>
            <w:vAlign w:val="center"/>
          </w:tcPr>
          <w:p w:rsidR="00466AD1" w:rsidRPr="008C67AA" w:rsidRDefault="00466AD1" w:rsidP="008C67AA">
            <w:pPr>
              <w:pStyle w:val="Odsekzoznamu"/>
              <w:numPr>
                <w:ilvl w:val="0"/>
                <w:numId w:val="30"/>
              </w:numPr>
              <w:spacing w:after="0"/>
              <w:ind w:left="289" w:hanging="284"/>
              <w:rPr>
                <w:rFonts w:ascii="Calibri" w:eastAsia="Calibri" w:hAnsi="Calibri" w:cs="Calibri"/>
                <w:sz w:val="22"/>
                <w:szCs w:val="22"/>
              </w:rPr>
            </w:pPr>
            <w:r w:rsidRPr="008C67AA">
              <w:rPr>
                <w:rFonts w:ascii="Calibri" w:eastAsia="Calibri" w:hAnsi="Calibri" w:cs="Calibri"/>
                <w:sz w:val="22"/>
                <w:szCs w:val="22"/>
              </w:rPr>
              <w:t>spaľovacím zariadením technické zariadenie, ktoré slúži na oxidáciu palív na účely využitia takto vzniknutého tepla,</w:t>
            </w:r>
          </w:p>
          <w:p w:rsidR="00B20392" w:rsidRPr="00EF5876"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pPr>
            <w:r w:rsidRPr="00603CC4">
              <w:t>O:6</w:t>
            </w:r>
          </w:p>
        </w:tc>
        <w:tc>
          <w:tcPr>
            <w:tcW w:w="5771" w:type="dxa"/>
            <w:vAlign w:val="center"/>
          </w:tcPr>
          <w:tbl>
            <w:tblPr>
              <w:tblW w:w="5000" w:type="pct"/>
              <w:tblCellSpacing w:w="0" w:type="dxa"/>
              <w:tblLayout w:type="fixed"/>
              <w:tblCellMar>
                <w:left w:w="0" w:type="dxa"/>
                <w:right w:w="0" w:type="dxa"/>
              </w:tblCellMar>
              <w:tblLook w:val="00A0" w:firstRow="1" w:lastRow="0" w:firstColumn="1" w:lastColumn="0" w:noHBand="0" w:noVBand="0"/>
            </w:tblPr>
            <w:tblGrid>
              <w:gridCol w:w="140"/>
              <w:gridCol w:w="5415"/>
            </w:tblGrid>
            <w:tr w:rsidR="00B20392" w:rsidRPr="00603CC4">
              <w:trPr>
                <w:tblCellSpacing w:w="0" w:type="dxa"/>
              </w:trPr>
              <w:tc>
                <w:tcPr>
                  <w:tcW w:w="168" w:type="dxa"/>
                </w:tcPr>
                <w:p w:rsidR="00B20392" w:rsidRPr="00603CC4" w:rsidRDefault="00B20392" w:rsidP="001E0DAF">
                  <w:pPr>
                    <w:spacing w:before="120" w:after="0" w:line="240" w:lineRule="auto"/>
                    <w:jc w:val="both"/>
                    <w:rPr>
                      <w:color w:val="000000"/>
                      <w:lang w:eastAsia="sk-SK"/>
                    </w:rPr>
                  </w:pPr>
                  <w:r w:rsidRPr="00603CC4">
                    <w:rPr>
                      <w:color w:val="000000"/>
                      <w:lang w:eastAsia="sk-SK"/>
                    </w:rPr>
                    <w:t>6.</w:t>
                  </w:r>
                </w:p>
              </w:tc>
              <w:tc>
                <w:tcPr>
                  <w:tcW w:w="6702" w:type="dxa"/>
                </w:tcPr>
                <w:p w:rsidR="00B20392" w:rsidRPr="00603CC4" w:rsidRDefault="00B20392" w:rsidP="001E0DAF">
                  <w:pPr>
                    <w:spacing w:before="120" w:after="0" w:line="240" w:lineRule="auto"/>
                    <w:jc w:val="both"/>
                    <w:rPr>
                      <w:color w:val="000000"/>
                      <w:lang w:eastAsia="sk-SK"/>
                    </w:rPr>
                  </w:pPr>
                  <w:r w:rsidRPr="00603CC4">
                    <w:rPr>
                      <w:color w:val="000000"/>
                      <w:lang w:eastAsia="sk-SK"/>
                    </w:rPr>
                    <w:t>„existujúce spaľovacie zariadenie“ je spaľovacie zariadenie uvedené do prevádzky pred 20. decembrom 2018 alebo zariadenie, pre ktoré bolo vydané povolenie pred 19. decembrom 2017 v súlade s vnútroštátnymi právnymi predpismi pod podmienkou, že zariadenie začne prevádzku najneskôr 20. decembra 2018;</w:t>
                  </w:r>
                </w:p>
              </w:tc>
            </w:tr>
          </w:tbl>
          <w:p w:rsidR="00B20392" w:rsidRPr="00603CC4" w:rsidRDefault="00B20392" w:rsidP="00603CC4">
            <w:pPr>
              <w:spacing w:before="120" w:after="0" w:line="240" w:lineRule="auto"/>
              <w:jc w:val="both"/>
              <w:rPr>
                <w:color w:val="000000"/>
                <w:lang w:eastAsia="sk-SK"/>
              </w:rPr>
            </w:pPr>
          </w:p>
        </w:tc>
        <w:tc>
          <w:tcPr>
            <w:tcW w:w="397" w:type="dxa"/>
            <w:vAlign w:val="center"/>
          </w:tcPr>
          <w:p w:rsidR="00B20392" w:rsidRPr="00603CC4" w:rsidRDefault="00565E6C" w:rsidP="00603CC4">
            <w:pPr>
              <w:spacing w:after="0" w:line="240" w:lineRule="auto"/>
            </w:pPr>
            <w:r>
              <w:t>N</w:t>
            </w:r>
          </w:p>
        </w:tc>
        <w:tc>
          <w:tcPr>
            <w:tcW w:w="708" w:type="dxa"/>
            <w:vAlign w:val="center"/>
          </w:tcPr>
          <w:p w:rsidR="00B20392" w:rsidRPr="00603CC4" w:rsidRDefault="000478AD" w:rsidP="00603CC4">
            <w:pPr>
              <w:spacing w:after="0" w:line="240" w:lineRule="auto"/>
            </w:pPr>
            <w:r>
              <w:t>N410</w:t>
            </w:r>
          </w:p>
        </w:tc>
        <w:tc>
          <w:tcPr>
            <w:tcW w:w="596" w:type="dxa"/>
            <w:vAlign w:val="center"/>
          </w:tcPr>
          <w:p w:rsidR="00B20392" w:rsidRDefault="00137B61" w:rsidP="006E65C5">
            <w:pPr>
              <w:spacing w:after="0" w:line="240" w:lineRule="auto"/>
              <w:ind w:right="-79"/>
            </w:pPr>
            <w:r>
              <w:t>Pr. 4 Časť IV</w:t>
            </w:r>
          </w:p>
          <w:p w:rsidR="00137B61" w:rsidRPr="00603CC4" w:rsidRDefault="00137B61" w:rsidP="00603CC4">
            <w:pPr>
              <w:spacing w:after="0" w:line="240" w:lineRule="auto"/>
            </w:pPr>
            <w:r>
              <w:t>B1</w:t>
            </w:r>
          </w:p>
        </w:tc>
        <w:tc>
          <w:tcPr>
            <w:tcW w:w="6396" w:type="dxa"/>
            <w:vAlign w:val="center"/>
          </w:tcPr>
          <w:p w:rsidR="00B20392" w:rsidRPr="008C67AA" w:rsidRDefault="00137B61" w:rsidP="00603CC4">
            <w:pPr>
              <w:spacing w:after="0" w:line="240" w:lineRule="auto"/>
            </w:pPr>
            <w:r w:rsidRPr="008C67AA">
              <w:t>Jestvujúce zariadenie</w:t>
            </w:r>
          </w:p>
          <w:p w:rsidR="00137B61" w:rsidRPr="008C67AA" w:rsidRDefault="00137B61" w:rsidP="00137B61">
            <w:pPr>
              <w:pStyle w:val="Normln"/>
              <w:tabs>
                <w:tab w:val="left" w:pos="317"/>
              </w:tabs>
              <w:rPr>
                <w:rFonts w:ascii="Calibri" w:eastAsia="Calibri" w:hAnsi="Calibri" w:cs="Calibri"/>
                <w:szCs w:val="22"/>
                <w:lang w:val="sk-SK" w:eastAsia="en-US"/>
              </w:rPr>
            </w:pPr>
            <w:r w:rsidRPr="008C67AA">
              <w:rPr>
                <w:rFonts w:ascii="Calibri" w:eastAsia="Calibri" w:hAnsi="Calibri" w:cs="Calibri"/>
                <w:szCs w:val="22"/>
                <w:lang w:val="sk-SK" w:eastAsia="en-US"/>
              </w:rPr>
              <w:t xml:space="preserve">Spaľovacie zariadenie </w:t>
            </w:r>
          </w:p>
          <w:p w:rsidR="00137B61" w:rsidRPr="008C67AA" w:rsidRDefault="00137B61" w:rsidP="00215280">
            <w:pPr>
              <w:pStyle w:val="Normln"/>
              <w:numPr>
                <w:ilvl w:val="0"/>
                <w:numId w:val="32"/>
              </w:numPr>
              <w:ind w:left="317" w:hanging="317"/>
              <w:rPr>
                <w:rFonts w:ascii="Calibri" w:eastAsia="Calibri" w:hAnsi="Calibri" w:cs="Calibri"/>
                <w:szCs w:val="22"/>
                <w:lang w:val="sk-SK" w:eastAsia="en-US"/>
              </w:rPr>
            </w:pPr>
            <w:r w:rsidRPr="008C67AA">
              <w:rPr>
                <w:rFonts w:ascii="Calibri" w:eastAsia="Calibri" w:hAnsi="Calibri" w:cs="Calibri"/>
                <w:szCs w:val="22"/>
                <w:lang w:val="sk-SK" w:eastAsia="en-US"/>
              </w:rPr>
              <w:t xml:space="preserve">uvedené do prevádzky pred 20. decembrom 2018 alebo  </w:t>
            </w:r>
          </w:p>
          <w:p w:rsidR="00137B61" w:rsidRPr="00EF5876" w:rsidRDefault="00137B61" w:rsidP="00137B61">
            <w:pPr>
              <w:spacing w:after="0" w:line="240" w:lineRule="auto"/>
            </w:pPr>
            <w:r w:rsidRPr="00EF5876">
              <w:t>spaľovacie zariadenie, ktoré bolo povolené pred 19. decembrom  2017, ak bolo uvedené do prevádzky najneskôr  20. decembra 2018.</w:t>
            </w: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pPr>
            <w:r w:rsidRPr="00603CC4">
              <w:t>O:7</w:t>
            </w:r>
          </w:p>
        </w:tc>
        <w:tc>
          <w:tcPr>
            <w:tcW w:w="5771" w:type="dxa"/>
            <w:vAlign w:val="center"/>
          </w:tcPr>
          <w:tbl>
            <w:tblPr>
              <w:tblW w:w="5000" w:type="pct"/>
              <w:tblCellSpacing w:w="0" w:type="dxa"/>
              <w:tblLayout w:type="fixed"/>
              <w:tblCellMar>
                <w:left w:w="0" w:type="dxa"/>
                <w:right w:w="0" w:type="dxa"/>
              </w:tblCellMar>
              <w:tblLook w:val="00A0" w:firstRow="1" w:lastRow="0" w:firstColumn="1" w:lastColumn="0" w:noHBand="0" w:noVBand="0"/>
            </w:tblPr>
            <w:tblGrid>
              <w:gridCol w:w="140"/>
              <w:gridCol w:w="5415"/>
            </w:tblGrid>
            <w:tr w:rsidR="00B20392" w:rsidRPr="00603CC4">
              <w:trPr>
                <w:tblCellSpacing w:w="0" w:type="dxa"/>
              </w:trPr>
              <w:tc>
                <w:tcPr>
                  <w:tcW w:w="168" w:type="dxa"/>
                </w:tcPr>
                <w:p w:rsidR="00B20392" w:rsidRPr="00603CC4" w:rsidRDefault="00B20392" w:rsidP="001E0DAF">
                  <w:pPr>
                    <w:spacing w:before="120" w:after="0" w:line="240" w:lineRule="auto"/>
                    <w:jc w:val="both"/>
                    <w:rPr>
                      <w:color w:val="000000"/>
                      <w:lang w:eastAsia="sk-SK"/>
                    </w:rPr>
                  </w:pPr>
                  <w:r w:rsidRPr="00603CC4">
                    <w:rPr>
                      <w:color w:val="000000"/>
                      <w:lang w:eastAsia="sk-SK"/>
                    </w:rPr>
                    <w:t>7.</w:t>
                  </w:r>
                </w:p>
              </w:tc>
              <w:tc>
                <w:tcPr>
                  <w:tcW w:w="6702" w:type="dxa"/>
                </w:tcPr>
                <w:p w:rsidR="00B20392" w:rsidRPr="00603CC4" w:rsidRDefault="00B20392" w:rsidP="001E0DAF">
                  <w:pPr>
                    <w:spacing w:before="120" w:after="0" w:line="240" w:lineRule="auto"/>
                    <w:jc w:val="both"/>
                    <w:rPr>
                      <w:color w:val="000000"/>
                      <w:lang w:eastAsia="sk-SK"/>
                    </w:rPr>
                  </w:pPr>
                  <w:r w:rsidRPr="00603CC4">
                    <w:rPr>
                      <w:color w:val="000000"/>
                      <w:lang w:eastAsia="sk-SK"/>
                    </w:rPr>
                    <w:t>„nové spaľovacie zariadenie“ je spaľovacie zariadenie iné ako existujúce spaľovacie zariadenie;</w:t>
                  </w:r>
                </w:p>
              </w:tc>
            </w:tr>
          </w:tbl>
          <w:p w:rsidR="00B20392" w:rsidRPr="00603CC4" w:rsidRDefault="00B20392" w:rsidP="00603CC4">
            <w:pPr>
              <w:spacing w:before="120" w:after="0" w:line="240" w:lineRule="auto"/>
              <w:jc w:val="both"/>
              <w:rPr>
                <w:color w:val="000000"/>
                <w:lang w:eastAsia="sk-SK"/>
              </w:rPr>
            </w:pPr>
          </w:p>
        </w:tc>
        <w:tc>
          <w:tcPr>
            <w:tcW w:w="397" w:type="dxa"/>
            <w:vAlign w:val="center"/>
          </w:tcPr>
          <w:p w:rsidR="00B20392" w:rsidRPr="00603CC4" w:rsidRDefault="00565E6C" w:rsidP="00603CC4">
            <w:pPr>
              <w:spacing w:after="0" w:line="240" w:lineRule="auto"/>
            </w:pPr>
            <w:r>
              <w:t>N</w:t>
            </w:r>
          </w:p>
        </w:tc>
        <w:tc>
          <w:tcPr>
            <w:tcW w:w="708" w:type="dxa"/>
            <w:vAlign w:val="center"/>
          </w:tcPr>
          <w:p w:rsidR="00B20392" w:rsidRPr="00603CC4" w:rsidRDefault="000478AD" w:rsidP="00603CC4">
            <w:pPr>
              <w:spacing w:after="0" w:line="240" w:lineRule="auto"/>
            </w:pPr>
            <w:r>
              <w:t>N410</w:t>
            </w:r>
          </w:p>
        </w:tc>
        <w:tc>
          <w:tcPr>
            <w:tcW w:w="596" w:type="dxa"/>
            <w:vAlign w:val="center"/>
          </w:tcPr>
          <w:p w:rsidR="00137B61" w:rsidRDefault="00137B61" w:rsidP="007D7E3B">
            <w:pPr>
              <w:spacing w:after="0" w:line="240" w:lineRule="auto"/>
              <w:ind w:right="-79"/>
            </w:pPr>
            <w:r>
              <w:t>Pr. 4 Časť IV</w:t>
            </w:r>
          </w:p>
          <w:p w:rsidR="00B20392" w:rsidRPr="00603CC4" w:rsidRDefault="00137B61" w:rsidP="00137B61">
            <w:pPr>
              <w:spacing w:after="0" w:line="240" w:lineRule="auto"/>
            </w:pPr>
            <w:r>
              <w:t>B1</w:t>
            </w:r>
          </w:p>
        </w:tc>
        <w:tc>
          <w:tcPr>
            <w:tcW w:w="6396" w:type="dxa"/>
            <w:vAlign w:val="center"/>
          </w:tcPr>
          <w:p w:rsidR="00B20392" w:rsidRPr="008C67AA" w:rsidRDefault="00137B61" w:rsidP="00603CC4">
            <w:pPr>
              <w:spacing w:after="0" w:line="240" w:lineRule="auto"/>
            </w:pPr>
            <w:r w:rsidRPr="008C67AA">
              <w:t>Nové zariadenie</w:t>
            </w:r>
          </w:p>
          <w:p w:rsidR="00137B61" w:rsidRPr="00EF5876" w:rsidRDefault="00137B61" w:rsidP="00603CC4">
            <w:pPr>
              <w:spacing w:after="0" w:line="240" w:lineRule="auto"/>
            </w:pPr>
            <w:r w:rsidRPr="00EF5876">
              <w:t>Spaľovacie zariadenie iné ako jestvujúce zariadenie.</w:t>
            </w: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pPr>
            <w:r w:rsidRPr="00603CC4">
              <w:t>O:8</w:t>
            </w:r>
          </w:p>
        </w:tc>
        <w:tc>
          <w:tcPr>
            <w:tcW w:w="5771" w:type="dxa"/>
            <w:vAlign w:val="center"/>
          </w:tcPr>
          <w:tbl>
            <w:tblPr>
              <w:tblW w:w="5000" w:type="pct"/>
              <w:tblCellSpacing w:w="0" w:type="dxa"/>
              <w:tblLayout w:type="fixed"/>
              <w:tblCellMar>
                <w:left w:w="0" w:type="dxa"/>
                <w:right w:w="0" w:type="dxa"/>
              </w:tblCellMar>
              <w:tblLook w:val="00A0" w:firstRow="1" w:lastRow="0" w:firstColumn="1" w:lastColumn="0" w:noHBand="0" w:noVBand="0"/>
            </w:tblPr>
            <w:tblGrid>
              <w:gridCol w:w="153"/>
              <w:gridCol w:w="5402"/>
            </w:tblGrid>
            <w:tr w:rsidR="00B20392" w:rsidRPr="00603CC4">
              <w:trPr>
                <w:tblCellSpacing w:w="0" w:type="dxa"/>
              </w:trPr>
              <w:tc>
                <w:tcPr>
                  <w:tcW w:w="185" w:type="dxa"/>
                </w:tcPr>
                <w:p w:rsidR="00B20392" w:rsidRPr="00603CC4" w:rsidRDefault="00B20392" w:rsidP="001E0DAF">
                  <w:pPr>
                    <w:spacing w:before="120" w:after="0" w:line="240" w:lineRule="auto"/>
                    <w:jc w:val="both"/>
                    <w:rPr>
                      <w:color w:val="000000"/>
                      <w:lang w:eastAsia="sk-SK"/>
                    </w:rPr>
                  </w:pPr>
                  <w:r w:rsidRPr="00603CC4">
                    <w:rPr>
                      <w:color w:val="000000"/>
                      <w:lang w:eastAsia="sk-SK"/>
                    </w:rPr>
                    <w:t>8.</w:t>
                  </w:r>
                </w:p>
              </w:tc>
              <w:tc>
                <w:tcPr>
                  <w:tcW w:w="6685" w:type="dxa"/>
                </w:tcPr>
                <w:p w:rsidR="00B20392" w:rsidRPr="00603CC4" w:rsidRDefault="00B20392" w:rsidP="001E0DAF">
                  <w:pPr>
                    <w:spacing w:before="120" w:after="0" w:line="240" w:lineRule="auto"/>
                    <w:jc w:val="both"/>
                    <w:rPr>
                      <w:color w:val="000000"/>
                      <w:lang w:eastAsia="sk-SK"/>
                    </w:rPr>
                  </w:pPr>
                  <w:r w:rsidRPr="00603CC4">
                    <w:rPr>
                      <w:color w:val="000000"/>
                      <w:lang w:eastAsia="sk-SK"/>
                    </w:rPr>
                    <w:t>„motor“ je plynový motor, naftový motor alebo dvojpalivový motor;</w:t>
                  </w:r>
                </w:p>
              </w:tc>
            </w:tr>
          </w:tbl>
          <w:p w:rsidR="00B20392" w:rsidRPr="00603CC4" w:rsidRDefault="00B20392" w:rsidP="00603CC4">
            <w:pPr>
              <w:spacing w:before="120" w:after="0" w:line="240" w:lineRule="auto"/>
              <w:jc w:val="both"/>
              <w:rPr>
                <w:color w:val="000000"/>
                <w:lang w:eastAsia="sk-SK"/>
              </w:rPr>
            </w:pPr>
          </w:p>
        </w:tc>
        <w:tc>
          <w:tcPr>
            <w:tcW w:w="397" w:type="dxa"/>
            <w:vAlign w:val="center"/>
          </w:tcPr>
          <w:p w:rsidR="00B20392" w:rsidRPr="00603CC4" w:rsidRDefault="00565E6C" w:rsidP="00603CC4">
            <w:pPr>
              <w:spacing w:after="0" w:line="240" w:lineRule="auto"/>
            </w:pPr>
            <w:r>
              <w:t>N</w:t>
            </w:r>
          </w:p>
        </w:tc>
        <w:tc>
          <w:tcPr>
            <w:tcW w:w="708" w:type="dxa"/>
            <w:vAlign w:val="center"/>
          </w:tcPr>
          <w:p w:rsidR="00B20392" w:rsidRPr="00603CC4" w:rsidRDefault="00AF196A" w:rsidP="000478AD">
            <w:pPr>
              <w:spacing w:after="0" w:line="240" w:lineRule="auto"/>
            </w:pPr>
            <w:r>
              <w:t>N</w:t>
            </w:r>
            <w:r w:rsidR="000478AD">
              <w:t>410</w:t>
            </w:r>
          </w:p>
        </w:tc>
        <w:tc>
          <w:tcPr>
            <w:tcW w:w="596" w:type="dxa"/>
            <w:vAlign w:val="center"/>
          </w:tcPr>
          <w:p w:rsidR="00B20392" w:rsidRPr="00603CC4" w:rsidRDefault="00D14602" w:rsidP="00D14602">
            <w:pPr>
              <w:spacing w:after="0" w:line="240" w:lineRule="auto"/>
            </w:pPr>
            <w:r>
              <w:t>§:</w:t>
            </w:r>
            <w:r w:rsidR="00AF196A">
              <w:t>8 O</w:t>
            </w:r>
            <w:r>
              <w:t>:</w:t>
            </w:r>
            <w:r w:rsidR="00AF196A">
              <w:t>4</w:t>
            </w:r>
            <w:r>
              <w:t xml:space="preserve"> P:</w:t>
            </w:r>
            <w:r w:rsidR="00AF196A">
              <w:t>r</w:t>
            </w:r>
          </w:p>
        </w:tc>
        <w:tc>
          <w:tcPr>
            <w:tcW w:w="6396" w:type="dxa"/>
            <w:vAlign w:val="center"/>
          </w:tcPr>
          <w:p w:rsidR="00B20392" w:rsidRPr="00EF5876" w:rsidRDefault="00AF196A" w:rsidP="00137B61">
            <w:pPr>
              <w:ind w:left="284" w:hanging="284"/>
              <w:jc w:val="both"/>
            </w:pPr>
            <w:r w:rsidRPr="00EF5876">
              <w:t xml:space="preserve">r)  motorom zážihový motor, vznetový </w:t>
            </w:r>
            <w:r w:rsidR="00137B61" w:rsidRPr="00EF5876">
              <w:t>motor alebo dvojpalivový motor,</w:t>
            </w: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pPr>
            <w:r w:rsidRPr="00603CC4">
              <w:t>O:9</w:t>
            </w:r>
          </w:p>
        </w:tc>
        <w:tc>
          <w:tcPr>
            <w:tcW w:w="5771" w:type="dxa"/>
            <w:vAlign w:val="center"/>
          </w:tcPr>
          <w:tbl>
            <w:tblPr>
              <w:tblW w:w="5000" w:type="pct"/>
              <w:tblCellSpacing w:w="0" w:type="dxa"/>
              <w:tblLayout w:type="fixed"/>
              <w:tblCellMar>
                <w:left w:w="0" w:type="dxa"/>
                <w:right w:w="0" w:type="dxa"/>
              </w:tblCellMar>
              <w:tblLook w:val="00A0" w:firstRow="1" w:lastRow="0" w:firstColumn="1" w:lastColumn="0" w:noHBand="0" w:noVBand="0"/>
            </w:tblPr>
            <w:tblGrid>
              <w:gridCol w:w="140"/>
              <w:gridCol w:w="5415"/>
            </w:tblGrid>
            <w:tr w:rsidR="00B20392" w:rsidRPr="00603CC4">
              <w:trPr>
                <w:tblCellSpacing w:w="0" w:type="dxa"/>
              </w:trPr>
              <w:tc>
                <w:tcPr>
                  <w:tcW w:w="168" w:type="dxa"/>
                </w:tcPr>
                <w:p w:rsidR="00B20392" w:rsidRPr="00603CC4" w:rsidRDefault="00B20392" w:rsidP="001E0DAF">
                  <w:pPr>
                    <w:spacing w:before="120" w:after="0" w:line="240" w:lineRule="auto"/>
                    <w:jc w:val="both"/>
                    <w:rPr>
                      <w:color w:val="000000"/>
                      <w:lang w:eastAsia="sk-SK"/>
                    </w:rPr>
                  </w:pPr>
                  <w:r w:rsidRPr="00603CC4">
                    <w:rPr>
                      <w:color w:val="000000"/>
                      <w:lang w:eastAsia="sk-SK"/>
                    </w:rPr>
                    <w:t>9.</w:t>
                  </w:r>
                </w:p>
              </w:tc>
              <w:tc>
                <w:tcPr>
                  <w:tcW w:w="6702" w:type="dxa"/>
                </w:tcPr>
                <w:p w:rsidR="00B20392" w:rsidRPr="00603CC4" w:rsidRDefault="00B20392" w:rsidP="001E0DAF">
                  <w:pPr>
                    <w:spacing w:before="120" w:after="0" w:line="240" w:lineRule="auto"/>
                    <w:jc w:val="both"/>
                    <w:rPr>
                      <w:color w:val="000000"/>
                      <w:lang w:eastAsia="sk-SK"/>
                    </w:rPr>
                  </w:pPr>
                  <w:r w:rsidRPr="00603CC4">
                    <w:rPr>
                      <w:color w:val="000000"/>
                      <w:lang w:eastAsia="sk-SK"/>
                    </w:rPr>
                    <w:t xml:space="preserve">„plynový motor“ je spaľovací motor, ktorý pracuje na základe </w:t>
                  </w:r>
                  <w:proofErr w:type="spellStart"/>
                  <w:r w:rsidRPr="00603CC4">
                    <w:rPr>
                      <w:color w:val="000000"/>
                      <w:lang w:eastAsia="sk-SK"/>
                    </w:rPr>
                    <w:t>Ottovho</w:t>
                  </w:r>
                  <w:proofErr w:type="spellEnd"/>
                  <w:r w:rsidRPr="00603CC4">
                    <w:rPr>
                      <w:color w:val="000000"/>
                      <w:lang w:eastAsia="sk-SK"/>
                    </w:rPr>
                    <w:t xml:space="preserve"> cyklu a na spaľovanie paliva používa zážihové zapaľovanie;</w:t>
                  </w:r>
                </w:p>
              </w:tc>
            </w:tr>
          </w:tbl>
          <w:p w:rsidR="00B20392" w:rsidRPr="00603CC4" w:rsidRDefault="00B20392" w:rsidP="00603CC4">
            <w:pPr>
              <w:spacing w:before="120" w:after="0" w:line="240" w:lineRule="auto"/>
              <w:jc w:val="both"/>
              <w:rPr>
                <w:color w:val="000000"/>
                <w:lang w:eastAsia="sk-SK"/>
              </w:rPr>
            </w:pPr>
          </w:p>
        </w:tc>
        <w:tc>
          <w:tcPr>
            <w:tcW w:w="397" w:type="dxa"/>
            <w:vAlign w:val="center"/>
          </w:tcPr>
          <w:p w:rsidR="00B20392" w:rsidRPr="00603CC4" w:rsidRDefault="00565E6C" w:rsidP="00603CC4">
            <w:pPr>
              <w:spacing w:after="0" w:line="240" w:lineRule="auto"/>
            </w:pPr>
            <w:r>
              <w:t>N</w:t>
            </w:r>
          </w:p>
        </w:tc>
        <w:tc>
          <w:tcPr>
            <w:tcW w:w="708" w:type="dxa"/>
            <w:vAlign w:val="center"/>
          </w:tcPr>
          <w:p w:rsidR="00B20392" w:rsidRPr="00603CC4" w:rsidRDefault="00AF196A" w:rsidP="00603CC4">
            <w:pPr>
              <w:spacing w:after="0" w:line="240" w:lineRule="auto"/>
            </w:pPr>
            <w:r>
              <w:t>V</w:t>
            </w:r>
            <w:r w:rsidR="007368A9">
              <w:t>410</w:t>
            </w:r>
          </w:p>
        </w:tc>
        <w:tc>
          <w:tcPr>
            <w:tcW w:w="596" w:type="dxa"/>
            <w:vAlign w:val="center"/>
          </w:tcPr>
          <w:p w:rsidR="00D14602" w:rsidRDefault="00D14602" w:rsidP="00603CC4">
            <w:pPr>
              <w:spacing w:after="0" w:line="240" w:lineRule="auto"/>
            </w:pPr>
            <w:r>
              <w:t xml:space="preserve">§:8 O:4 </w:t>
            </w:r>
          </w:p>
          <w:p w:rsidR="00B20392" w:rsidRPr="00603CC4" w:rsidRDefault="00D14602" w:rsidP="00603CC4">
            <w:pPr>
              <w:spacing w:after="0" w:line="240" w:lineRule="auto"/>
            </w:pPr>
            <w:r>
              <w:t>P:</w:t>
            </w:r>
            <w:r w:rsidR="00AF196A">
              <w:t>c</w:t>
            </w:r>
          </w:p>
        </w:tc>
        <w:tc>
          <w:tcPr>
            <w:tcW w:w="6396" w:type="dxa"/>
            <w:vAlign w:val="center"/>
          </w:tcPr>
          <w:p w:rsidR="00B20392" w:rsidRPr="00EF5876" w:rsidRDefault="00AF196A" w:rsidP="007D7E3B">
            <w:pPr>
              <w:spacing w:after="0"/>
              <w:ind w:left="284" w:hanging="284"/>
              <w:jc w:val="both"/>
            </w:pPr>
            <w:r w:rsidRPr="00EF5876">
              <w:t xml:space="preserve">c)  zážihovým motorom spaľovací motor, ktorý pracuje na základe </w:t>
            </w:r>
            <w:proofErr w:type="spellStart"/>
            <w:r w:rsidRPr="00EF5876">
              <w:t>Ottovho</w:t>
            </w:r>
            <w:proofErr w:type="spellEnd"/>
            <w:r w:rsidRPr="00EF5876">
              <w:t xml:space="preserve"> cyklu, t. j. v ktorom dochádza k zapáleniu palivovej zmesi elektrickou iskrou alebo v prípade dvojpalivových m</w:t>
            </w:r>
            <w:r w:rsidR="00137B61" w:rsidRPr="00EF5876">
              <w:t xml:space="preserve">otorov kompresným zapaľovaním, </w:t>
            </w: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pPr>
            <w:r w:rsidRPr="00603CC4">
              <w:t>O:10</w:t>
            </w:r>
          </w:p>
        </w:tc>
        <w:tc>
          <w:tcPr>
            <w:tcW w:w="5771" w:type="dxa"/>
            <w:vAlign w:val="center"/>
          </w:tcPr>
          <w:tbl>
            <w:tblPr>
              <w:tblW w:w="5000" w:type="pct"/>
              <w:tblCellSpacing w:w="0" w:type="dxa"/>
              <w:tblLayout w:type="fixed"/>
              <w:tblCellMar>
                <w:left w:w="0" w:type="dxa"/>
                <w:right w:w="0" w:type="dxa"/>
              </w:tblCellMar>
              <w:tblLook w:val="00A0" w:firstRow="1" w:lastRow="0" w:firstColumn="1" w:lastColumn="0" w:noHBand="0" w:noVBand="0"/>
            </w:tblPr>
            <w:tblGrid>
              <w:gridCol w:w="229"/>
              <w:gridCol w:w="5326"/>
            </w:tblGrid>
            <w:tr w:rsidR="00B20392" w:rsidRPr="00603CC4">
              <w:trPr>
                <w:tblCellSpacing w:w="0" w:type="dxa"/>
              </w:trPr>
              <w:tc>
                <w:tcPr>
                  <w:tcW w:w="279" w:type="dxa"/>
                </w:tcPr>
                <w:p w:rsidR="00B20392" w:rsidRPr="00603CC4" w:rsidRDefault="00B20392" w:rsidP="001E0DAF">
                  <w:pPr>
                    <w:spacing w:before="120" w:after="0" w:line="240" w:lineRule="auto"/>
                    <w:jc w:val="both"/>
                    <w:rPr>
                      <w:color w:val="000000"/>
                      <w:lang w:eastAsia="sk-SK"/>
                    </w:rPr>
                  </w:pPr>
                  <w:r w:rsidRPr="00603CC4">
                    <w:rPr>
                      <w:color w:val="000000"/>
                      <w:lang w:eastAsia="sk-SK"/>
                    </w:rPr>
                    <w:t>10.</w:t>
                  </w:r>
                </w:p>
              </w:tc>
              <w:tc>
                <w:tcPr>
                  <w:tcW w:w="6591" w:type="dxa"/>
                </w:tcPr>
                <w:p w:rsidR="00B20392" w:rsidRPr="00603CC4" w:rsidRDefault="00B20392" w:rsidP="001E0DAF">
                  <w:pPr>
                    <w:spacing w:before="120" w:after="0" w:line="240" w:lineRule="auto"/>
                    <w:jc w:val="both"/>
                    <w:rPr>
                      <w:color w:val="000000"/>
                      <w:lang w:eastAsia="sk-SK"/>
                    </w:rPr>
                  </w:pPr>
                  <w:r w:rsidRPr="00603CC4">
                    <w:rPr>
                      <w:color w:val="000000"/>
                      <w:lang w:eastAsia="sk-SK"/>
                    </w:rPr>
                    <w:t xml:space="preserve">„naftový motor“ je spaľovací motor, ktorý pracuje na základe </w:t>
                  </w:r>
                  <w:proofErr w:type="spellStart"/>
                  <w:r w:rsidRPr="00603CC4">
                    <w:rPr>
                      <w:color w:val="000000"/>
                      <w:lang w:eastAsia="sk-SK"/>
                    </w:rPr>
                    <w:t>Dieselovho</w:t>
                  </w:r>
                  <w:proofErr w:type="spellEnd"/>
                  <w:r w:rsidRPr="00603CC4">
                    <w:rPr>
                      <w:color w:val="000000"/>
                      <w:lang w:eastAsia="sk-SK"/>
                    </w:rPr>
                    <w:t xml:space="preserve"> cyklu a na spaľovanie paliva používa kompresné zapaľovanie;</w:t>
                  </w:r>
                </w:p>
              </w:tc>
            </w:tr>
          </w:tbl>
          <w:p w:rsidR="00B20392" w:rsidRPr="00603CC4" w:rsidRDefault="00B20392" w:rsidP="00603CC4">
            <w:pPr>
              <w:spacing w:before="120" w:after="0" w:line="240" w:lineRule="auto"/>
              <w:jc w:val="both"/>
              <w:rPr>
                <w:color w:val="000000"/>
                <w:lang w:eastAsia="sk-SK"/>
              </w:rPr>
            </w:pPr>
          </w:p>
        </w:tc>
        <w:tc>
          <w:tcPr>
            <w:tcW w:w="397" w:type="dxa"/>
            <w:vAlign w:val="center"/>
          </w:tcPr>
          <w:p w:rsidR="00B20392" w:rsidRPr="00603CC4" w:rsidRDefault="00565E6C" w:rsidP="00603CC4">
            <w:pPr>
              <w:spacing w:after="0" w:line="240" w:lineRule="auto"/>
            </w:pPr>
            <w:r>
              <w:t>N</w:t>
            </w:r>
          </w:p>
        </w:tc>
        <w:tc>
          <w:tcPr>
            <w:tcW w:w="708" w:type="dxa"/>
            <w:vAlign w:val="center"/>
          </w:tcPr>
          <w:p w:rsidR="00B20392" w:rsidRPr="00603CC4" w:rsidRDefault="00AF196A" w:rsidP="00603CC4">
            <w:pPr>
              <w:spacing w:after="0" w:line="240" w:lineRule="auto"/>
            </w:pPr>
            <w:r>
              <w:t>V</w:t>
            </w:r>
            <w:r w:rsidR="007368A9">
              <w:t>410</w:t>
            </w:r>
          </w:p>
        </w:tc>
        <w:tc>
          <w:tcPr>
            <w:tcW w:w="596" w:type="dxa"/>
            <w:vAlign w:val="center"/>
          </w:tcPr>
          <w:p w:rsidR="00B20392" w:rsidRPr="00603CC4" w:rsidRDefault="00D14602" w:rsidP="00D14602">
            <w:pPr>
              <w:spacing w:after="0" w:line="240" w:lineRule="auto"/>
            </w:pPr>
            <w:r>
              <w:t>§:</w:t>
            </w:r>
            <w:r w:rsidR="00AF196A">
              <w:t>8 O</w:t>
            </w:r>
            <w:r>
              <w:t>:</w:t>
            </w:r>
            <w:r w:rsidR="00AF196A">
              <w:t>4</w:t>
            </w:r>
            <w:r>
              <w:t xml:space="preserve"> P:</w:t>
            </w:r>
            <w:r w:rsidR="00AF196A">
              <w:t>d</w:t>
            </w:r>
          </w:p>
        </w:tc>
        <w:tc>
          <w:tcPr>
            <w:tcW w:w="6396" w:type="dxa"/>
            <w:vAlign w:val="center"/>
          </w:tcPr>
          <w:p w:rsidR="00B20392" w:rsidRPr="00EF5876" w:rsidRDefault="00AF196A" w:rsidP="007D7E3B">
            <w:pPr>
              <w:spacing w:after="0"/>
              <w:ind w:left="284" w:hanging="284"/>
              <w:jc w:val="both"/>
            </w:pPr>
            <w:r w:rsidRPr="00EF5876">
              <w:t xml:space="preserve">d) vznetovým motorom spaľovací motor, ktorý pracuje na základe </w:t>
            </w:r>
            <w:proofErr w:type="spellStart"/>
            <w:r w:rsidRPr="00EF5876">
              <w:t>Dieselovho</w:t>
            </w:r>
            <w:proofErr w:type="spellEnd"/>
            <w:r w:rsidRPr="00EF5876">
              <w:t xml:space="preserve"> </w:t>
            </w:r>
            <w:proofErr w:type="spellStart"/>
            <w:r w:rsidRPr="00EF5876">
              <w:t>cyklu,t.j</w:t>
            </w:r>
            <w:proofErr w:type="spellEnd"/>
            <w:r w:rsidRPr="00EF5876">
              <w:t>. v ktorom sa vstreknuté palivo samovoľne vznecuje vo vzduchu ohriatom kompresným teplom po predchádzajúcom st</w:t>
            </w:r>
            <w:r w:rsidR="00137B61" w:rsidRPr="00EF5876">
              <w:t xml:space="preserve">lačení nad teplotu vznietenia, </w:t>
            </w: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pPr>
            <w:r w:rsidRPr="00603CC4">
              <w:lastRenderedPageBreak/>
              <w:t>O:11</w:t>
            </w:r>
          </w:p>
        </w:tc>
        <w:tc>
          <w:tcPr>
            <w:tcW w:w="5771" w:type="dxa"/>
            <w:vAlign w:val="center"/>
          </w:tcPr>
          <w:tbl>
            <w:tblPr>
              <w:tblW w:w="5000" w:type="pct"/>
              <w:tblCellSpacing w:w="0" w:type="dxa"/>
              <w:tblLayout w:type="fixed"/>
              <w:tblCellMar>
                <w:left w:w="0" w:type="dxa"/>
                <w:right w:w="0" w:type="dxa"/>
              </w:tblCellMar>
              <w:tblLook w:val="00A0" w:firstRow="1" w:lastRow="0" w:firstColumn="1" w:lastColumn="0" w:noHBand="0" w:noVBand="0"/>
            </w:tblPr>
            <w:tblGrid>
              <w:gridCol w:w="229"/>
              <w:gridCol w:w="5326"/>
            </w:tblGrid>
            <w:tr w:rsidR="00B20392" w:rsidRPr="00603CC4">
              <w:trPr>
                <w:tblCellSpacing w:w="0" w:type="dxa"/>
              </w:trPr>
              <w:tc>
                <w:tcPr>
                  <w:tcW w:w="279" w:type="dxa"/>
                </w:tcPr>
                <w:p w:rsidR="00B20392" w:rsidRPr="00603CC4" w:rsidRDefault="00B20392" w:rsidP="001E0DAF">
                  <w:pPr>
                    <w:spacing w:before="120" w:after="0" w:line="240" w:lineRule="auto"/>
                    <w:jc w:val="both"/>
                    <w:rPr>
                      <w:color w:val="000000"/>
                      <w:lang w:eastAsia="sk-SK"/>
                    </w:rPr>
                  </w:pPr>
                  <w:r w:rsidRPr="00603CC4">
                    <w:rPr>
                      <w:color w:val="000000"/>
                      <w:lang w:eastAsia="sk-SK"/>
                    </w:rPr>
                    <w:t>11.</w:t>
                  </w:r>
                </w:p>
              </w:tc>
              <w:tc>
                <w:tcPr>
                  <w:tcW w:w="6591" w:type="dxa"/>
                </w:tcPr>
                <w:p w:rsidR="00B20392" w:rsidRPr="00603CC4" w:rsidRDefault="00B20392" w:rsidP="001E0DAF">
                  <w:pPr>
                    <w:spacing w:before="120" w:after="0" w:line="240" w:lineRule="auto"/>
                    <w:jc w:val="both"/>
                    <w:rPr>
                      <w:color w:val="000000"/>
                      <w:lang w:eastAsia="sk-SK"/>
                    </w:rPr>
                  </w:pPr>
                  <w:r w:rsidRPr="00603CC4">
                    <w:rPr>
                      <w:color w:val="000000"/>
                      <w:lang w:eastAsia="sk-SK"/>
                    </w:rPr>
                    <w:t xml:space="preserve">„dvojpalivový motor“ je spaľovací motor, ktorý používa vznetové zapaľovanie a pri spaľovaní kvapalných palív pracuje na základe </w:t>
                  </w:r>
                  <w:proofErr w:type="spellStart"/>
                  <w:r w:rsidRPr="00603CC4">
                    <w:rPr>
                      <w:color w:val="000000"/>
                      <w:lang w:eastAsia="sk-SK"/>
                    </w:rPr>
                    <w:t>Dieselovho</w:t>
                  </w:r>
                  <w:proofErr w:type="spellEnd"/>
                  <w:r w:rsidRPr="00603CC4">
                    <w:rPr>
                      <w:color w:val="000000"/>
                      <w:lang w:eastAsia="sk-SK"/>
                    </w:rPr>
                    <w:t xml:space="preserve"> cyklu a pri spaľovaní plynných palív pracuje na základe </w:t>
                  </w:r>
                  <w:proofErr w:type="spellStart"/>
                  <w:r w:rsidRPr="00603CC4">
                    <w:rPr>
                      <w:color w:val="000000"/>
                      <w:lang w:eastAsia="sk-SK"/>
                    </w:rPr>
                    <w:t>Ottovho</w:t>
                  </w:r>
                  <w:proofErr w:type="spellEnd"/>
                  <w:r w:rsidRPr="00603CC4">
                    <w:rPr>
                      <w:color w:val="000000"/>
                      <w:lang w:eastAsia="sk-SK"/>
                    </w:rPr>
                    <w:t xml:space="preserve"> cyklu;</w:t>
                  </w:r>
                </w:p>
              </w:tc>
            </w:tr>
          </w:tbl>
          <w:p w:rsidR="00B20392" w:rsidRPr="00603CC4" w:rsidRDefault="00B20392" w:rsidP="00603CC4">
            <w:pPr>
              <w:spacing w:before="120" w:after="0" w:line="240" w:lineRule="auto"/>
              <w:jc w:val="both"/>
              <w:rPr>
                <w:color w:val="000000"/>
                <w:lang w:eastAsia="sk-SK"/>
              </w:rPr>
            </w:pPr>
          </w:p>
        </w:tc>
        <w:tc>
          <w:tcPr>
            <w:tcW w:w="397" w:type="dxa"/>
            <w:vAlign w:val="center"/>
          </w:tcPr>
          <w:p w:rsidR="00B20392" w:rsidRPr="00603CC4" w:rsidRDefault="00565E6C" w:rsidP="00603CC4">
            <w:pPr>
              <w:spacing w:after="0" w:line="240" w:lineRule="auto"/>
            </w:pPr>
            <w:r>
              <w:t>N</w:t>
            </w:r>
          </w:p>
        </w:tc>
        <w:tc>
          <w:tcPr>
            <w:tcW w:w="708" w:type="dxa"/>
            <w:vAlign w:val="center"/>
          </w:tcPr>
          <w:p w:rsidR="00B20392" w:rsidRPr="00603CC4" w:rsidRDefault="000478AD" w:rsidP="00603CC4">
            <w:pPr>
              <w:spacing w:after="0" w:line="240" w:lineRule="auto"/>
            </w:pPr>
            <w:r>
              <w:t>V410</w:t>
            </w:r>
          </w:p>
        </w:tc>
        <w:tc>
          <w:tcPr>
            <w:tcW w:w="596" w:type="dxa"/>
            <w:vAlign w:val="center"/>
          </w:tcPr>
          <w:p w:rsidR="00AF196A" w:rsidRDefault="00D14602" w:rsidP="00603CC4">
            <w:pPr>
              <w:spacing w:after="0" w:line="240" w:lineRule="auto"/>
            </w:pPr>
            <w:r>
              <w:t>§</w:t>
            </w:r>
            <w:r w:rsidR="00AF196A">
              <w:t>:8 O:4</w:t>
            </w:r>
          </w:p>
          <w:p w:rsidR="00B20392" w:rsidRPr="00603CC4" w:rsidRDefault="00D14602" w:rsidP="00D14602">
            <w:pPr>
              <w:spacing w:after="0" w:line="240" w:lineRule="auto"/>
            </w:pPr>
            <w:r>
              <w:t>P:</w:t>
            </w:r>
            <w:r w:rsidR="00AF196A">
              <w:t>s</w:t>
            </w:r>
          </w:p>
        </w:tc>
        <w:tc>
          <w:tcPr>
            <w:tcW w:w="6396" w:type="dxa"/>
            <w:vAlign w:val="center"/>
          </w:tcPr>
          <w:p w:rsidR="00B20392" w:rsidRPr="00EF5876" w:rsidRDefault="00AF196A" w:rsidP="000478AD">
            <w:pPr>
              <w:ind w:left="284" w:hanging="284"/>
              <w:jc w:val="both"/>
            </w:pPr>
            <w:r w:rsidRPr="00EF5876">
              <w:t xml:space="preserve">s) dvojpalivovým motorom spaľovací motor, ktorý používa vznetové zapaľovanie a pri spaľovaní kvapalných palív pracuje na základe </w:t>
            </w:r>
            <w:proofErr w:type="spellStart"/>
            <w:r w:rsidRPr="00EF5876">
              <w:t>Dieselovho</w:t>
            </w:r>
            <w:proofErr w:type="spellEnd"/>
            <w:r w:rsidRPr="00EF5876">
              <w:t xml:space="preserve"> cyklu a pri spaľovaní plynných palív pr</w:t>
            </w:r>
            <w:r w:rsidR="000478AD" w:rsidRPr="00EF5876">
              <w:t xml:space="preserve">acuje na základe </w:t>
            </w:r>
            <w:proofErr w:type="spellStart"/>
            <w:r w:rsidR="000478AD" w:rsidRPr="00EF5876">
              <w:t>Ottovho</w:t>
            </w:r>
            <w:proofErr w:type="spellEnd"/>
            <w:r w:rsidR="000478AD" w:rsidRPr="00EF5876">
              <w:t xml:space="preserve"> cyklu.</w:t>
            </w: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pPr>
            <w:r w:rsidRPr="00603CC4">
              <w:t>O:12</w:t>
            </w:r>
          </w:p>
        </w:tc>
        <w:tc>
          <w:tcPr>
            <w:tcW w:w="5771" w:type="dxa"/>
            <w:vAlign w:val="center"/>
          </w:tcPr>
          <w:tbl>
            <w:tblPr>
              <w:tblW w:w="5000" w:type="pct"/>
              <w:tblCellSpacing w:w="0" w:type="dxa"/>
              <w:tblLayout w:type="fixed"/>
              <w:tblCellMar>
                <w:left w:w="0" w:type="dxa"/>
                <w:right w:w="0" w:type="dxa"/>
              </w:tblCellMar>
              <w:tblLook w:val="00A0" w:firstRow="1" w:lastRow="0" w:firstColumn="1" w:lastColumn="0" w:noHBand="0" w:noVBand="0"/>
            </w:tblPr>
            <w:tblGrid>
              <w:gridCol w:w="229"/>
              <w:gridCol w:w="5326"/>
            </w:tblGrid>
            <w:tr w:rsidR="00B20392" w:rsidRPr="00603CC4">
              <w:trPr>
                <w:tblCellSpacing w:w="0" w:type="dxa"/>
              </w:trPr>
              <w:tc>
                <w:tcPr>
                  <w:tcW w:w="279" w:type="dxa"/>
                </w:tcPr>
                <w:p w:rsidR="00B20392" w:rsidRPr="00603CC4" w:rsidRDefault="00B20392" w:rsidP="001E0DAF">
                  <w:pPr>
                    <w:spacing w:before="120" w:after="0" w:line="240" w:lineRule="auto"/>
                    <w:jc w:val="both"/>
                    <w:rPr>
                      <w:color w:val="000000"/>
                      <w:lang w:eastAsia="sk-SK"/>
                    </w:rPr>
                  </w:pPr>
                  <w:r w:rsidRPr="00603CC4">
                    <w:rPr>
                      <w:color w:val="000000"/>
                      <w:lang w:eastAsia="sk-SK"/>
                    </w:rPr>
                    <w:t>12.</w:t>
                  </w:r>
                </w:p>
              </w:tc>
              <w:tc>
                <w:tcPr>
                  <w:tcW w:w="6591" w:type="dxa"/>
                </w:tcPr>
                <w:p w:rsidR="00B20392" w:rsidRPr="00603CC4" w:rsidRDefault="00B20392" w:rsidP="001E0DAF">
                  <w:pPr>
                    <w:spacing w:before="120" w:after="0" w:line="240" w:lineRule="auto"/>
                    <w:jc w:val="both"/>
                    <w:rPr>
                      <w:color w:val="000000"/>
                      <w:lang w:eastAsia="sk-SK"/>
                    </w:rPr>
                  </w:pPr>
                  <w:r w:rsidRPr="00603CC4">
                    <w:rPr>
                      <w:color w:val="000000"/>
                      <w:lang w:eastAsia="sk-SK"/>
                    </w:rPr>
                    <w:t>„plynová turbína“ je každý rotujúci stroj, ktorý premieňa tepelnú energiu na mechanickú prácu, pozostávajúci najmä z kompresora, tepelného zariadenia, v ktorom sa oxidujú palivá na ohrev pracovného média, a turbíny vrátane plynových turbín s otvoreným, ako aj kombinovaným cyklom, a plynové turbíny v režime kombinovanej výroby, a to všetky typy, či už s dodatočným spaľovaním alebo bez neho;</w:t>
                  </w:r>
                </w:p>
              </w:tc>
            </w:tr>
          </w:tbl>
          <w:p w:rsidR="00B20392" w:rsidRPr="00603CC4" w:rsidRDefault="00B20392" w:rsidP="00603CC4">
            <w:pPr>
              <w:spacing w:before="120" w:after="0" w:line="240" w:lineRule="auto"/>
              <w:jc w:val="both"/>
              <w:rPr>
                <w:color w:val="000000"/>
                <w:lang w:eastAsia="sk-SK"/>
              </w:rPr>
            </w:pPr>
          </w:p>
        </w:tc>
        <w:tc>
          <w:tcPr>
            <w:tcW w:w="397" w:type="dxa"/>
            <w:vAlign w:val="center"/>
          </w:tcPr>
          <w:p w:rsidR="00B20392" w:rsidRPr="00603CC4" w:rsidRDefault="00565E6C" w:rsidP="00603CC4">
            <w:pPr>
              <w:spacing w:after="0" w:line="240" w:lineRule="auto"/>
            </w:pPr>
            <w:r>
              <w:t>N</w:t>
            </w:r>
          </w:p>
        </w:tc>
        <w:tc>
          <w:tcPr>
            <w:tcW w:w="708" w:type="dxa"/>
            <w:vAlign w:val="center"/>
          </w:tcPr>
          <w:p w:rsidR="00B20392" w:rsidRPr="00603CC4" w:rsidRDefault="000478AD" w:rsidP="00603CC4">
            <w:pPr>
              <w:spacing w:after="0" w:line="240" w:lineRule="auto"/>
            </w:pPr>
            <w:r>
              <w:t>N</w:t>
            </w:r>
            <w:r w:rsidR="007368A9">
              <w:t>410</w:t>
            </w:r>
          </w:p>
        </w:tc>
        <w:tc>
          <w:tcPr>
            <w:tcW w:w="596" w:type="dxa"/>
            <w:vAlign w:val="center"/>
          </w:tcPr>
          <w:p w:rsidR="00B20392" w:rsidRPr="00603CC4" w:rsidRDefault="00D14602" w:rsidP="00D14602">
            <w:pPr>
              <w:spacing w:after="0" w:line="240" w:lineRule="auto"/>
            </w:pPr>
            <w:r>
              <w:t>§:</w:t>
            </w:r>
            <w:r w:rsidR="00AF196A">
              <w:t xml:space="preserve"> 8 O</w:t>
            </w:r>
            <w:r>
              <w:t>:</w:t>
            </w:r>
            <w:r w:rsidR="00AF196A">
              <w:t>4 P</w:t>
            </w:r>
            <w:r>
              <w:t>:</w:t>
            </w:r>
            <w:r w:rsidR="00AF196A">
              <w:t>b</w:t>
            </w:r>
          </w:p>
        </w:tc>
        <w:tc>
          <w:tcPr>
            <w:tcW w:w="6396" w:type="dxa"/>
            <w:vAlign w:val="center"/>
          </w:tcPr>
          <w:p w:rsidR="00B20392" w:rsidRPr="00EF5876" w:rsidRDefault="00AF196A" w:rsidP="000478AD">
            <w:pPr>
              <w:ind w:left="284" w:hanging="284"/>
              <w:jc w:val="both"/>
            </w:pPr>
            <w:r w:rsidRPr="00EF5876">
              <w:t>b) plynovou turbínou rotujúci stroj, ktorý premieňa tepelnú energiu na mechanickú prácu; jej hlavnými strojnotechnologickými prvkami sú kompresor, spaľovacia komora, v ktorej sa palivo spaľuje na ohrev pracovného média, a turbína, vrátane plynových turbín s otvoreným, ako aj kombinovaným cyklom, a plynové turbíny v režime kombinovanej výroby, a to všetky typy, či už s dodato</w:t>
            </w:r>
            <w:r w:rsidR="000478AD" w:rsidRPr="00EF5876">
              <w:t>čným spaľovaním alebo bez neho,</w:t>
            </w: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pPr>
            <w:r w:rsidRPr="00603CC4">
              <w:t>O:13</w:t>
            </w:r>
          </w:p>
        </w:tc>
        <w:tc>
          <w:tcPr>
            <w:tcW w:w="5771" w:type="dxa"/>
            <w:vAlign w:val="center"/>
          </w:tcPr>
          <w:tbl>
            <w:tblPr>
              <w:tblW w:w="5000" w:type="pct"/>
              <w:tblCellSpacing w:w="0" w:type="dxa"/>
              <w:tblLayout w:type="fixed"/>
              <w:tblCellMar>
                <w:left w:w="0" w:type="dxa"/>
                <w:right w:w="0" w:type="dxa"/>
              </w:tblCellMar>
              <w:tblLook w:val="00A0" w:firstRow="1" w:lastRow="0" w:firstColumn="1" w:lastColumn="0" w:noHBand="0" w:noVBand="0"/>
            </w:tblPr>
            <w:tblGrid>
              <w:gridCol w:w="229"/>
              <w:gridCol w:w="5326"/>
            </w:tblGrid>
            <w:tr w:rsidR="00B20392" w:rsidRPr="00603CC4">
              <w:trPr>
                <w:tblCellSpacing w:w="0" w:type="dxa"/>
              </w:trPr>
              <w:tc>
                <w:tcPr>
                  <w:tcW w:w="279" w:type="dxa"/>
                </w:tcPr>
                <w:p w:rsidR="00B20392" w:rsidRPr="00603CC4" w:rsidRDefault="00B20392" w:rsidP="001E0DAF">
                  <w:pPr>
                    <w:spacing w:before="120" w:after="0" w:line="240" w:lineRule="auto"/>
                    <w:jc w:val="both"/>
                    <w:rPr>
                      <w:color w:val="000000"/>
                      <w:lang w:eastAsia="sk-SK"/>
                    </w:rPr>
                  </w:pPr>
                  <w:r w:rsidRPr="00603CC4">
                    <w:rPr>
                      <w:color w:val="000000"/>
                      <w:lang w:eastAsia="sk-SK"/>
                    </w:rPr>
                    <w:t>13.</w:t>
                  </w:r>
                </w:p>
              </w:tc>
              <w:tc>
                <w:tcPr>
                  <w:tcW w:w="6591" w:type="dxa"/>
                </w:tcPr>
                <w:p w:rsidR="00B20392" w:rsidRPr="00603CC4" w:rsidRDefault="00B20392" w:rsidP="001E0DAF">
                  <w:pPr>
                    <w:spacing w:before="120" w:after="0" w:line="240" w:lineRule="auto"/>
                    <w:jc w:val="both"/>
                    <w:rPr>
                      <w:color w:val="000000"/>
                      <w:lang w:eastAsia="sk-SK"/>
                    </w:rPr>
                  </w:pPr>
                  <w:r w:rsidRPr="00603CC4">
                    <w:rPr>
                      <w:color w:val="000000"/>
                      <w:lang w:eastAsia="sk-SK"/>
                    </w:rPr>
                    <w:t xml:space="preserve">„malá izolovaná sústava“ (SIS – </w:t>
                  </w:r>
                  <w:proofErr w:type="spellStart"/>
                  <w:r w:rsidRPr="00603CC4">
                    <w:rPr>
                      <w:color w:val="000000"/>
                      <w:lang w:eastAsia="sk-SK"/>
                    </w:rPr>
                    <w:t>smallisolatedsystem</w:t>
                  </w:r>
                  <w:proofErr w:type="spellEnd"/>
                  <w:r w:rsidRPr="00603CC4">
                    <w:rPr>
                      <w:color w:val="000000"/>
                      <w:lang w:eastAsia="sk-SK"/>
                    </w:rPr>
                    <w:t>) je malá izolovaná sústava v zmysle článku 2 bodu 26 smernice Európskeho parlamentu a Rady 2009/72/ES</w:t>
                  </w:r>
                  <w:hyperlink r:id="rId8" w:anchor="ntr14-L_2015313SK.01000101-E0014" w:history="1">
                    <w:r w:rsidRPr="00603CC4">
                      <w:rPr>
                        <w:color w:val="0000FF"/>
                        <w:u w:val="single"/>
                        <w:lang w:eastAsia="sk-SK"/>
                      </w:rPr>
                      <w:t xml:space="preserve"> (</w:t>
                    </w:r>
                    <w:r w:rsidRPr="00603CC4">
                      <w:rPr>
                        <w:color w:val="0000FF"/>
                        <w:u w:val="single"/>
                        <w:vertAlign w:val="superscript"/>
                        <w:lang w:eastAsia="sk-SK"/>
                      </w:rPr>
                      <w:t>14</w:t>
                    </w:r>
                    <w:r w:rsidRPr="00603CC4">
                      <w:rPr>
                        <w:color w:val="0000FF"/>
                        <w:u w:val="single"/>
                        <w:lang w:eastAsia="sk-SK"/>
                      </w:rPr>
                      <w:t>)</w:t>
                    </w:r>
                  </w:hyperlink>
                  <w:r w:rsidRPr="00603CC4">
                    <w:rPr>
                      <w:color w:val="000000"/>
                      <w:lang w:eastAsia="sk-SK"/>
                    </w:rPr>
                    <w:t>;</w:t>
                  </w:r>
                </w:p>
              </w:tc>
            </w:tr>
          </w:tbl>
          <w:p w:rsidR="00B20392" w:rsidRPr="00603CC4" w:rsidRDefault="00B20392" w:rsidP="00603CC4">
            <w:pPr>
              <w:spacing w:before="120" w:after="0" w:line="240" w:lineRule="auto"/>
              <w:jc w:val="both"/>
              <w:rPr>
                <w:color w:val="000000"/>
                <w:lang w:eastAsia="sk-SK"/>
              </w:rPr>
            </w:pPr>
          </w:p>
        </w:tc>
        <w:tc>
          <w:tcPr>
            <w:tcW w:w="397" w:type="dxa"/>
            <w:vAlign w:val="center"/>
          </w:tcPr>
          <w:p w:rsidR="00B20392" w:rsidRPr="00603CC4" w:rsidRDefault="00565E6C" w:rsidP="00603CC4">
            <w:pPr>
              <w:spacing w:after="0" w:line="240" w:lineRule="auto"/>
            </w:pPr>
            <w:r>
              <w:t>D</w:t>
            </w:r>
          </w:p>
        </w:tc>
        <w:tc>
          <w:tcPr>
            <w:tcW w:w="708" w:type="dxa"/>
            <w:vAlign w:val="center"/>
          </w:tcPr>
          <w:p w:rsidR="00B20392" w:rsidRPr="00603CC4" w:rsidRDefault="00B20392" w:rsidP="00603CC4">
            <w:pPr>
              <w:spacing w:after="0" w:line="240" w:lineRule="auto"/>
            </w:pPr>
          </w:p>
        </w:tc>
        <w:tc>
          <w:tcPr>
            <w:tcW w:w="596" w:type="dxa"/>
            <w:vAlign w:val="center"/>
          </w:tcPr>
          <w:p w:rsidR="00B20392" w:rsidRPr="00603CC4" w:rsidRDefault="00B20392" w:rsidP="00603CC4">
            <w:pPr>
              <w:spacing w:after="0" w:line="240" w:lineRule="auto"/>
            </w:pPr>
          </w:p>
        </w:tc>
        <w:tc>
          <w:tcPr>
            <w:tcW w:w="6396" w:type="dxa"/>
            <w:vAlign w:val="center"/>
          </w:tcPr>
          <w:p w:rsidR="00B20392" w:rsidRPr="00EF5876" w:rsidRDefault="00AF196A" w:rsidP="00603CC4">
            <w:pPr>
              <w:spacing w:after="0" w:line="240" w:lineRule="auto"/>
            </w:pPr>
            <w:r w:rsidRPr="00EF5876">
              <w:t>-</w:t>
            </w: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pPr>
            <w:r w:rsidRPr="00603CC4">
              <w:t>O:14</w:t>
            </w:r>
          </w:p>
        </w:tc>
        <w:tc>
          <w:tcPr>
            <w:tcW w:w="5771" w:type="dxa"/>
            <w:vAlign w:val="center"/>
          </w:tcPr>
          <w:tbl>
            <w:tblPr>
              <w:tblW w:w="5000" w:type="pct"/>
              <w:tblCellSpacing w:w="0" w:type="dxa"/>
              <w:tblLayout w:type="fixed"/>
              <w:tblCellMar>
                <w:left w:w="0" w:type="dxa"/>
                <w:right w:w="0" w:type="dxa"/>
              </w:tblCellMar>
              <w:tblLook w:val="00A0" w:firstRow="1" w:lastRow="0" w:firstColumn="1" w:lastColumn="0" w:noHBand="0" w:noVBand="0"/>
            </w:tblPr>
            <w:tblGrid>
              <w:gridCol w:w="229"/>
              <w:gridCol w:w="5326"/>
            </w:tblGrid>
            <w:tr w:rsidR="00B20392" w:rsidRPr="00603CC4">
              <w:trPr>
                <w:tblCellSpacing w:w="0" w:type="dxa"/>
              </w:trPr>
              <w:tc>
                <w:tcPr>
                  <w:tcW w:w="279" w:type="dxa"/>
                </w:tcPr>
                <w:p w:rsidR="00B20392" w:rsidRPr="00603CC4" w:rsidRDefault="00B20392" w:rsidP="001E0DAF">
                  <w:pPr>
                    <w:spacing w:before="120" w:after="0" w:line="240" w:lineRule="auto"/>
                    <w:jc w:val="both"/>
                    <w:rPr>
                      <w:color w:val="000000"/>
                      <w:lang w:eastAsia="sk-SK"/>
                    </w:rPr>
                  </w:pPr>
                  <w:r w:rsidRPr="00603CC4">
                    <w:rPr>
                      <w:color w:val="000000"/>
                      <w:lang w:eastAsia="sk-SK"/>
                    </w:rPr>
                    <w:t>14.</w:t>
                  </w:r>
                </w:p>
              </w:tc>
              <w:tc>
                <w:tcPr>
                  <w:tcW w:w="6591" w:type="dxa"/>
                </w:tcPr>
                <w:p w:rsidR="00B20392" w:rsidRPr="00603CC4" w:rsidRDefault="00B20392" w:rsidP="001E0DAF">
                  <w:pPr>
                    <w:spacing w:before="120" w:after="0" w:line="240" w:lineRule="auto"/>
                    <w:jc w:val="both"/>
                    <w:rPr>
                      <w:color w:val="000000"/>
                      <w:lang w:eastAsia="sk-SK"/>
                    </w:rPr>
                  </w:pPr>
                  <w:r w:rsidRPr="00603CC4">
                    <w:rPr>
                      <w:color w:val="000000"/>
                      <w:lang w:eastAsia="sk-SK"/>
                    </w:rPr>
                    <w:t xml:space="preserve">„izolovaná mikrosústava“ (MIS – </w:t>
                  </w:r>
                  <w:proofErr w:type="spellStart"/>
                  <w:r w:rsidRPr="00603CC4">
                    <w:rPr>
                      <w:color w:val="000000"/>
                      <w:lang w:eastAsia="sk-SK"/>
                    </w:rPr>
                    <w:t>microisolatedsystem</w:t>
                  </w:r>
                  <w:proofErr w:type="spellEnd"/>
                  <w:r w:rsidRPr="00603CC4">
                    <w:rPr>
                      <w:color w:val="000000"/>
                      <w:lang w:eastAsia="sk-SK"/>
                    </w:rPr>
                    <w:t>) je mikrosústava v zmysle článku 2 bodu 27 smernice 2009/72/ES;</w:t>
                  </w:r>
                </w:p>
              </w:tc>
            </w:tr>
          </w:tbl>
          <w:p w:rsidR="00B20392" w:rsidRPr="00603CC4" w:rsidRDefault="00B20392" w:rsidP="00603CC4">
            <w:pPr>
              <w:spacing w:before="120" w:after="0" w:line="240" w:lineRule="auto"/>
              <w:jc w:val="both"/>
              <w:rPr>
                <w:color w:val="000000"/>
                <w:lang w:eastAsia="sk-SK"/>
              </w:rPr>
            </w:pPr>
          </w:p>
        </w:tc>
        <w:tc>
          <w:tcPr>
            <w:tcW w:w="397" w:type="dxa"/>
            <w:vAlign w:val="center"/>
          </w:tcPr>
          <w:p w:rsidR="00B20392" w:rsidRPr="00603CC4" w:rsidRDefault="00565E6C" w:rsidP="00603CC4">
            <w:pPr>
              <w:spacing w:after="0" w:line="240" w:lineRule="auto"/>
            </w:pPr>
            <w:r>
              <w:t>D</w:t>
            </w:r>
          </w:p>
        </w:tc>
        <w:tc>
          <w:tcPr>
            <w:tcW w:w="708" w:type="dxa"/>
            <w:vAlign w:val="center"/>
          </w:tcPr>
          <w:p w:rsidR="00B20392" w:rsidRPr="00603CC4" w:rsidRDefault="00B20392" w:rsidP="00603CC4">
            <w:pPr>
              <w:spacing w:after="0" w:line="240" w:lineRule="auto"/>
            </w:pPr>
          </w:p>
        </w:tc>
        <w:tc>
          <w:tcPr>
            <w:tcW w:w="596" w:type="dxa"/>
            <w:vAlign w:val="center"/>
          </w:tcPr>
          <w:p w:rsidR="00B20392" w:rsidRPr="00603CC4" w:rsidRDefault="00B20392" w:rsidP="00603CC4">
            <w:pPr>
              <w:spacing w:after="0" w:line="240" w:lineRule="auto"/>
            </w:pPr>
          </w:p>
        </w:tc>
        <w:tc>
          <w:tcPr>
            <w:tcW w:w="6396" w:type="dxa"/>
            <w:vAlign w:val="center"/>
          </w:tcPr>
          <w:p w:rsidR="00B20392" w:rsidRPr="00EF5876" w:rsidRDefault="00AF196A" w:rsidP="00603CC4">
            <w:pPr>
              <w:spacing w:after="0" w:line="240" w:lineRule="auto"/>
            </w:pPr>
            <w:r w:rsidRPr="00EF5876">
              <w:t>-</w:t>
            </w: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pPr>
            <w:r w:rsidRPr="00603CC4">
              <w:t>O:15</w:t>
            </w:r>
          </w:p>
        </w:tc>
        <w:tc>
          <w:tcPr>
            <w:tcW w:w="5771" w:type="dxa"/>
            <w:vAlign w:val="center"/>
          </w:tcPr>
          <w:tbl>
            <w:tblPr>
              <w:tblW w:w="5000" w:type="pct"/>
              <w:tblCellSpacing w:w="0" w:type="dxa"/>
              <w:tblLayout w:type="fixed"/>
              <w:tblCellMar>
                <w:left w:w="0" w:type="dxa"/>
                <w:right w:w="0" w:type="dxa"/>
              </w:tblCellMar>
              <w:tblLook w:val="00A0" w:firstRow="1" w:lastRow="0" w:firstColumn="1" w:lastColumn="0" w:noHBand="0" w:noVBand="0"/>
            </w:tblPr>
            <w:tblGrid>
              <w:gridCol w:w="251"/>
              <w:gridCol w:w="5304"/>
            </w:tblGrid>
            <w:tr w:rsidR="00B20392" w:rsidRPr="00603CC4">
              <w:trPr>
                <w:tblCellSpacing w:w="0" w:type="dxa"/>
              </w:trPr>
              <w:tc>
                <w:tcPr>
                  <w:tcW w:w="306" w:type="dxa"/>
                </w:tcPr>
                <w:p w:rsidR="00B20392" w:rsidRPr="00603CC4" w:rsidRDefault="00B20392" w:rsidP="001E0DAF">
                  <w:pPr>
                    <w:spacing w:before="120" w:after="0" w:line="240" w:lineRule="auto"/>
                    <w:jc w:val="both"/>
                    <w:rPr>
                      <w:color w:val="000000"/>
                      <w:lang w:eastAsia="sk-SK"/>
                    </w:rPr>
                  </w:pPr>
                  <w:r w:rsidRPr="00603CC4">
                    <w:rPr>
                      <w:color w:val="000000"/>
                      <w:lang w:eastAsia="sk-SK"/>
                    </w:rPr>
                    <w:t>15.</w:t>
                  </w:r>
                </w:p>
              </w:tc>
              <w:tc>
                <w:tcPr>
                  <w:tcW w:w="6564" w:type="dxa"/>
                </w:tcPr>
                <w:p w:rsidR="00B20392" w:rsidRPr="00603CC4" w:rsidRDefault="00B20392" w:rsidP="001E0DAF">
                  <w:pPr>
                    <w:spacing w:before="120" w:after="0" w:line="240" w:lineRule="auto"/>
                    <w:jc w:val="both"/>
                    <w:rPr>
                      <w:color w:val="000000"/>
                      <w:lang w:eastAsia="sk-SK"/>
                    </w:rPr>
                  </w:pPr>
                  <w:r w:rsidRPr="00603CC4">
                    <w:rPr>
                      <w:color w:val="000000"/>
                      <w:lang w:eastAsia="sk-SK"/>
                    </w:rPr>
                    <w:t>„palivo“ je akýkoľvek tuhý, kvapalný alebo plynný horľavý materiál;</w:t>
                  </w:r>
                </w:p>
              </w:tc>
            </w:tr>
          </w:tbl>
          <w:p w:rsidR="00B20392" w:rsidRPr="00603CC4" w:rsidRDefault="00B20392" w:rsidP="00603CC4">
            <w:pPr>
              <w:spacing w:before="120" w:after="0" w:line="240" w:lineRule="auto"/>
              <w:jc w:val="both"/>
              <w:rPr>
                <w:color w:val="000000"/>
                <w:lang w:eastAsia="sk-SK"/>
              </w:rPr>
            </w:pPr>
          </w:p>
        </w:tc>
        <w:tc>
          <w:tcPr>
            <w:tcW w:w="397" w:type="dxa"/>
            <w:vAlign w:val="center"/>
          </w:tcPr>
          <w:p w:rsidR="00B20392" w:rsidRPr="00603CC4" w:rsidRDefault="00565E6C" w:rsidP="00603CC4">
            <w:pPr>
              <w:spacing w:after="0" w:line="240" w:lineRule="auto"/>
            </w:pPr>
            <w:r>
              <w:t>N</w:t>
            </w:r>
          </w:p>
        </w:tc>
        <w:tc>
          <w:tcPr>
            <w:tcW w:w="708" w:type="dxa"/>
            <w:vAlign w:val="center"/>
          </w:tcPr>
          <w:p w:rsidR="00B20392" w:rsidRPr="00603CC4" w:rsidRDefault="003C6CB0" w:rsidP="00603CC4">
            <w:pPr>
              <w:spacing w:after="0" w:line="240" w:lineRule="auto"/>
            </w:pPr>
            <w:r>
              <w:t>Z</w:t>
            </w:r>
          </w:p>
        </w:tc>
        <w:tc>
          <w:tcPr>
            <w:tcW w:w="596" w:type="dxa"/>
            <w:vAlign w:val="center"/>
          </w:tcPr>
          <w:p w:rsidR="00D14602" w:rsidRDefault="00D14602" w:rsidP="00D14602">
            <w:pPr>
              <w:spacing w:after="0" w:line="240" w:lineRule="auto"/>
            </w:pPr>
            <w:r>
              <w:t>§</w:t>
            </w:r>
            <w:r w:rsidR="003C6CB0">
              <w:t>: 2</w:t>
            </w:r>
          </w:p>
          <w:p w:rsidR="00B20392" w:rsidRPr="00603CC4" w:rsidRDefault="00D14602" w:rsidP="00D14602">
            <w:pPr>
              <w:spacing w:after="0" w:line="240" w:lineRule="auto"/>
            </w:pPr>
            <w:r>
              <w:t>P:</w:t>
            </w:r>
            <w:r w:rsidR="003C6CB0">
              <w:t>q</w:t>
            </w:r>
          </w:p>
        </w:tc>
        <w:tc>
          <w:tcPr>
            <w:tcW w:w="6396" w:type="dxa"/>
            <w:vAlign w:val="center"/>
          </w:tcPr>
          <w:p w:rsidR="003C6CB0" w:rsidRPr="008C67AA" w:rsidRDefault="003C6CB0" w:rsidP="008C67AA">
            <w:pPr>
              <w:pStyle w:val="Odsekzoznamu"/>
              <w:numPr>
                <w:ilvl w:val="0"/>
                <w:numId w:val="30"/>
              </w:numPr>
              <w:spacing w:after="0"/>
              <w:ind w:left="289" w:hanging="284"/>
              <w:rPr>
                <w:rFonts w:ascii="Calibri" w:eastAsia="Calibri" w:hAnsi="Calibri" w:cs="Calibri"/>
                <w:sz w:val="22"/>
                <w:szCs w:val="22"/>
              </w:rPr>
            </w:pPr>
            <w:r w:rsidRPr="008C67AA">
              <w:rPr>
                <w:rFonts w:ascii="Calibri" w:eastAsia="Calibri" w:hAnsi="Calibri" w:cs="Calibri"/>
                <w:sz w:val="22"/>
                <w:szCs w:val="22"/>
              </w:rPr>
              <w:t>palivom tuhý, kvapalný alebo plynný horľavý materiál,</w:t>
            </w:r>
          </w:p>
          <w:p w:rsidR="00B20392" w:rsidRPr="00EF5876"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pPr>
            <w:r w:rsidRPr="00603CC4">
              <w:t>O:16</w:t>
            </w:r>
          </w:p>
        </w:tc>
        <w:tc>
          <w:tcPr>
            <w:tcW w:w="5771" w:type="dxa"/>
            <w:vAlign w:val="center"/>
          </w:tcPr>
          <w:tbl>
            <w:tblPr>
              <w:tblW w:w="5000" w:type="pct"/>
              <w:tblCellSpacing w:w="0" w:type="dxa"/>
              <w:tblLayout w:type="fixed"/>
              <w:tblCellMar>
                <w:left w:w="0" w:type="dxa"/>
                <w:right w:w="0" w:type="dxa"/>
              </w:tblCellMar>
              <w:tblLook w:val="00A0" w:firstRow="1" w:lastRow="0" w:firstColumn="1" w:lastColumn="0" w:noHBand="0" w:noVBand="0"/>
            </w:tblPr>
            <w:tblGrid>
              <w:gridCol w:w="229"/>
              <w:gridCol w:w="5326"/>
            </w:tblGrid>
            <w:tr w:rsidR="00B20392" w:rsidRPr="00603CC4">
              <w:trPr>
                <w:tblCellSpacing w:w="0" w:type="dxa"/>
              </w:trPr>
              <w:tc>
                <w:tcPr>
                  <w:tcW w:w="279" w:type="dxa"/>
                </w:tcPr>
                <w:p w:rsidR="00B20392" w:rsidRPr="00603CC4" w:rsidRDefault="00B20392" w:rsidP="001E0DAF">
                  <w:pPr>
                    <w:spacing w:before="120" w:after="0" w:line="240" w:lineRule="auto"/>
                    <w:jc w:val="both"/>
                    <w:rPr>
                      <w:color w:val="000000"/>
                      <w:lang w:eastAsia="sk-SK"/>
                    </w:rPr>
                  </w:pPr>
                  <w:r w:rsidRPr="00603CC4">
                    <w:rPr>
                      <w:color w:val="000000"/>
                      <w:lang w:eastAsia="sk-SK"/>
                    </w:rPr>
                    <w:t>16.</w:t>
                  </w:r>
                </w:p>
              </w:tc>
              <w:tc>
                <w:tcPr>
                  <w:tcW w:w="6591" w:type="dxa"/>
                </w:tcPr>
                <w:p w:rsidR="00B20392" w:rsidRPr="00603CC4" w:rsidRDefault="00B20392" w:rsidP="001E0DAF">
                  <w:pPr>
                    <w:spacing w:before="120" w:after="0" w:line="240" w:lineRule="auto"/>
                    <w:jc w:val="both"/>
                    <w:rPr>
                      <w:color w:val="000000"/>
                      <w:lang w:eastAsia="sk-SK"/>
                    </w:rPr>
                  </w:pPr>
                  <w:r w:rsidRPr="00603CC4">
                    <w:rPr>
                      <w:color w:val="000000"/>
                      <w:lang w:eastAsia="sk-SK"/>
                    </w:rPr>
                    <w:t xml:space="preserve">„rafinérske palivo“ je tuhý, kvapalný alebo plynný horľavý materiál získaný z destilácie a konverzie pri rafinácii ropy vrátane rafinérskeho vykurovacieho plynu, </w:t>
                  </w:r>
                  <w:proofErr w:type="spellStart"/>
                  <w:r w:rsidRPr="00603CC4">
                    <w:rPr>
                      <w:color w:val="000000"/>
                      <w:lang w:eastAsia="sk-SK"/>
                    </w:rPr>
                    <w:t>syntéznych</w:t>
                  </w:r>
                  <w:proofErr w:type="spellEnd"/>
                  <w:r w:rsidRPr="00603CC4">
                    <w:rPr>
                      <w:color w:val="000000"/>
                      <w:lang w:eastAsia="sk-SK"/>
                    </w:rPr>
                    <w:t xml:space="preserve"> plynov, rafinérskych olejov a ropného koksu;</w:t>
                  </w:r>
                </w:p>
              </w:tc>
            </w:tr>
          </w:tbl>
          <w:p w:rsidR="00B20392" w:rsidRPr="00603CC4" w:rsidRDefault="00B20392" w:rsidP="00603CC4">
            <w:pPr>
              <w:spacing w:before="120" w:after="0" w:line="240" w:lineRule="auto"/>
              <w:jc w:val="both"/>
              <w:rPr>
                <w:color w:val="000000"/>
                <w:lang w:eastAsia="sk-SK"/>
              </w:rPr>
            </w:pPr>
          </w:p>
        </w:tc>
        <w:tc>
          <w:tcPr>
            <w:tcW w:w="397" w:type="dxa"/>
            <w:vAlign w:val="center"/>
          </w:tcPr>
          <w:p w:rsidR="00B20392" w:rsidRPr="00603CC4" w:rsidRDefault="00565E6C" w:rsidP="00603CC4">
            <w:pPr>
              <w:spacing w:after="0" w:line="240" w:lineRule="auto"/>
            </w:pPr>
            <w:r>
              <w:t>N</w:t>
            </w:r>
          </w:p>
        </w:tc>
        <w:tc>
          <w:tcPr>
            <w:tcW w:w="708" w:type="dxa"/>
            <w:vAlign w:val="center"/>
          </w:tcPr>
          <w:p w:rsidR="00B20392" w:rsidRPr="00603CC4" w:rsidRDefault="000478AD" w:rsidP="00603CC4">
            <w:pPr>
              <w:spacing w:after="0" w:line="240" w:lineRule="auto"/>
            </w:pPr>
            <w:r>
              <w:t>N410</w:t>
            </w:r>
          </w:p>
        </w:tc>
        <w:tc>
          <w:tcPr>
            <w:tcW w:w="596" w:type="dxa"/>
            <w:vAlign w:val="center"/>
          </w:tcPr>
          <w:p w:rsidR="00AF196A" w:rsidRDefault="00D14602" w:rsidP="00603CC4">
            <w:pPr>
              <w:spacing w:after="0" w:line="240" w:lineRule="auto"/>
            </w:pPr>
            <w:r>
              <w:t>§:</w:t>
            </w:r>
            <w:r w:rsidR="00AF196A">
              <w:t>8 O:4</w:t>
            </w:r>
          </w:p>
          <w:p w:rsidR="00B20392" w:rsidRPr="00603CC4" w:rsidRDefault="00D14602" w:rsidP="00D14602">
            <w:pPr>
              <w:spacing w:after="0" w:line="240" w:lineRule="auto"/>
            </w:pPr>
            <w:r>
              <w:t>P:</w:t>
            </w:r>
            <w:r w:rsidR="00AF196A">
              <w:t>p</w:t>
            </w:r>
          </w:p>
        </w:tc>
        <w:tc>
          <w:tcPr>
            <w:tcW w:w="6396" w:type="dxa"/>
            <w:vAlign w:val="center"/>
          </w:tcPr>
          <w:p w:rsidR="00B20392" w:rsidRPr="007D7E3B" w:rsidRDefault="00AF196A" w:rsidP="007D7E3B">
            <w:pPr>
              <w:spacing w:after="0"/>
              <w:ind w:left="284" w:hanging="284"/>
              <w:jc w:val="both"/>
            </w:pPr>
            <w:r w:rsidRPr="00EF5876">
              <w:t xml:space="preserve">p) rafinérskym palivom je tuhý, kvapalný alebo plynný horľavý materiál získaný z destilácie a konverzie pri rafinácii ropy vrátane rafinérskeho vykurovacieho plynu, </w:t>
            </w:r>
            <w:proofErr w:type="spellStart"/>
            <w:r w:rsidRPr="00EF5876">
              <w:t>syntéznych</w:t>
            </w:r>
            <w:proofErr w:type="spellEnd"/>
            <w:r w:rsidRPr="00EF5876">
              <w:t xml:space="preserve"> plynov, rafi</w:t>
            </w:r>
            <w:r w:rsidR="007D7E3B">
              <w:t>nérskych olejov a ropného koksu</w:t>
            </w: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pPr>
            <w:r w:rsidRPr="00603CC4">
              <w:t>O:17</w:t>
            </w:r>
          </w:p>
        </w:tc>
        <w:tc>
          <w:tcPr>
            <w:tcW w:w="5771" w:type="dxa"/>
            <w:vAlign w:val="center"/>
          </w:tcPr>
          <w:tbl>
            <w:tblPr>
              <w:tblW w:w="5000" w:type="pct"/>
              <w:tblCellSpacing w:w="0" w:type="dxa"/>
              <w:tblLayout w:type="fixed"/>
              <w:tblCellMar>
                <w:left w:w="0" w:type="dxa"/>
                <w:right w:w="0" w:type="dxa"/>
              </w:tblCellMar>
              <w:tblLook w:val="00A0" w:firstRow="1" w:lastRow="0" w:firstColumn="1" w:lastColumn="0" w:noHBand="0" w:noVBand="0"/>
            </w:tblPr>
            <w:tblGrid>
              <w:gridCol w:w="229"/>
              <w:gridCol w:w="5326"/>
            </w:tblGrid>
            <w:tr w:rsidR="00B20392" w:rsidRPr="00603CC4">
              <w:trPr>
                <w:tblCellSpacing w:w="0" w:type="dxa"/>
              </w:trPr>
              <w:tc>
                <w:tcPr>
                  <w:tcW w:w="279" w:type="dxa"/>
                </w:tcPr>
                <w:p w:rsidR="00B20392" w:rsidRPr="00603CC4" w:rsidRDefault="00B20392" w:rsidP="001E0DAF">
                  <w:pPr>
                    <w:spacing w:before="120" w:after="0" w:line="240" w:lineRule="auto"/>
                    <w:jc w:val="both"/>
                    <w:rPr>
                      <w:color w:val="000000"/>
                      <w:lang w:eastAsia="sk-SK"/>
                    </w:rPr>
                  </w:pPr>
                  <w:r w:rsidRPr="00603CC4">
                    <w:rPr>
                      <w:color w:val="000000"/>
                      <w:lang w:eastAsia="sk-SK"/>
                    </w:rPr>
                    <w:t>17.</w:t>
                  </w:r>
                </w:p>
              </w:tc>
              <w:tc>
                <w:tcPr>
                  <w:tcW w:w="6591" w:type="dxa"/>
                </w:tcPr>
                <w:p w:rsidR="00B20392" w:rsidRPr="00603CC4" w:rsidRDefault="00B20392" w:rsidP="001E0DAF">
                  <w:pPr>
                    <w:spacing w:before="120" w:after="0" w:line="240" w:lineRule="auto"/>
                    <w:jc w:val="both"/>
                    <w:rPr>
                      <w:color w:val="000000"/>
                      <w:lang w:eastAsia="sk-SK"/>
                    </w:rPr>
                  </w:pPr>
                  <w:r w:rsidRPr="00603CC4">
                    <w:rPr>
                      <w:color w:val="000000"/>
                      <w:lang w:eastAsia="sk-SK"/>
                    </w:rPr>
                    <w:t>„odpad“ je odpad vymedzený v článku 3 bode 1 smernice Európskeho parlamentu a Rady 2008/98/ES</w:t>
                  </w:r>
                  <w:hyperlink r:id="rId9" w:anchor="ntr15-L_2015313SK.01000101-E0015" w:history="1">
                    <w:r w:rsidRPr="00603CC4">
                      <w:rPr>
                        <w:color w:val="0000FF"/>
                        <w:u w:val="single"/>
                        <w:lang w:eastAsia="sk-SK"/>
                      </w:rPr>
                      <w:t xml:space="preserve"> (</w:t>
                    </w:r>
                    <w:r w:rsidRPr="00603CC4">
                      <w:rPr>
                        <w:color w:val="0000FF"/>
                        <w:u w:val="single"/>
                        <w:vertAlign w:val="superscript"/>
                        <w:lang w:eastAsia="sk-SK"/>
                      </w:rPr>
                      <w:t>15</w:t>
                    </w:r>
                    <w:r w:rsidRPr="00603CC4">
                      <w:rPr>
                        <w:color w:val="0000FF"/>
                        <w:u w:val="single"/>
                        <w:lang w:eastAsia="sk-SK"/>
                      </w:rPr>
                      <w:t>)</w:t>
                    </w:r>
                  </w:hyperlink>
                  <w:r w:rsidRPr="00603CC4">
                    <w:rPr>
                      <w:color w:val="000000"/>
                      <w:lang w:eastAsia="sk-SK"/>
                    </w:rPr>
                    <w:t>;</w:t>
                  </w:r>
                </w:p>
              </w:tc>
            </w:tr>
          </w:tbl>
          <w:p w:rsidR="00B20392" w:rsidRPr="00603CC4" w:rsidRDefault="00B20392" w:rsidP="00603CC4">
            <w:pPr>
              <w:spacing w:before="120" w:after="0" w:line="240" w:lineRule="auto"/>
              <w:jc w:val="both"/>
              <w:rPr>
                <w:color w:val="000000"/>
                <w:lang w:eastAsia="sk-SK"/>
              </w:rPr>
            </w:pPr>
          </w:p>
        </w:tc>
        <w:tc>
          <w:tcPr>
            <w:tcW w:w="397" w:type="dxa"/>
            <w:vAlign w:val="center"/>
          </w:tcPr>
          <w:p w:rsidR="00B20392" w:rsidRPr="00603CC4" w:rsidRDefault="00565E6C" w:rsidP="00603CC4">
            <w:pPr>
              <w:spacing w:after="0" w:line="240" w:lineRule="auto"/>
            </w:pPr>
            <w:r>
              <w:t>N</w:t>
            </w:r>
          </w:p>
        </w:tc>
        <w:tc>
          <w:tcPr>
            <w:tcW w:w="708" w:type="dxa"/>
            <w:vAlign w:val="center"/>
          </w:tcPr>
          <w:p w:rsidR="00B20392" w:rsidRPr="00603CC4" w:rsidRDefault="000478AD" w:rsidP="00603CC4">
            <w:pPr>
              <w:spacing w:after="0" w:line="240" w:lineRule="auto"/>
            </w:pPr>
            <w:r>
              <w:t>N410</w:t>
            </w:r>
          </w:p>
        </w:tc>
        <w:tc>
          <w:tcPr>
            <w:tcW w:w="596" w:type="dxa"/>
            <w:vAlign w:val="center"/>
          </w:tcPr>
          <w:p w:rsidR="00D14602" w:rsidRDefault="00D14602" w:rsidP="00D14602">
            <w:pPr>
              <w:spacing w:after="0" w:line="240" w:lineRule="auto"/>
            </w:pPr>
            <w:r>
              <w:t xml:space="preserve">§:2 </w:t>
            </w:r>
          </w:p>
          <w:p w:rsidR="00B20392" w:rsidRPr="00603CC4" w:rsidRDefault="00D14602" w:rsidP="00D14602">
            <w:pPr>
              <w:spacing w:after="0" w:line="240" w:lineRule="auto"/>
            </w:pPr>
            <w:r>
              <w:t>P:</w:t>
            </w:r>
            <w:r w:rsidR="00DD75FE">
              <w:t>l</w:t>
            </w:r>
          </w:p>
        </w:tc>
        <w:tc>
          <w:tcPr>
            <w:tcW w:w="6396" w:type="dxa"/>
            <w:vAlign w:val="center"/>
          </w:tcPr>
          <w:p w:rsidR="00DD75FE" w:rsidRPr="00EF5876" w:rsidRDefault="00DD75FE" w:rsidP="00DD75FE">
            <w:pPr>
              <w:ind w:left="142" w:hanging="142"/>
              <w:jc w:val="both"/>
            </w:pPr>
            <w:r w:rsidRPr="00EF5876">
              <w:t>l) odpadom odpad vymedzený osobitným predpisom.</w:t>
            </w:r>
            <w:r w:rsidR="000F5D9B" w:rsidRPr="007D7E3B">
              <w:t>1a</w:t>
            </w:r>
            <w:r w:rsidR="000F5D9B" w:rsidRPr="00EF5876">
              <w:t>)</w:t>
            </w:r>
          </w:p>
          <w:p w:rsidR="00B20392" w:rsidRPr="00EF5876" w:rsidRDefault="000F5D9B" w:rsidP="007D7E3B">
            <w:pPr>
              <w:spacing w:after="0"/>
              <w:ind w:firstLine="142"/>
            </w:pPr>
            <w:r w:rsidRPr="007D7E3B">
              <w:t>1a) § 2 zákona č. 79/2015 Z. z. o odpadoch a o zmene a doplnení niektorých zákonov v znení neskorších predpisov.</w:t>
            </w: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pPr>
            <w:r w:rsidRPr="00603CC4">
              <w:t>O:18</w:t>
            </w:r>
          </w:p>
        </w:tc>
        <w:tc>
          <w:tcPr>
            <w:tcW w:w="5771" w:type="dxa"/>
            <w:vAlign w:val="center"/>
          </w:tcPr>
          <w:tbl>
            <w:tblPr>
              <w:tblW w:w="5000" w:type="pct"/>
              <w:tblCellSpacing w:w="0" w:type="dxa"/>
              <w:tblLayout w:type="fixed"/>
              <w:tblCellMar>
                <w:left w:w="0" w:type="dxa"/>
                <w:right w:w="0" w:type="dxa"/>
              </w:tblCellMar>
              <w:tblLook w:val="00A0" w:firstRow="1" w:lastRow="0" w:firstColumn="1" w:lastColumn="0" w:noHBand="0" w:noVBand="0"/>
            </w:tblPr>
            <w:tblGrid>
              <w:gridCol w:w="390"/>
              <w:gridCol w:w="5165"/>
            </w:tblGrid>
            <w:tr w:rsidR="00B20392" w:rsidRPr="00603CC4" w:rsidTr="008C67AA">
              <w:trPr>
                <w:tblCellSpacing w:w="0" w:type="dxa"/>
              </w:trPr>
              <w:tc>
                <w:tcPr>
                  <w:tcW w:w="390" w:type="dxa"/>
                </w:tcPr>
                <w:p w:rsidR="00B20392" w:rsidRPr="00603CC4" w:rsidRDefault="00B20392" w:rsidP="001E0DAF">
                  <w:pPr>
                    <w:spacing w:before="120" w:after="0" w:line="240" w:lineRule="auto"/>
                    <w:jc w:val="both"/>
                    <w:rPr>
                      <w:color w:val="000000"/>
                      <w:lang w:eastAsia="sk-SK"/>
                    </w:rPr>
                  </w:pPr>
                  <w:r w:rsidRPr="00603CC4">
                    <w:rPr>
                      <w:color w:val="000000"/>
                      <w:lang w:eastAsia="sk-SK"/>
                    </w:rPr>
                    <w:t>18.</w:t>
                  </w:r>
                </w:p>
              </w:tc>
              <w:tc>
                <w:tcPr>
                  <w:tcW w:w="5165" w:type="dxa"/>
                </w:tcPr>
                <w:p w:rsidR="00B20392" w:rsidRPr="00603CC4" w:rsidRDefault="00B20392" w:rsidP="00EE10DB">
                  <w:pPr>
                    <w:spacing w:after="0" w:line="240" w:lineRule="auto"/>
                    <w:jc w:val="both"/>
                    <w:rPr>
                      <w:color w:val="000000"/>
                      <w:lang w:eastAsia="sk-SK"/>
                    </w:rPr>
                  </w:pPr>
                  <w:r w:rsidRPr="00603CC4">
                    <w:rPr>
                      <w:color w:val="000000"/>
                      <w:lang w:eastAsia="sk-SK"/>
                    </w:rPr>
                    <w:t>„biomasa“ sú:</w:t>
                  </w:r>
                </w:p>
                <w:tbl>
                  <w:tblPr>
                    <w:tblW w:w="5344" w:type="dxa"/>
                    <w:tblCellSpacing w:w="0" w:type="dxa"/>
                    <w:tblLayout w:type="fixed"/>
                    <w:tblCellMar>
                      <w:left w:w="0" w:type="dxa"/>
                      <w:right w:w="0" w:type="dxa"/>
                    </w:tblCellMar>
                    <w:tblLook w:val="00A0" w:firstRow="1" w:lastRow="0" w:firstColumn="1" w:lastColumn="0" w:noHBand="0" w:noVBand="0"/>
                  </w:tblPr>
                  <w:tblGrid>
                    <w:gridCol w:w="161"/>
                    <w:gridCol w:w="5183"/>
                  </w:tblGrid>
                  <w:tr w:rsidR="00B20392" w:rsidRPr="00603CC4" w:rsidTr="008C67AA">
                    <w:trPr>
                      <w:tblCellSpacing w:w="0" w:type="dxa"/>
                    </w:trPr>
                    <w:tc>
                      <w:tcPr>
                        <w:tcW w:w="161" w:type="dxa"/>
                      </w:tcPr>
                      <w:p w:rsidR="00B20392" w:rsidRPr="00603CC4" w:rsidRDefault="00B20392" w:rsidP="00EE10DB">
                        <w:pPr>
                          <w:spacing w:after="0" w:line="240" w:lineRule="auto"/>
                          <w:ind w:left="-406" w:right="-973" w:firstLine="1"/>
                          <w:jc w:val="both"/>
                          <w:rPr>
                            <w:color w:val="000000"/>
                            <w:lang w:eastAsia="sk-SK"/>
                          </w:rPr>
                        </w:pPr>
                        <w:r w:rsidRPr="00603CC4">
                          <w:rPr>
                            <w:color w:val="000000"/>
                            <w:lang w:eastAsia="sk-SK"/>
                          </w:rPr>
                          <w:t>a</w:t>
                        </w:r>
                        <w:r w:rsidR="008C67AA">
                          <w:rPr>
                            <w:color w:val="000000"/>
                            <w:lang w:eastAsia="sk-SK"/>
                          </w:rPr>
                          <w:t>)</w:t>
                        </w:r>
                      </w:p>
                    </w:tc>
                    <w:tc>
                      <w:tcPr>
                        <w:tcW w:w="5183" w:type="dxa"/>
                      </w:tcPr>
                      <w:p w:rsidR="00B20392" w:rsidRPr="00603CC4" w:rsidRDefault="00EE10DB" w:rsidP="00EE10DB">
                        <w:pPr>
                          <w:spacing w:after="0" w:line="240" w:lineRule="auto"/>
                          <w:ind w:right="241"/>
                          <w:jc w:val="both"/>
                          <w:rPr>
                            <w:color w:val="000000"/>
                            <w:lang w:eastAsia="sk-SK"/>
                          </w:rPr>
                        </w:pPr>
                        <w:r>
                          <w:rPr>
                            <w:color w:val="000000"/>
                            <w:lang w:eastAsia="sk-SK"/>
                          </w:rPr>
                          <w:t>a)</w:t>
                        </w:r>
                        <w:r w:rsidR="00B20392" w:rsidRPr="00603CC4">
                          <w:rPr>
                            <w:color w:val="000000"/>
                            <w:lang w:eastAsia="sk-SK"/>
                          </w:rPr>
                          <w:t>výrobky pozostávajúc</w:t>
                        </w:r>
                        <w:r w:rsidR="008C67AA">
                          <w:rPr>
                            <w:color w:val="000000"/>
                            <w:lang w:eastAsia="sk-SK"/>
                          </w:rPr>
                          <w:t xml:space="preserve">e z akejkoľvek rastlinnej hmoty </w:t>
                        </w:r>
                        <w:r w:rsidR="00B20392" w:rsidRPr="00603CC4">
                          <w:rPr>
                            <w:color w:val="000000"/>
                            <w:lang w:eastAsia="sk-SK"/>
                          </w:rPr>
                          <w:t xml:space="preserve">pochádzajúcej z poľnohospodárstva alebo lesníctva, </w:t>
                        </w:r>
                        <w:r w:rsidR="00B20392" w:rsidRPr="00603CC4">
                          <w:rPr>
                            <w:color w:val="000000"/>
                            <w:lang w:eastAsia="sk-SK"/>
                          </w:rPr>
                          <w:lastRenderedPageBreak/>
                          <w:t>ktorá sa môže použiť ako palivo na účely zhodnotenia jej energetického obsahu;</w:t>
                        </w:r>
                      </w:p>
                    </w:tc>
                  </w:tr>
                </w:tbl>
                <w:p w:rsidR="00B20392" w:rsidRPr="00603CC4" w:rsidRDefault="00B20392" w:rsidP="00EE10DB">
                  <w:pPr>
                    <w:spacing w:after="0" w:line="240" w:lineRule="auto"/>
                    <w:rPr>
                      <w:vanish/>
                      <w:color w:val="000000"/>
                      <w:lang w:eastAsia="sk-SK"/>
                    </w:rPr>
                  </w:pPr>
                </w:p>
                <w:tbl>
                  <w:tblPr>
                    <w:tblW w:w="5000" w:type="pct"/>
                    <w:tblCellSpacing w:w="0" w:type="dxa"/>
                    <w:tblLayout w:type="fixed"/>
                    <w:tblCellMar>
                      <w:left w:w="0" w:type="dxa"/>
                      <w:right w:w="0" w:type="dxa"/>
                    </w:tblCellMar>
                    <w:tblLook w:val="00A0" w:firstRow="1" w:lastRow="0" w:firstColumn="1" w:lastColumn="0" w:noHBand="0" w:noVBand="0"/>
                  </w:tblPr>
                  <w:tblGrid>
                    <w:gridCol w:w="283"/>
                    <w:gridCol w:w="4882"/>
                  </w:tblGrid>
                  <w:tr w:rsidR="00B20392" w:rsidRPr="00603CC4" w:rsidTr="00EE10DB">
                    <w:trPr>
                      <w:tblCellSpacing w:w="0" w:type="dxa"/>
                    </w:trPr>
                    <w:tc>
                      <w:tcPr>
                        <w:tcW w:w="283" w:type="dxa"/>
                      </w:tcPr>
                      <w:p w:rsidR="00B20392" w:rsidRPr="00603CC4" w:rsidRDefault="00EE10DB" w:rsidP="00EE10DB">
                        <w:pPr>
                          <w:spacing w:after="0" w:line="240" w:lineRule="auto"/>
                          <w:jc w:val="both"/>
                          <w:rPr>
                            <w:color w:val="000000"/>
                            <w:lang w:eastAsia="sk-SK"/>
                          </w:rPr>
                        </w:pPr>
                        <w:r>
                          <w:rPr>
                            <w:color w:val="000000"/>
                            <w:lang w:eastAsia="sk-SK"/>
                          </w:rPr>
                          <w:t>b</w:t>
                        </w:r>
                      </w:p>
                    </w:tc>
                    <w:tc>
                      <w:tcPr>
                        <w:tcW w:w="4882" w:type="dxa"/>
                      </w:tcPr>
                      <w:p w:rsidR="00B20392" w:rsidRPr="00603CC4" w:rsidRDefault="00EE10DB" w:rsidP="00EE10DB">
                        <w:pPr>
                          <w:spacing w:after="0" w:line="240" w:lineRule="auto"/>
                          <w:jc w:val="both"/>
                          <w:rPr>
                            <w:color w:val="000000"/>
                            <w:lang w:eastAsia="sk-SK"/>
                          </w:rPr>
                        </w:pPr>
                        <w:r>
                          <w:rPr>
                            <w:color w:val="000000"/>
                            <w:lang w:eastAsia="sk-SK"/>
                          </w:rPr>
                          <w:t>)</w:t>
                        </w:r>
                        <w:r w:rsidR="00B20392" w:rsidRPr="00603CC4">
                          <w:rPr>
                            <w:color w:val="000000"/>
                            <w:lang w:eastAsia="sk-SK"/>
                          </w:rPr>
                          <w:t>nasledujúci odpad:</w:t>
                        </w:r>
                      </w:p>
                      <w:tbl>
                        <w:tblPr>
                          <w:tblW w:w="5000" w:type="pct"/>
                          <w:tblCellSpacing w:w="0" w:type="dxa"/>
                          <w:tblLayout w:type="fixed"/>
                          <w:tblCellMar>
                            <w:left w:w="0" w:type="dxa"/>
                            <w:right w:w="0" w:type="dxa"/>
                          </w:tblCellMar>
                          <w:tblLook w:val="00A0" w:firstRow="1" w:lastRow="0" w:firstColumn="1" w:lastColumn="0" w:noHBand="0" w:noVBand="0"/>
                        </w:tblPr>
                        <w:tblGrid>
                          <w:gridCol w:w="133"/>
                          <w:gridCol w:w="4749"/>
                        </w:tblGrid>
                        <w:tr w:rsidR="00B20392" w:rsidRPr="00603CC4">
                          <w:trPr>
                            <w:tblCellSpacing w:w="0" w:type="dxa"/>
                          </w:trPr>
                          <w:tc>
                            <w:tcPr>
                              <w:tcW w:w="169" w:type="dxa"/>
                            </w:tcPr>
                            <w:p w:rsidR="00B20392" w:rsidRPr="00603CC4" w:rsidRDefault="00B20392" w:rsidP="00EE10DB">
                              <w:pPr>
                                <w:spacing w:after="0" w:line="240" w:lineRule="auto"/>
                                <w:jc w:val="both"/>
                                <w:rPr>
                                  <w:color w:val="000000"/>
                                  <w:lang w:eastAsia="sk-SK"/>
                                </w:rPr>
                              </w:pPr>
                              <w:r w:rsidRPr="00603CC4">
                                <w:rPr>
                                  <w:color w:val="000000"/>
                                  <w:lang w:eastAsia="sk-SK"/>
                                </w:rPr>
                                <w:t>i)</w:t>
                              </w:r>
                            </w:p>
                          </w:tc>
                          <w:tc>
                            <w:tcPr>
                              <w:tcW w:w="6239" w:type="dxa"/>
                            </w:tcPr>
                            <w:p w:rsidR="00B20392" w:rsidRPr="00603CC4" w:rsidRDefault="00B20392" w:rsidP="00EE10DB">
                              <w:pPr>
                                <w:spacing w:after="0" w:line="240" w:lineRule="auto"/>
                                <w:jc w:val="both"/>
                                <w:rPr>
                                  <w:color w:val="000000"/>
                                  <w:lang w:eastAsia="sk-SK"/>
                                </w:rPr>
                              </w:pPr>
                              <w:r w:rsidRPr="00603CC4">
                                <w:rPr>
                                  <w:color w:val="000000"/>
                                  <w:lang w:eastAsia="sk-SK"/>
                                </w:rPr>
                                <w:t>rastlinný odpad z poľnohospodárstva a lesníctva;</w:t>
                              </w:r>
                            </w:p>
                          </w:tc>
                        </w:tr>
                      </w:tbl>
                      <w:p w:rsidR="00B20392" w:rsidRPr="00603CC4" w:rsidRDefault="00B20392" w:rsidP="00EE10DB">
                        <w:pPr>
                          <w:spacing w:after="0" w:line="240" w:lineRule="auto"/>
                          <w:rPr>
                            <w:vanish/>
                            <w:color w:val="000000"/>
                            <w:lang w:eastAsia="sk-SK"/>
                          </w:rPr>
                        </w:pPr>
                      </w:p>
                      <w:tbl>
                        <w:tblPr>
                          <w:tblW w:w="5000" w:type="pct"/>
                          <w:tblCellSpacing w:w="0" w:type="dxa"/>
                          <w:tblLayout w:type="fixed"/>
                          <w:tblCellMar>
                            <w:left w:w="0" w:type="dxa"/>
                            <w:right w:w="0" w:type="dxa"/>
                          </w:tblCellMar>
                          <w:tblLook w:val="00A0" w:firstRow="1" w:lastRow="0" w:firstColumn="1" w:lastColumn="0" w:noHBand="0" w:noVBand="0"/>
                        </w:tblPr>
                        <w:tblGrid>
                          <w:gridCol w:w="133"/>
                          <w:gridCol w:w="4749"/>
                        </w:tblGrid>
                        <w:tr w:rsidR="00B20392" w:rsidRPr="00603CC4">
                          <w:trPr>
                            <w:tblCellSpacing w:w="0" w:type="dxa"/>
                          </w:trPr>
                          <w:tc>
                            <w:tcPr>
                              <w:tcW w:w="168" w:type="dxa"/>
                            </w:tcPr>
                            <w:p w:rsidR="00B20392" w:rsidRPr="00603CC4" w:rsidRDefault="00EE10DB" w:rsidP="00EE10DB">
                              <w:pPr>
                                <w:spacing w:after="0" w:line="240" w:lineRule="auto"/>
                                <w:jc w:val="both"/>
                                <w:rPr>
                                  <w:color w:val="000000"/>
                                  <w:lang w:eastAsia="sk-SK"/>
                                </w:rPr>
                              </w:pPr>
                              <w:r>
                                <w:rPr>
                                  <w:color w:val="000000"/>
                                  <w:lang w:eastAsia="sk-SK"/>
                                </w:rPr>
                                <w:t>ii</w:t>
                              </w:r>
                            </w:p>
                          </w:tc>
                          <w:tc>
                            <w:tcPr>
                              <w:tcW w:w="6240" w:type="dxa"/>
                            </w:tcPr>
                            <w:p w:rsidR="00B20392" w:rsidRPr="00603CC4" w:rsidRDefault="00EE10DB" w:rsidP="00EE10DB">
                              <w:pPr>
                                <w:spacing w:after="0" w:line="240" w:lineRule="auto"/>
                                <w:jc w:val="both"/>
                                <w:rPr>
                                  <w:color w:val="000000"/>
                                  <w:lang w:eastAsia="sk-SK"/>
                                </w:rPr>
                              </w:pPr>
                              <w:r>
                                <w:rPr>
                                  <w:color w:val="000000"/>
                                  <w:lang w:eastAsia="sk-SK"/>
                                </w:rPr>
                                <w:t>)</w:t>
                              </w:r>
                              <w:r w:rsidR="00B20392" w:rsidRPr="00603CC4">
                                <w:rPr>
                                  <w:color w:val="000000"/>
                                  <w:lang w:eastAsia="sk-SK"/>
                                </w:rPr>
                                <w:t>rastlinný odpad z p</w:t>
                              </w:r>
                              <w:r>
                                <w:rPr>
                                  <w:color w:val="000000"/>
                                  <w:lang w:eastAsia="sk-SK"/>
                                </w:rPr>
                                <w:t xml:space="preserve">otravinárskeho priemyslu, ak sa </w:t>
                              </w:r>
                              <w:r w:rsidR="00B20392" w:rsidRPr="00603CC4">
                                <w:rPr>
                                  <w:color w:val="000000"/>
                                  <w:lang w:eastAsia="sk-SK"/>
                                </w:rPr>
                                <w:t>zhodnotí získané teplo;</w:t>
                              </w:r>
                            </w:p>
                          </w:tc>
                        </w:tr>
                      </w:tbl>
                      <w:p w:rsidR="00B20392" w:rsidRPr="00603CC4" w:rsidRDefault="00B20392" w:rsidP="00EE10DB">
                        <w:pPr>
                          <w:spacing w:after="0" w:line="240" w:lineRule="auto"/>
                          <w:rPr>
                            <w:vanish/>
                            <w:color w:val="000000"/>
                            <w:lang w:eastAsia="sk-SK"/>
                          </w:rPr>
                        </w:pPr>
                      </w:p>
                      <w:tbl>
                        <w:tblPr>
                          <w:tblW w:w="5000" w:type="pct"/>
                          <w:tblCellSpacing w:w="0" w:type="dxa"/>
                          <w:tblLayout w:type="fixed"/>
                          <w:tblCellMar>
                            <w:left w:w="0" w:type="dxa"/>
                            <w:right w:w="0" w:type="dxa"/>
                          </w:tblCellMar>
                          <w:tblLook w:val="00A0" w:firstRow="1" w:lastRow="0" w:firstColumn="1" w:lastColumn="0" w:noHBand="0" w:noVBand="0"/>
                        </w:tblPr>
                        <w:tblGrid>
                          <w:gridCol w:w="171"/>
                          <w:gridCol w:w="4711"/>
                        </w:tblGrid>
                        <w:tr w:rsidR="00B20392" w:rsidRPr="00603CC4">
                          <w:trPr>
                            <w:tblCellSpacing w:w="0" w:type="dxa"/>
                          </w:trPr>
                          <w:tc>
                            <w:tcPr>
                              <w:tcW w:w="219" w:type="dxa"/>
                            </w:tcPr>
                            <w:p w:rsidR="00B20392" w:rsidRPr="00603CC4" w:rsidRDefault="00EE10DB" w:rsidP="00EE10DB">
                              <w:pPr>
                                <w:spacing w:after="0" w:line="240" w:lineRule="auto"/>
                                <w:jc w:val="both"/>
                                <w:rPr>
                                  <w:color w:val="000000"/>
                                  <w:lang w:eastAsia="sk-SK"/>
                                </w:rPr>
                              </w:pPr>
                              <w:r>
                                <w:rPr>
                                  <w:color w:val="000000"/>
                                  <w:lang w:eastAsia="sk-SK"/>
                                </w:rPr>
                                <w:t>iii</w:t>
                              </w:r>
                            </w:p>
                          </w:tc>
                          <w:tc>
                            <w:tcPr>
                              <w:tcW w:w="6189" w:type="dxa"/>
                            </w:tcPr>
                            <w:p w:rsidR="00B20392" w:rsidRPr="00603CC4" w:rsidRDefault="00EE10DB" w:rsidP="00EE10DB">
                              <w:pPr>
                                <w:spacing w:after="0" w:line="240" w:lineRule="auto"/>
                                <w:jc w:val="both"/>
                                <w:rPr>
                                  <w:color w:val="000000"/>
                                  <w:lang w:eastAsia="sk-SK"/>
                                </w:rPr>
                              </w:pPr>
                              <w:r>
                                <w:rPr>
                                  <w:color w:val="000000"/>
                                  <w:lang w:eastAsia="sk-SK"/>
                                </w:rPr>
                                <w:t>)</w:t>
                              </w:r>
                              <w:r w:rsidR="00B20392" w:rsidRPr="00603CC4">
                                <w:rPr>
                                  <w:color w:val="000000"/>
                                  <w:lang w:eastAsia="sk-SK"/>
                                </w:rPr>
                                <w:t>vláknitý rastlinný odpad z výroby buničiny a z výroby papiera z celulózy, ak sa spoluspaľuje na mieste výroby a vytvorené teplo sa zhodnocuje;</w:t>
                              </w:r>
                            </w:p>
                          </w:tc>
                        </w:tr>
                      </w:tbl>
                      <w:p w:rsidR="00B20392" w:rsidRPr="00603CC4" w:rsidRDefault="00B20392" w:rsidP="00EE10DB">
                        <w:pPr>
                          <w:spacing w:after="0" w:line="240" w:lineRule="auto"/>
                          <w:rPr>
                            <w:vanish/>
                            <w:color w:val="000000"/>
                            <w:lang w:eastAsia="sk-SK"/>
                          </w:rPr>
                        </w:pPr>
                      </w:p>
                      <w:tbl>
                        <w:tblPr>
                          <w:tblW w:w="5000" w:type="pct"/>
                          <w:tblCellSpacing w:w="0" w:type="dxa"/>
                          <w:tblLayout w:type="fixed"/>
                          <w:tblCellMar>
                            <w:left w:w="0" w:type="dxa"/>
                            <w:right w:w="0" w:type="dxa"/>
                          </w:tblCellMar>
                          <w:tblLook w:val="00A0" w:firstRow="1" w:lastRow="0" w:firstColumn="1" w:lastColumn="0" w:noHBand="0" w:noVBand="0"/>
                        </w:tblPr>
                        <w:tblGrid>
                          <w:gridCol w:w="665"/>
                          <w:gridCol w:w="4217"/>
                        </w:tblGrid>
                        <w:tr w:rsidR="00B20392" w:rsidRPr="00603CC4">
                          <w:trPr>
                            <w:tblCellSpacing w:w="0" w:type="dxa"/>
                          </w:trPr>
                          <w:tc>
                            <w:tcPr>
                              <w:tcW w:w="868" w:type="dxa"/>
                            </w:tcPr>
                            <w:p w:rsidR="00B20392" w:rsidRPr="00603CC4" w:rsidRDefault="00B20392" w:rsidP="00EE10DB">
                              <w:pPr>
                                <w:spacing w:after="0" w:line="240" w:lineRule="auto"/>
                                <w:jc w:val="both"/>
                                <w:rPr>
                                  <w:color w:val="000000"/>
                                  <w:lang w:eastAsia="sk-SK"/>
                                </w:rPr>
                              </w:pPr>
                              <w:r w:rsidRPr="00603CC4">
                                <w:rPr>
                                  <w:color w:val="000000"/>
                                  <w:lang w:eastAsia="sk-SK"/>
                                </w:rPr>
                                <w:t>iv)</w:t>
                              </w:r>
                            </w:p>
                          </w:tc>
                          <w:tc>
                            <w:tcPr>
                              <w:tcW w:w="5540" w:type="dxa"/>
                            </w:tcPr>
                            <w:p w:rsidR="00B20392" w:rsidRPr="00603CC4" w:rsidRDefault="00B20392" w:rsidP="00EE10DB">
                              <w:pPr>
                                <w:spacing w:after="0" w:line="240" w:lineRule="auto"/>
                                <w:jc w:val="both"/>
                                <w:rPr>
                                  <w:color w:val="000000"/>
                                  <w:lang w:eastAsia="sk-SK"/>
                                </w:rPr>
                              </w:pPr>
                              <w:r w:rsidRPr="00603CC4">
                                <w:rPr>
                                  <w:color w:val="000000"/>
                                  <w:lang w:eastAsia="sk-SK"/>
                                </w:rPr>
                                <w:t>korkový odpad;</w:t>
                              </w:r>
                            </w:p>
                          </w:tc>
                        </w:tr>
                      </w:tbl>
                      <w:p w:rsidR="00B20392" w:rsidRPr="00603CC4" w:rsidRDefault="00B20392" w:rsidP="00EE10DB">
                        <w:pPr>
                          <w:spacing w:after="0" w:line="240" w:lineRule="auto"/>
                          <w:rPr>
                            <w:vanish/>
                            <w:color w:val="000000"/>
                            <w:lang w:eastAsia="sk-SK"/>
                          </w:rPr>
                        </w:pPr>
                      </w:p>
                      <w:tbl>
                        <w:tblPr>
                          <w:tblW w:w="5000" w:type="pct"/>
                          <w:tblCellSpacing w:w="0" w:type="dxa"/>
                          <w:tblLayout w:type="fixed"/>
                          <w:tblCellMar>
                            <w:left w:w="0" w:type="dxa"/>
                            <w:right w:w="0" w:type="dxa"/>
                          </w:tblCellMar>
                          <w:tblLook w:val="00A0" w:firstRow="1" w:lastRow="0" w:firstColumn="1" w:lastColumn="0" w:noHBand="0" w:noVBand="0"/>
                        </w:tblPr>
                        <w:tblGrid>
                          <w:gridCol w:w="132"/>
                          <w:gridCol w:w="4750"/>
                        </w:tblGrid>
                        <w:tr w:rsidR="00B20392" w:rsidRPr="00603CC4">
                          <w:trPr>
                            <w:tblCellSpacing w:w="0" w:type="dxa"/>
                          </w:trPr>
                          <w:tc>
                            <w:tcPr>
                              <w:tcW w:w="167" w:type="dxa"/>
                            </w:tcPr>
                            <w:p w:rsidR="00B20392" w:rsidRPr="00603CC4" w:rsidRDefault="00B20392" w:rsidP="00EE10DB">
                              <w:pPr>
                                <w:spacing w:after="0" w:line="240" w:lineRule="auto"/>
                                <w:jc w:val="both"/>
                                <w:rPr>
                                  <w:color w:val="000000"/>
                                  <w:lang w:eastAsia="sk-SK"/>
                                </w:rPr>
                              </w:pPr>
                              <w:r w:rsidRPr="00603CC4">
                                <w:rPr>
                                  <w:color w:val="000000"/>
                                  <w:lang w:eastAsia="sk-SK"/>
                                </w:rPr>
                                <w:t>v)</w:t>
                              </w:r>
                            </w:p>
                          </w:tc>
                          <w:tc>
                            <w:tcPr>
                              <w:tcW w:w="6241" w:type="dxa"/>
                            </w:tcPr>
                            <w:p w:rsidR="00B20392" w:rsidRPr="00603CC4" w:rsidRDefault="00EE10DB" w:rsidP="00EE10DB">
                              <w:pPr>
                                <w:spacing w:after="0" w:line="240" w:lineRule="auto"/>
                                <w:jc w:val="both"/>
                                <w:rPr>
                                  <w:color w:val="000000"/>
                                  <w:lang w:eastAsia="sk-SK"/>
                                </w:rPr>
                              </w:pPr>
                              <w:r>
                                <w:rPr>
                                  <w:color w:val="000000"/>
                                  <w:lang w:eastAsia="sk-SK"/>
                                </w:rPr>
                                <w:t>)d</w:t>
                              </w:r>
                              <w:r w:rsidR="00B20392" w:rsidRPr="00603CC4">
                                <w:rPr>
                                  <w:color w:val="000000"/>
                                  <w:lang w:eastAsia="sk-SK"/>
                                </w:rPr>
                                <w:t>revený odpad s v</w:t>
                              </w:r>
                              <w:r>
                                <w:rPr>
                                  <w:color w:val="000000"/>
                                  <w:lang w:eastAsia="sk-SK"/>
                                </w:rPr>
                                <w:t xml:space="preserve">ýnimkou dreveného odpadu, ktorý </w:t>
                              </w:r>
                              <w:r w:rsidR="00B20392" w:rsidRPr="00603CC4">
                                <w:rPr>
                                  <w:color w:val="000000"/>
                                  <w:lang w:eastAsia="sk-SK"/>
                                </w:rPr>
                                <w:t xml:space="preserve">môže obsahovať </w:t>
                              </w:r>
                              <w:proofErr w:type="spellStart"/>
                              <w:r w:rsidR="00B20392" w:rsidRPr="00603CC4">
                                <w:rPr>
                                  <w:color w:val="000000"/>
                                  <w:lang w:eastAsia="sk-SK"/>
                                </w:rPr>
                                <w:t>halogénované</w:t>
                              </w:r>
                              <w:proofErr w:type="spellEnd"/>
                              <w:r w:rsidR="00B20392" w:rsidRPr="00603CC4">
                                <w:rPr>
                                  <w:color w:val="000000"/>
                                  <w:lang w:eastAsia="sk-SK"/>
                                </w:rPr>
                                <w:t xml:space="preserve"> organické zlúčeniny alebo ťažké kovy následkom ošetrovania prostriedkami na ochranu dreva alebo náterovými látkami a ktorý zahŕňa najmä takýto drevený odpad pochádzajúci zo stavieb a demolácií;</w:t>
                              </w:r>
                            </w:p>
                          </w:tc>
                        </w:tr>
                      </w:tbl>
                      <w:p w:rsidR="00B20392" w:rsidRPr="00603CC4" w:rsidRDefault="00B20392" w:rsidP="00EE10DB">
                        <w:pPr>
                          <w:spacing w:after="0" w:line="240" w:lineRule="auto"/>
                          <w:rPr>
                            <w:color w:val="000000"/>
                            <w:lang w:eastAsia="sk-SK"/>
                          </w:rPr>
                        </w:pPr>
                      </w:p>
                    </w:tc>
                  </w:tr>
                </w:tbl>
                <w:p w:rsidR="00B20392" w:rsidRPr="00603CC4" w:rsidRDefault="00B20392" w:rsidP="001E0DAF">
                  <w:pPr>
                    <w:spacing w:after="0" w:line="240" w:lineRule="auto"/>
                    <w:rPr>
                      <w:color w:val="000000"/>
                      <w:lang w:eastAsia="sk-SK"/>
                    </w:rPr>
                  </w:pPr>
                </w:p>
              </w:tc>
            </w:tr>
          </w:tbl>
          <w:p w:rsidR="00B20392" w:rsidRPr="00603CC4" w:rsidRDefault="00B20392" w:rsidP="00603CC4">
            <w:pPr>
              <w:spacing w:before="120" w:after="0" w:line="240" w:lineRule="auto"/>
              <w:jc w:val="both"/>
              <w:rPr>
                <w:color w:val="000000"/>
                <w:lang w:eastAsia="sk-SK"/>
              </w:rPr>
            </w:pPr>
          </w:p>
        </w:tc>
        <w:tc>
          <w:tcPr>
            <w:tcW w:w="397" w:type="dxa"/>
            <w:vAlign w:val="center"/>
          </w:tcPr>
          <w:p w:rsidR="00B20392" w:rsidRPr="00603CC4" w:rsidRDefault="00565E6C" w:rsidP="00603CC4">
            <w:pPr>
              <w:spacing w:after="0" w:line="240" w:lineRule="auto"/>
            </w:pPr>
            <w:r>
              <w:lastRenderedPageBreak/>
              <w:t>N</w:t>
            </w:r>
          </w:p>
        </w:tc>
        <w:tc>
          <w:tcPr>
            <w:tcW w:w="708" w:type="dxa"/>
            <w:vAlign w:val="center"/>
          </w:tcPr>
          <w:p w:rsidR="00B20392" w:rsidRPr="00603CC4" w:rsidRDefault="005D52A1" w:rsidP="00603CC4">
            <w:pPr>
              <w:spacing w:after="0" w:line="240" w:lineRule="auto"/>
            </w:pPr>
            <w:r>
              <w:t>V</w:t>
            </w:r>
            <w:r w:rsidR="000478AD">
              <w:t>410</w:t>
            </w:r>
          </w:p>
        </w:tc>
        <w:tc>
          <w:tcPr>
            <w:tcW w:w="596" w:type="dxa"/>
            <w:vAlign w:val="center"/>
          </w:tcPr>
          <w:p w:rsidR="00B20392" w:rsidRPr="00603CC4" w:rsidRDefault="000478AD" w:rsidP="00D14602">
            <w:pPr>
              <w:spacing w:after="0" w:line="240" w:lineRule="auto"/>
            </w:pPr>
            <w:r>
              <w:t>§</w:t>
            </w:r>
            <w:r w:rsidR="005D52A1">
              <w:t xml:space="preserve">:8 O:4 </w:t>
            </w:r>
            <w:r w:rsidR="00D14602">
              <w:t>P:</w:t>
            </w:r>
            <w:r w:rsidR="005D52A1">
              <w:t>i</w:t>
            </w:r>
          </w:p>
        </w:tc>
        <w:tc>
          <w:tcPr>
            <w:tcW w:w="6396" w:type="dxa"/>
            <w:vAlign w:val="center"/>
          </w:tcPr>
          <w:p w:rsidR="005D52A1" w:rsidRPr="00EF5876" w:rsidRDefault="005D52A1" w:rsidP="008C67AA">
            <w:pPr>
              <w:spacing w:after="0"/>
              <w:ind w:left="284" w:hanging="284"/>
              <w:jc w:val="both"/>
            </w:pPr>
            <w:r w:rsidRPr="00EF5876">
              <w:t xml:space="preserve">i) biomasou produkty pozostávajúce z rastlinnej hmoty alebo časti rastlinnej hmoty pochádzajúce z poľnohospodárstva alebo </w:t>
            </w:r>
            <w:r w:rsidRPr="00EF5876">
              <w:lastRenderedPageBreak/>
              <w:t xml:space="preserve">lesného hospodárstva, ktoré sa môžu použiť ako palivo na účely zhodnotenia ich energetického obsahu a tento odpad: </w:t>
            </w:r>
          </w:p>
          <w:p w:rsidR="005D52A1" w:rsidRPr="00EF5876" w:rsidRDefault="005D52A1" w:rsidP="008C67AA">
            <w:pPr>
              <w:spacing w:after="0"/>
              <w:ind w:left="567" w:hanging="283"/>
              <w:jc w:val="both"/>
            </w:pPr>
            <w:r w:rsidRPr="00EF5876">
              <w:t>1. rastlinný odpad z poľnohospodárstva a lesného hospodárstva,</w:t>
            </w:r>
          </w:p>
          <w:p w:rsidR="005D52A1" w:rsidRPr="00EF5876" w:rsidRDefault="005D52A1" w:rsidP="008C67AA">
            <w:pPr>
              <w:spacing w:after="0"/>
              <w:ind w:left="567" w:hanging="283"/>
              <w:jc w:val="both"/>
            </w:pPr>
            <w:r w:rsidRPr="00EF5876">
              <w:t xml:space="preserve">2. rastlinný odpad z potravinárskeho priemyslu, ak sa teplo zo spaľovania využíva na výrobu energie, </w:t>
            </w:r>
          </w:p>
          <w:p w:rsidR="005D52A1" w:rsidRPr="00EF5876" w:rsidRDefault="005D52A1" w:rsidP="008C67AA">
            <w:pPr>
              <w:spacing w:after="0"/>
              <w:ind w:left="567" w:hanging="283"/>
              <w:jc w:val="both"/>
            </w:pPr>
            <w:r w:rsidRPr="00EF5876">
              <w:t xml:space="preserve">3. vláknitý drevný odpad z prvotnej výroby celulózy a výroby papiera z celulózy, ak je spoluspaľovaný v mieste vzniku a teplo zo spaľovania sa využíva na výrobu energie, </w:t>
            </w:r>
          </w:p>
          <w:p w:rsidR="005D52A1" w:rsidRPr="00EF5876" w:rsidRDefault="005D52A1" w:rsidP="008C67AA">
            <w:pPr>
              <w:spacing w:after="0"/>
              <w:ind w:left="567" w:hanging="283"/>
              <w:jc w:val="both"/>
            </w:pPr>
            <w:r w:rsidRPr="00EF5876">
              <w:t>4. korkový odpad,</w:t>
            </w:r>
          </w:p>
          <w:p w:rsidR="00B20392" w:rsidRPr="00EF5876" w:rsidRDefault="005D52A1" w:rsidP="008C67AA">
            <w:pPr>
              <w:spacing w:after="0"/>
              <w:ind w:left="567" w:hanging="283"/>
              <w:jc w:val="both"/>
            </w:pPr>
            <w:r w:rsidRPr="00EF5876">
              <w:t xml:space="preserve">5. drevný odpad okrem drevného odpadu, ktorý by v dôsledku ošetrenia konzervačnými látkami alebo ochrannými nátermi mohol obsahovať </w:t>
            </w:r>
            <w:proofErr w:type="spellStart"/>
            <w:r w:rsidRPr="00EF5876">
              <w:t>halogénované</w:t>
            </w:r>
            <w:proofErr w:type="spellEnd"/>
            <w:r w:rsidRPr="00EF5876">
              <w:t xml:space="preserve"> organické zlúčeniny alebo ťažké kovy, najmä drevný odpad pochádzajúci </w:t>
            </w:r>
            <w:r w:rsidR="00D5717F" w:rsidRPr="00EF5876">
              <w:t xml:space="preserve">zo stavebných a búracích prác, </w:t>
            </w: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pPr>
            <w:r w:rsidRPr="00603CC4">
              <w:lastRenderedPageBreak/>
              <w:t>O:19</w:t>
            </w:r>
          </w:p>
        </w:tc>
        <w:tc>
          <w:tcPr>
            <w:tcW w:w="5771" w:type="dxa"/>
            <w:vAlign w:val="center"/>
          </w:tcPr>
          <w:tbl>
            <w:tblPr>
              <w:tblW w:w="5000" w:type="pct"/>
              <w:tblCellSpacing w:w="0" w:type="dxa"/>
              <w:tblLayout w:type="fixed"/>
              <w:tblCellMar>
                <w:left w:w="0" w:type="dxa"/>
                <w:right w:w="0" w:type="dxa"/>
              </w:tblCellMar>
              <w:tblLook w:val="00A0" w:firstRow="1" w:lastRow="0" w:firstColumn="1" w:lastColumn="0" w:noHBand="0" w:noVBand="0"/>
            </w:tblPr>
            <w:tblGrid>
              <w:gridCol w:w="248"/>
              <w:gridCol w:w="5307"/>
            </w:tblGrid>
            <w:tr w:rsidR="00B20392" w:rsidRPr="00603CC4" w:rsidTr="00EE10DB">
              <w:trPr>
                <w:tblCellSpacing w:w="0" w:type="dxa"/>
              </w:trPr>
              <w:tc>
                <w:tcPr>
                  <w:tcW w:w="248" w:type="dxa"/>
                </w:tcPr>
                <w:p w:rsidR="00B20392" w:rsidRPr="00603CC4" w:rsidRDefault="00B20392" w:rsidP="00A506EC">
                  <w:pPr>
                    <w:spacing w:before="120" w:after="0" w:line="240" w:lineRule="auto"/>
                    <w:jc w:val="both"/>
                    <w:rPr>
                      <w:color w:val="000000"/>
                      <w:lang w:eastAsia="sk-SK"/>
                    </w:rPr>
                  </w:pPr>
                  <w:r w:rsidRPr="00603CC4">
                    <w:rPr>
                      <w:color w:val="000000"/>
                      <w:lang w:eastAsia="sk-SK"/>
                    </w:rPr>
                    <w:t>19.</w:t>
                  </w:r>
                </w:p>
              </w:tc>
              <w:tc>
                <w:tcPr>
                  <w:tcW w:w="5307" w:type="dxa"/>
                </w:tcPr>
                <w:p w:rsidR="00B20392" w:rsidRPr="00603CC4" w:rsidRDefault="00B20392" w:rsidP="00A506EC">
                  <w:pPr>
                    <w:spacing w:before="120" w:after="0" w:line="240" w:lineRule="auto"/>
                    <w:jc w:val="both"/>
                    <w:rPr>
                      <w:color w:val="000000"/>
                      <w:lang w:eastAsia="sk-SK"/>
                    </w:rPr>
                  </w:pPr>
                  <w:r w:rsidRPr="00603CC4">
                    <w:rPr>
                      <w:color w:val="000000"/>
                      <w:lang w:eastAsia="sk-SK"/>
                    </w:rPr>
                    <w:t>„plynový olej“ je:</w:t>
                  </w:r>
                </w:p>
                <w:tbl>
                  <w:tblPr>
                    <w:tblW w:w="5000" w:type="pct"/>
                    <w:tblCellSpacing w:w="0" w:type="dxa"/>
                    <w:tblLayout w:type="fixed"/>
                    <w:tblCellMar>
                      <w:left w:w="0" w:type="dxa"/>
                      <w:right w:w="0" w:type="dxa"/>
                    </w:tblCellMar>
                    <w:tblLook w:val="00A0" w:firstRow="1" w:lastRow="0" w:firstColumn="1" w:lastColumn="0" w:noHBand="0" w:noVBand="0"/>
                  </w:tblPr>
                  <w:tblGrid>
                    <w:gridCol w:w="143"/>
                    <w:gridCol w:w="5164"/>
                  </w:tblGrid>
                  <w:tr w:rsidR="00B20392" w:rsidRPr="00603CC4">
                    <w:trPr>
                      <w:tblCellSpacing w:w="0" w:type="dxa"/>
                    </w:trPr>
                    <w:tc>
                      <w:tcPr>
                        <w:tcW w:w="173" w:type="dxa"/>
                      </w:tcPr>
                      <w:p w:rsidR="00B20392" w:rsidRPr="00603CC4" w:rsidRDefault="00EE10DB" w:rsidP="00A506EC">
                        <w:pPr>
                          <w:spacing w:before="120" w:after="0" w:line="240" w:lineRule="auto"/>
                          <w:jc w:val="both"/>
                          <w:rPr>
                            <w:color w:val="000000"/>
                            <w:lang w:eastAsia="sk-SK"/>
                          </w:rPr>
                        </w:pPr>
                        <w:r>
                          <w:rPr>
                            <w:color w:val="000000"/>
                            <w:lang w:eastAsia="sk-SK"/>
                          </w:rPr>
                          <w:t>a</w:t>
                        </w:r>
                      </w:p>
                    </w:tc>
                    <w:tc>
                      <w:tcPr>
                        <w:tcW w:w="6418" w:type="dxa"/>
                      </w:tcPr>
                      <w:p w:rsidR="00B20392" w:rsidRPr="00603CC4" w:rsidRDefault="00EE10DB" w:rsidP="00A506EC">
                        <w:pPr>
                          <w:spacing w:before="120" w:after="0" w:line="240" w:lineRule="auto"/>
                          <w:jc w:val="both"/>
                          <w:rPr>
                            <w:color w:val="000000"/>
                            <w:lang w:eastAsia="sk-SK"/>
                          </w:rPr>
                        </w:pPr>
                        <w:r>
                          <w:rPr>
                            <w:color w:val="000000"/>
                            <w:lang w:eastAsia="sk-SK"/>
                          </w:rPr>
                          <w:t>)</w:t>
                        </w:r>
                        <w:r w:rsidR="00B20392" w:rsidRPr="00603CC4">
                          <w:rPr>
                            <w:color w:val="000000"/>
                            <w:lang w:eastAsia="sk-SK"/>
                          </w:rPr>
                          <w:t>každé kvapalné palivo získané z ropy, na ktoré sa vzťahujú číselné znaky KN 2710 19 25, 2710 19 29, 2710 19 47, 2710 19 48, 2710 20 17 alebo 2710 20 19, alebo</w:t>
                        </w:r>
                      </w:p>
                    </w:tc>
                  </w:tr>
                </w:tbl>
                <w:p w:rsidR="00B20392" w:rsidRPr="00603CC4" w:rsidRDefault="00B20392" w:rsidP="00A506EC">
                  <w:pPr>
                    <w:spacing w:after="0" w:line="240" w:lineRule="auto"/>
                    <w:rPr>
                      <w:vanish/>
                      <w:color w:val="000000"/>
                      <w:lang w:eastAsia="sk-SK"/>
                    </w:rPr>
                  </w:pPr>
                </w:p>
                <w:tbl>
                  <w:tblPr>
                    <w:tblW w:w="5000" w:type="pct"/>
                    <w:tblCellSpacing w:w="0" w:type="dxa"/>
                    <w:tblLayout w:type="fixed"/>
                    <w:tblCellMar>
                      <w:left w:w="0" w:type="dxa"/>
                      <w:right w:w="0" w:type="dxa"/>
                    </w:tblCellMar>
                    <w:tblLook w:val="00A0" w:firstRow="1" w:lastRow="0" w:firstColumn="1" w:lastColumn="0" w:noHBand="0" w:noVBand="0"/>
                  </w:tblPr>
                  <w:tblGrid>
                    <w:gridCol w:w="151"/>
                    <w:gridCol w:w="5156"/>
                  </w:tblGrid>
                  <w:tr w:rsidR="00B20392" w:rsidRPr="00603CC4">
                    <w:trPr>
                      <w:tblCellSpacing w:w="0" w:type="dxa"/>
                    </w:trPr>
                    <w:tc>
                      <w:tcPr>
                        <w:tcW w:w="183" w:type="dxa"/>
                      </w:tcPr>
                      <w:p w:rsidR="00B20392" w:rsidRPr="00603CC4" w:rsidRDefault="00B20392" w:rsidP="00A506EC">
                        <w:pPr>
                          <w:spacing w:before="120" w:after="0" w:line="240" w:lineRule="auto"/>
                          <w:jc w:val="both"/>
                          <w:rPr>
                            <w:color w:val="000000"/>
                            <w:lang w:eastAsia="sk-SK"/>
                          </w:rPr>
                        </w:pPr>
                        <w:r w:rsidRPr="00603CC4">
                          <w:rPr>
                            <w:color w:val="000000"/>
                            <w:lang w:eastAsia="sk-SK"/>
                          </w:rPr>
                          <w:t>b)</w:t>
                        </w:r>
                      </w:p>
                    </w:tc>
                    <w:tc>
                      <w:tcPr>
                        <w:tcW w:w="6408" w:type="dxa"/>
                      </w:tcPr>
                      <w:p w:rsidR="00B20392" w:rsidRPr="00603CC4" w:rsidRDefault="00EE10DB" w:rsidP="00A506EC">
                        <w:pPr>
                          <w:spacing w:before="120" w:after="0" w:line="240" w:lineRule="auto"/>
                          <w:jc w:val="both"/>
                          <w:rPr>
                            <w:color w:val="000000"/>
                            <w:lang w:eastAsia="sk-SK"/>
                          </w:rPr>
                        </w:pPr>
                        <w:r>
                          <w:rPr>
                            <w:color w:val="000000"/>
                            <w:lang w:eastAsia="sk-SK"/>
                          </w:rPr>
                          <w:t>)</w:t>
                        </w:r>
                        <w:r w:rsidR="00B20392" w:rsidRPr="00603CC4">
                          <w:rPr>
                            <w:color w:val="000000"/>
                            <w:lang w:eastAsia="sk-SK"/>
                          </w:rPr>
                          <w:t xml:space="preserve">každé kvapalné palivo získané z ropy, z ktorého sa </w:t>
                        </w:r>
                        <w:r>
                          <w:rPr>
                            <w:color w:val="000000"/>
                            <w:lang w:eastAsia="sk-SK"/>
                          </w:rPr>
                          <w:t xml:space="preserve">pri </w:t>
                        </w:r>
                        <w:r w:rsidR="00B20392" w:rsidRPr="00603CC4">
                          <w:rPr>
                            <w:color w:val="000000"/>
                            <w:lang w:eastAsia="sk-SK"/>
                          </w:rPr>
                          <w:t>teplote 250 °C vydestiluje metódou ASTM D86 menej ako 65 % objemu (vrátane strát) a pri teplote 350 °C najmenej 85 % objemu (vrátane strát);</w:t>
                        </w:r>
                      </w:p>
                    </w:tc>
                  </w:tr>
                </w:tbl>
                <w:p w:rsidR="00B20392" w:rsidRPr="00603CC4" w:rsidRDefault="00B20392" w:rsidP="00A506EC">
                  <w:pPr>
                    <w:spacing w:after="0" w:line="240" w:lineRule="auto"/>
                    <w:rPr>
                      <w:color w:val="000000"/>
                      <w:lang w:eastAsia="sk-SK"/>
                    </w:rPr>
                  </w:pPr>
                </w:p>
              </w:tc>
            </w:tr>
          </w:tbl>
          <w:p w:rsidR="00B20392" w:rsidRPr="00603CC4" w:rsidRDefault="00B20392" w:rsidP="00603CC4">
            <w:pPr>
              <w:spacing w:before="120" w:after="0" w:line="240" w:lineRule="auto"/>
              <w:jc w:val="both"/>
              <w:rPr>
                <w:color w:val="000000"/>
                <w:lang w:eastAsia="sk-SK"/>
              </w:rPr>
            </w:pPr>
          </w:p>
        </w:tc>
        <w:tc>
          <w:tcPr>
            <w:tcW w:w="397" w:type="dxa"/>
            <w:vAlign w:val="center"/>
          </w:tcPr>
          <w:p w:rsidR="00B20392" w:rsidRPr="00603CC4" w:rsidRDefault="00565E6C" w:rsidP="00603CC4">
            <w:pPr>
              <w:spacing w:after="0" w:line="240" w:lineRule="auto"/>
            </w:pPr>
            <w:r>
              <w:t>N</w:t>
            </w:r>
          </w:p>
        </w:tc>
        <w:tc>
          <w:tcPr>
            <w:tcW w:w="708" w:type="dxa"/>
            <w:vAlign w:val="center"/>
          </w:tcPr>
          <w:p w:rsidR="00B20392" w:rsidRPr="00603CC4" w:rsidRDefault="000478AD" w:rsidP="007368A9">
            <w:pPr>
              <w:spacing w:after="0" w:line="240" w:lineRule="auto"/>
              <w:ind w:left="-108" w:right="-108"/>
            </w:pPr>
            <w:r>
              <w:t>NV410</w:t>
            </w:r>
          </w:p>
        </w:tc>
        <w:tc>
          <w:tcPr>
            <w:tcW w:w="596" w:type="dxa"/>
            <w:vAlign w:val="center"/>
          </w:tcPr>
          <w:p w:rsidR="00B20392" w:rsidRPr="00603CC4" w:rsidRDefault="00D14602" w:rsidP="00D14602">
            <w:pPr>
              <w:spacing w:after="0" w:line="240" w:lineRule="auto"/>
            </w:pPr>
            <w:r>
              <w:t>§:8 O:4 P:</w:t>
            </w:r>
            <w:r w:rsidR="005D52A1">
              <w:t>n</w:t>
            </w:r>
          </w:p>
        </w:tc>
        <w:tc>
          <w:tcPr>
            <w:tcW w:w="6396" w:type="dxa"/>
            <w:vAlign w:val="center"/>
          </w:tcPr>
          <w:p w:rsidR="005D52A1" w:rsidRPr="00EF5876" w:rsidRDefault="005D52A1" w:rsidP="007D7E3B">
            <w:pPr>
              <w:spacing w:after="0"/>
            </w:pPr>
            <w:r w:rsidRPr="00EF5876">
              <w:t>n) plynovým olejom</w:t>
            </w:r>
          </w:p>
          <w:p w:rsidR="005D52A1" w:rsidRPr="00EF5876" w:rsidRDefault="005D52A1" w:rsidP="005D52A1">
            <w:pPr>
              <w:ind w:left="567" w:hanging="283"/>
              <w:jc w:val="both"/>
            </w:pPr>
            <w:r w:rsidRPr="00EF5876">
              <w:t>1. každé kvapalné palivo získané z ropy, na ktoré sa vzťahujú číselné znaky KN 2710 19 25, 2710 19 29, 2710 19 47, 2710 19 48, 2710 20 17 alebo 2710 20 19, alebo</w:t>
            </w:r>
          </w:p>
          <w:p w:rsidR="00B20392" w:rsidRPr="00EF5876" w:rsidRDefault="005D52A1" w:rsidP="007D7E3B">
            <w:pPr>
              <w:spacing w:after="0"/>
              <w:ind w:left="568" w:hanging="284"/>
              <w:jc w:val="both"/>
            </w:pPr>
            <w:r w:rsidRPr="00EF5876">
              <w:t>2. každé kvapalné palivo získané z ropy, z ktorého sa pri teplote 250 °C vydestiluje metódou ASTM D86 menej ako 65 % objemu (vrátane strát) a pri teplote 350 °C najmen</w:t>
            </w:r>
            <w:r w:rsidR="00D5717F" w:rsidRPr="00EF5876">
              <w:t>ej 85 % objemu (vrátane strát),</w:t>
            </w: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pPr>
            <w:r w:rsidRPr="00603CC4">
              <w:t>O:20</w:t>
            </w:r>
          </w:p>
        </w:tc>
        <w:tc>
          <w:tcPr>
            <w:tcW w:w="5771" w:type="dxa"/>
            <w:vAlign w:val="center"/>
          </w:tcPr>
          <w:tbl>
            <w:tblPr>
              <w:tblW w:w="5000" w:type="pct"/>
              <w:tblCellSpacing w:w="0" w:type="dxa"/>
              <w:tblLayout w:type="fixed"/>
              <w:tblCellMar>
                <w:left w:w="0" w:type="dxa"/>
                <w:right w:w="0" w:type="dxa"/>
              </w:tblCellMar>
              <w:tblLook w:val="00A0" w:firstRow="1" w:lastRow="0" w:firstColumn="1" w:lastColumn="0" w:noHBand="0" w:noVBand="0"/>
            </w:tblPr>
            <w:tblGrid>
              <w:gridCol w:w="229"/>
              <w:gridCol w:w="5326"/>
            </w:tblGrid>
            <w:tr w:rsidR="00B20392" w:rsidRPr="00603CC4">
              <w:trPr>
                <w:tblCellSpacing w:w="0" w:type="dxa"/>
              </w:trPr>
              <w:tc>
                <w:tcPr>
                  <w:tcW w:w="279" w:type="dxa"/>
                </w:tcPr>
                <w:p w:rsidR="00B20392" w:rsidRPr="00603CC4" w:rsidRDefault="00B20392" w:rsidP="00A506EC">
                  <w:pPr>
                    <w:spacing w:before="120" w:after="0" w:line="240" w:lineRule="auto"/>
                    <w:jc w:val="both"/>
                    <w:rPr>
                      <w:color w:val="000000"/>
                      <w:lang w:eastAsia="sk-SK"/>
                    </w:rPr>
                  </w:pPr>
                  <w:r w:rsidRPr="00603CC4">
                    <w:rPr>
                      <w:color w:val="000000"/>
                      <w:lang w:eastAsia="sk-SK"/>
                    </w:rPr>
                    <w:t>20.</w:t>
                  </w:r>
                </w:p>
              </w:tc>
              <w:tc>
                <w:tcPr>
                  <w:tcW w:w="6591" w:type="dxa"/>
                </w:tcPr>
                <w:p w:rsidR="00B20392" w:rsidRPr="00603CC4" w:rsidRDefault="00B20392" w:rsidP="007D7E3B">
                  <w:pPr>
                    <w:spacing w:after="0" w:line="240" w:lineRule="auto"/>
                    <w:jc w:val="both"/>
                    <w:rPr>
                      <w:color w:val="000000"/>
                      <w:lang w:eastAsia="sk-SK"/>
                    </w:rPr>
                  </w:pPr>
                  <w:r w:rsidRPr="00603CC4">
                    <w:rPr>
                      <w:color w:val="000000"/>
                      <w:lang w:eastAsia="sk-SK"/>
                    </w:rPr>
                    <w:t>„zemný plyn“ je prirodzene sa vyskytujúci metán s obsahom vzácnych plynov a iných zložiek neprekračujúcich 20 % (objemovo);</w:t>
                  </w:r>
                </w:p>
              </w:tc>
            </w:tr>
          </w:tbl>
          <w:p w:rsidR="00B20392" w:rsidRPr="00603CC4" w:rsidRDefault="00B20392" w:rsidP="00603CC4">
            <w:pPr>
              <w:spacing w:before="120" w:after="0" w:line="240" w:lineRule="auto"/>
              <w:jc w:val="both"/>
              <w:rPr>
                <w:color w:val="000000"/>
                <w:lang w:eastAsia="sk-SK"/>
              </w:rPr>
            </w:pPr>
          </w:p>
        </w:tc>
        <w:tc>
          <w:tcPr>
            <w:tcW w:w="397" w:type="dxa"/>
            <w:vAlign w:val="center"/>
          </w:tcPr>
          <w:p w:rsidR="00B20392" w:rsidRPr="00603CC4" w:rsidRDefault="00565E6C" w:rsidP="00603CC4">
            <w:pPr>
              <w:spacing w:after="0" w:line="240" w:lineRule="auto"/>
            </w:pPr>
            <w:r>
              <w:t>N</w:t>
            </w:r>
          </w:p>
        </w:tc>
        <w:tc>
          <w:tcPr>
            <w:tcW w:w="708" w:type="dxa"/>
            <w:vAlign w:val="center"/>
          </w:tcPr>
          <w:p w:rsidR="00B20392" w:rsidRPr="00603CC4" w:rsidRDefault="000478AD" w:rsidP="00603CC4">
            <w:pPr>
              <w:spacing w:after="0" w:line="240" w:lineRule="auto"/>
            </w:pPr>
            <w:r>
              <w:t>V410</w:t>
            </w:r>
          </w:p>
        </w:tc>
        <w:tc>
          <w:tcPr>
            <w:tcW w:w="596" w:type="dxa"/>
            <w:vAlign w:val="center"/>
          </w:tcPr>
          <w:p w:rsidR="00B20392" w:rsidRPr="00603CC4" w:rsidRDefault="00D14602" w:rsidP="00D14602">
            <w:pPr>
              <w:spacing w:after="0" w:line="240" w:lineRule="auto"/>
            </w:pPr>
            <w:r>
              <w:t>§:8 O:4 P:</w:t>
            </w:r>
            <w:r w:rsidR="005D52A1">
              <w:t>l</w:t>
            </w:r>
          </w:p>
        </w:tc>
        <w:tc>
          <w:tcPr>
            <w:tcW w:w="6396" w:type="dxa"/>
            <w:vAlign w:val="center"/>
          </w:tcPr>
          <w:p w:rsidR="00B20392" w:rsidRPr="00EF5876" w:rsidRDefault="005D52A1" w:rsidP="007D7E3B">
            <w:pPr>
              <w:ind w:left="284" w:hanging="284"/>
              <w:jc w:val="both"/>
            </w:pPr>
            <w:r w:rsidRPr="00EF5876">
              <w:t>l) zemným plynom naftovým prírodný metán, ktorý neobsahuje viac ako 20 % objemu inertný</w:t>
            </w:r>
            <w:r w:rsidR="007D7E3B">
              <w:t xml:space="preserve">ch plynov alebo iných zložiek, </w:t>
            </w: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pPr>
            <w:r w:rsidRPr="00603CC4">
              <w:t>O:21</w:t>
            </w:r>
          </w:p>
        </w:tc>
        <w:tc>
          <w:tcPr>
            <w:tcW w:w="5771" w:type="dxa"/>
            <w:vAlign w:val="center"/>
          </w:tcPr>
          <w:tbl>
            <w:tblPr>
              <w:tblW w:w="5000" w:type="pct"/>
              <w:tblCellSpacing w:w="0" w:type="dxa"/>
              <w:tblLayout w:type="fixed"/>
              <w:tblCellMar>
                <w:left w:w="0" w:type="dxa"/>
                <w:right w:w="0" w:type="dxa"/>
              </w:tblCellMar>
              <w:tblLook w:val="00A0" w:firstRow="1" w:lastRow="0" w:firstColumn="1" w:lastColumn="0" w:noHBand="0" w:noVBand="0"/>
            </w:tblPr>
            <w:tblGrid>
              <w:gridCol w:w="229"/>
              <w:gridCol w:w="5326"/>
            </w:tblGrid>
            <w:tr w:rsidR="00B20392" w:rsidRPr="00603CC4">
              <w:trPr>
                <w:tblCellSpacing w:w="0" w:type="dxa"/>
              </w:trPr>
              <w:tc>
                <w:tcPr>
                  <w:tcW w:w="279" w:type="dxa"/>
                </w:tcPr>
                <w:p w:rsidR="00B20392" w:rsidRPr="00603CC4" w:rsidRDefault="00B20392" w:rsidP="00A506EC">
                  <w:pPr>
                    <w:spacing w:before="120" w:after="0" w:line="240" w:lineRule="auto"/>
                    <w:jc w:val="both"/>
                    <w:rPr>
                      <w:color w:val="000000"/>
                      <w:lang w:eastAsia="sk-SK"/>
                    </w:rPr>
                  </w:pPr>
                  <w:r w:rsidRPr="00603CC4">
                    <w:rPr>
                      <w:color w:val="000000"/>
                      <w:lang w:eastAsia="sk-SK"/>
                    </w:rPr>
                    <w:t>21.</w:t>
                  </w:r>
                </w:p>
              </w:tc>
              <w:tc>
                <w:tcPr>
                  <w:tcW w:w="6591" w:type="dxa"/>
                </w:tcPr>
                <w:p w:rsidR="00B20392" w:rsidRPr="00603CC4" w:rsidRDefault="00B20392" w:rsidP="00A506EC">
                  <w:pPr>
                    <w:spacing w:before="120" w:after="0" w:line="240" w:lineRule="auto"/>
                    <w:jc w:val="both"/>
                    <w:rPr>
                      <w:color w:val="000000"/>
                      <w:lang w:eastAsia="sk-SK"/>
                    </w:rPr>
                  </w:pPr>
                  <w:r w:rsidRPr="00603CC4">
                    <w:rPr>
                      <w:color w:val="000000"/>
                      <w:lang w:eastAsia="sk-SK"/>
                    </w:rPr>
                    <w:t>„ťažký vykurovací olej“ je:</w:t>
                  </w:r>
                </w:p>
                <w:tbl>
                  <w:tblPr>
                    <w:tblW w:w="5000" w:type="pct"/>
                    <w:tblCellSpacing w:w="0" w:type="dxa"/>
                    <w:tblLayout w:type="fixed"/>
                    <w:tblCellMar>
                      <w:left w:w="0" w:type="dxa"/>
                      <w:right w:w="0" w:type="dxa"/>
                    </w:tblCellMar>
                    <w:tblLook w:val="00A0" w:firstRow="1" w:lastRow="0" w:firstColumn="1" w:lastColumn="0" w:noHBand="0" w:noVBand="0"/>
                  </w:tblPr>
                  <w:tblGrid>
                    <w:gridCol w:w="143"/>
                    <w:gridCol w:w="5183"/>
                  </w:tblGrid>
                  <w:tr w:rsidR="00B20392" w:rsidRPr="00603CC4">
                    <w:trPr>
                      <w:tblCellSpacing w:w="0" w:type="dxa"/>
                    </w:trPr>
                    <w:tc>
                      <w:tcPr>
                        <w:tcW w:w="173" w:type="dxa"/>
                      </w:tcPr>
                      <w:p w:rsidR="00B20392" w:rsidRPr="00603CC4" w:rsidRDefault="00EE10DB" w:rsidP="00A506EC">
                        <w:pPr>
                          <w:spacing w:before="120" w:after="0" w:line="240" w:lineRule="auto"/>
                          <w:jc w:val="both"/>
                          <w:rPr>
                            <w:color w:val="000000"/>
                            <w:lang w:eastAsia="sk-SK"/>
                          </w:rPr>
                        </w:pPr>
                        <w:r>
                          <w:rPr>
                            <w:color w:val="000000"/>
                            <w:lang w:eastAsia="sk-SK"/>
                          </w:rPr>
                          <w:t>a</w:t>
                        </w:r>
                      </w:p>
                    </w:tc>
                    <w:tc>
                      <w:tcPr>
                        <w:tcW w:w="6418" w:type="dxa"/>
                      </w:tcPr>
                      <w:p w:rsidR="00B20392" w:rsidRPr="00603CC4" w:rsidRDefault="00EE10DB" w:rsidP="00A506EC">
                        <w:pPr>
                          <w:spacing w:before="120" w:after="0" w:line="240" w:lineRule="auto"/>
                          <w:jc w:val="both"/>
                          <w:rPr>
                            <w:color w:val="000000"/>
                            <w:lang w:eastAsia="sk-SK"/>
                          </w:rPr>
                        </w:pPr>
                        <w:r>
                          <w:rPr>
                            <w:color w:val="000000"/>
                            <w:lang w:eastAsia="sk-SK"/>
                          </w:rPr>
                          <w:t>)</w:t>
                        </w:r>
                        <w:r w:rsidR="00B20392" w:rsidRPr="00603CC4">
                          <w:rPr>
                            <w:color w:val="000000"/>
                            <w:lang w:eastAsia="sk-SK"/>
                          </w:rPr>
                          <w:t>každé kvapalné palivo získané z ropy, na ktoré sa vzťahujú číselné znaky KN 2710 19 51 až 2710 19 68, 2710 20 31, 2710 20 35 alebo 2710 20 39, alebo</w:t>
                        </w:r>
                      </w:p>
                    </w:tc>
                  </w:tr>
                </w:tbl>
                <w:p w:rsidR="00B20392" w:rsidRPr="00603CC4" w:rsidRDefault="00B20392" w:rsidP="00A506EC">
                  <w:pPr>
                    <w:spacing w:after="0" w:line="240" w:lineRule="auto"/>
                    <w:rPr>
                      <w:color w:val="000000"/>
                      <w:lang w:eastAsia="sk-SK"/>
                    </w:rPr>
                  </w:pPr>
                </w:p>
              </w:tc>
            </w:tr>
          </w:tbl>
          <w:p w:rsidR="00B20392" w:rsidRPr="00603CC4" w:rsidRDefault="00B20392" w:rsidP="00603CC4">
            <w:pPr>
              <w:spacing w:before="120" w:after="0" w:line="240" w:lineRule="auto"/>
              <w:jc w:val="both"/>
              <w:rPr>
                <w:color w:val="000000"/>
                <w:lang w:eastAsia="sk-SK"/>
              </w:rPr>
            </w:pPr>
          </w:p>
        </w:tc>
        <w:tc>
          <w:tcPr>
            <w:tcW w:w="397" w:type="dxa"/>
            <w:vAlign w:val="center"/>
          </w:tcPr>
          <w:p w:rsidR="00B20392" w:rsidRPr="00603CC4" w:rsidRDefault="00565E6C" w:rsidP="00603CC4">
            <w:pPr>
              <w:spacing w:after="0" w:line="240" w:lineRule="auto"/>
            </w:pPr>
            <w:r>
              <w:t>N</w:t>
            </w:r>
          </w:p>
        </w:tc>
        <w:tc>
          <w:tcPr>
            <w:tcW w:w="708" w:type="dxa"/>
            <w:vAlign w:val="center"/>
          </w:tcPr>
          <w:p w:rsidR="00B20392" w:rsidRPr="00603CC4" w:rsidRDefault="007368A9" w:rsidP="007368A9">
            <w:pPr>
              <w:spacing w:after="0" w:line="240" w:lineRule="auto"/>
              <w:ind w:left="-108" w:right="-250"/>
            </w:pPr>
            <w:r>
              <w:t>N</w:t>
            </w:r>
            <w:r w:rsidR="000478AD">
              <w:t>410</w:t>
            </w:r>
          </w:p>
        </w:tc>
        <w:tc>
          <w:tcPr>
            <w:tcW w:w="596" w:type="dxa"/>
            <w:vAlign w:val="center"/>
          </w:tcPr>
          <w:p w:rsidR="00B20392" w:rsidRPr="00603CC4" w:rsidRDefault="00D14602" w:rsidP="00603CC4">
            <w:pPr>
              <w:spacing w:after="0" w:line="240" w:lineRule="auto"/>
            </w:pPr>
            <w:r>
              <w:t>§:8 O:4 P:</w:t>
            </w:r>
            <w:r w:rsidR="005D52A1">
              <w:t>o</w:t>
            </w:r>
          </w:p>
        </w:tc>
        <w:tc>
          <w:tcPr>
            <w:tcW w:w="6396" w:type="dxa"/>
            <w:vAlign w:val="center"/>
          </w:tcPr>
          <w:p w:rsidR="005D52A1" w:rsidRPr="00EF5876" w:rsidRDefault="005D52A1" w:rsidP="007D7E3B">
            <w:pPr>
              <w:spacing w:after="0"/>
              <w:ind w:left="567" w:hanging="567"/>
            </w:pPr>
            <w:r w:rsidRPr="00EF5876">
              <w:t>o) ťažkým vykurovacím olejom</w:t>
            </w:r>
          </w:p>
          <w:p w:rsidR="005D52A1" w:rsidRPr="00EF5876" w:rsidRDefault="005D52A1" w:rsidP="007D7E3B">
            <w:pPr>
              <w:spacing w:after="0"/>
              <w:ind w:left="568" w:hanging="284"/>
            </w:pPr>
            <w:r w:rsidRPr="00EF5876">
              <w:t>1. každé kvapalné palivo získané z ropy, na ktoré sa vzťahujú číselné znaky KN 2710 19 51 až 2710 19 68, 2710 20 31, 2710 20 35 alebo 2710 20 39, alebo</w:t>
            </w:r>
          </w:p>
          <w:p w:rsidR="00B20392" w:rsidRPr="00EF5876" w:rsidRDefault="005D52A1" w:rsidP="007D7E3B">
            <w:pPr>
              <w:spacing w:after="0"/>
              <w:ind w:left="568" w:hanging="284"/>
            </w:pPr>
            <w:r w:rsidRPr="00EF5876">
              <w:t xml:space="preserve">2. každé kvapalné palivo získané z ropy, iné ako plynový olej </w:t>
            </w:r>
            <w:r w:rsidRPr="00EF5876">
              <w:lastRenderedPageBreak/>
              <w:t>vymedzený v bode 19, ktoré z dôvodu svojho destilačného rozsahu patrí do kategórie ťažkých olejov určených na použitie ako palivo, z ktorého sa pri teplote 250 °C vydestiluje metódou ASTM D86 menej ako 65 % objemu (vrátane strát). Ak nie je možné vykonať destiláciu pomocou metódy ASTM D86, pokladá sa ropný produkt ro</w:t>
            </w:r>
            <w:r w:rsidR="00D5717F" w:rsidRPr="00EF5876">
              <w:t>vnako za ťažký vykurovací olej,</w:t>
            </w: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pPr>
            <w:r w:rsidRPr="00603CC4">
              <w:lastRenderedPageBreak/>
              <w:t>O:22</w:t>
            </w:r>
          </w:p>
        </w:tc>
        <w:tc>
          <w:tcPr>
            <w:tcW w:w="5771" w:type="dxa"/>
            <w:vAlign w:val="center"/>
          </w:tcPr>
          <w:tbl>
            <w:tblPr>
              <w:tblW w:w="5000" w:type="pct"/>
              <w:tblCellSpacing w:w="0" w:type="dxa"/>
              <w:tblLayout w:type="fixed"/>
              <w:tblCellMar>
                <w:left w:w="0" w:type="dxa"/>
                <w:right w:w="0" w:type="dxa"/>
              </w:tblCellMar>
              <w:tblLook w:val="00A0" w:firstRow="1" w:lastRow="0" w:firstColumn="1" w:lastColumn="0" w:noHBand="0" w:noVBand="0"/>
            </w:tblPr>
            <w:tblGrid>
              <w:gridCol w:w="229"/>
              <w:gridCol w:w="5326"/>
            </w:tblGrid>
            <w:tr w:rsidR="00B20392" w:rsidRPr="00603CC4">
              <w:trPr>
                <w:tblCellSpacing w:w="0" w:type="dxa"/>
              </w:trPr>
              <w:tc>
                <w:tcPr>
                  <w:tcW w:w="279" w:type="dxa"/>
                </w:tcPr>
                <w:p w:rsidR="00B20392" w:rsidRPr="00603CC4" w:rsidRDefault="00B20392" w:rsidP="00A506EC">
                  <w:pPr>
                    <w:spacing w:before="120" w:after="0" w:line="240" w:lineRule="auto"/>
                    <w:jc w:val="both"/>
                    <w:rPr>
                      <w:color w:val="000000"/>
                      <w:lang w:eastAsia="sk-SK"/>
                    </w:rPr>
                  </w:pPr>
                  <w:r w:rsidRPr="00603CC4">
                    <w:rPr>
                      <w:color w:val="000000"/>
                      <w:lang w:eastAsia="sk-SK"/>
                    </w:rPr>
                    <w:t>22.</w:t>
                  </w:r>
                </w:p>
              </w:tc>
              <w:tc>
                <w:tcPr>
                  <w:tcW w:w="6591" w:type="dxa"/>
                </w:tcPr>
                <w:p w:rsidR="00B20392" w:rsidRPr="00603CC4" w:rsidRDefault="00B20392" w:rsidP="00A506EC">
                  <w:pPr>
                    <w:spacing w:before="120" w:after="0" w:line="240" w:lineRule="auto"/>
                    <w:jc w:val="both"/>
                    <w:rPr>
                      <w:color w:val="000000"/>
                      <w:lang w:eastAsia="sk-SK"/>
                    </w:rPr>
                  </w:pPr>
                  <w:r w:rsidRPr="00603CC4">
                    <w:rPr>
                      <w:color w:val="000000"/>
                      <w:lang w:eastAsia="sk-SK"/>
                    </w:rPr>
                    <w:t>„prevádzkové hodiny“ je čas vyjadrený v hodinách, počas ktorého je spaľovacie zariadenie v prevádzke a vypúšťa do ovzdušia emisie, s výnimkou doby nábehu a odstavovania;</w:t>
                  </w:r>
                </w:p>
              </w:tc>
            </w:tr>
          </w:tbl>
          <w:p w:rsidR="00B20392" w:rsidRPr="00603CC4" w:rsidRDefault="00B20392" w:rsidP="00603CC4">
            <w:pPr>
              <w:spacing w:before="120" w:after="0" w:line="240" w:lineRule="auto"/>
              <w:jc w:val="both"/>
              <w:rPr>
                <w:color w:val="000000"/>
                <w:lang w:eastAsia="sk-SK"/>
              </w:rPr>
            </w:pPr>
          </w:p>
        </w:tc>
        <w:tc>
          <w:tcPr>
            <w:tcW w:w="397" w:type="dxa"/>
            <w:vAlign w:val="center"/>
          </w:tcPr>
          <w:p w:rsidR="00B20392" w:rsidRPr="00603CC4" w:rsidRDefault="00565E6C" w:rsidP="00603CC4">
            <w:pPr>
              <w:spacing w:after="0" w:line="240" w:lineRule="auto"/>
            </w:pPr>
            <w:r>
              <w:t>N</w:t>
            </w:r>
          </w:p>
        </w:tc>
        <w:tc>
          <w:tcPr>
            <w:tcW w:w="708" w:type="dxa"/>
            <w:vAlign w:val="center"/>
          </w:tcPr>
          <w:p w:rsidR="00B20392" w:rsidRPr="00603CC4" w:rsidRDefault="000478AD" w:rsidP="00603CC4">
            <w:pPr>
              <w:spacing w:after="0" w:line="240" w:lineRule="auto"/>
            </w:pPr>
            <w:r>
              <w:t>N410</w:t>
            </w:r>
          </w:p>
        </w:tc>
        <w:tc>
          <w:tcPr>
            <w:tcW w:w="596" w:type="dxa"/>
            <w:vAlign w:val="center"/>
          </w:tcPr>
          <w:p w:rsidR="00D14602" w:rsidRDefault="00D14602" w:rsidP="00D14602">
            <w:pPr>
              <w:spacing w:after="0" w:line="240" w:lineRule="auto"/>
            </w:pPr>
            <w:r>
              <w:t>§</w:t>
            </w:r>
            <w:r w:rsidR="005D52A1">
              <w:t>:2</w:t>
            </w:r>
          </w:p>
          <w:p w:rsidR="00B20392" w:rsidRPr="00603CC4" w:rsidRDefault="00D14602" w:rsidP="00D14602">
            <w:pPr>
              <w:spacing w:after="0" w:line="240" w:lineRule="auto"/>
            </w:pPr>
            <w:r>
              <w:t>P: g</w:t>
            </w:r>
          </w:p>
        </w:tc>
        <w:tc>
          <w:tcPr>
            <w:tcW w:w="6396" w:type="dxa"/>
            <w:vAlign w:val="center"/>
          </w:tcPr>
          <w:p w:rsidR="00B20392" w:rsidRPr="00EF5876" w:rsidRDefault="005D52A1" w:rsidP="007D7E3B">
            <w:pPr>
              <w:spacing w:after="0"/>
              <w:ind w:left="284" w:hanging="284"/>
              <w:jc w:val="both"/>
            </w:pPr>
            <w:r w:rsidRPr="00EF5876">
              <w:t xml:space="preserve">Na účely tejto vyhlášky sa rozumie g) prevádzkovými hodinami čas vyjadrený v hodinách, počas ktorého je zariadenie alebo jeho časť v prevádzke a vypúšťa emisie do ovzdušia </w:t>
            </w:r>
            <w:r w:rsidR="00D5717F" w:rsidRPr="00EF5876">
              <w:t xml:space="preserve">okrem nábehu a odstavovania, </w:t>
            </w: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pPr>
            <w:r w:rsidRPr="00603CC4">
              <w:t>O.23</w:t>
            </w:r>
          </w:p>
        </w:tc>
        <w:tc>
          <w:tcPr>
            <w:tcW w:w="5771" w:type="dxa"/>
            <w:vAlign w:val="center"/>
          </w:tcPr>
          <w:tbl>
            <w:tblPr>
              <w:tblW w:w="5000" w:type="pct"/>
              <w:tblCellSpacing w:w="0" w:type="dxa"/>
              <w:tblLayout w:type="fixed"/>
              <w:tblCellMar>
                <w:left w:w="0" w:type="dxa"/>
                <w:right w:w="0" w:type="dxa"/>
              </w:tblCellMar>
              <w:tblLook w:val="00A0" w:firstRow="1" w:lastRow="0" w:firstColumn="1" w:lastColumn="0" w:noHBand="0" w:noVBand="0"/>
            </w:tblPr>
            <w:tblGrid>
              <w:gridCol w:w="229"/>
              <w:gridCol w:w="5326"/>
            </w:tblGrid>
            <w:tr w:rsidR="00B20392" w:rsidRPr="00603CC4">
              <w:trPr>
                <w:tblCellSpacing w:w="0" w:type="dxa"/>
              </w:trPr>
              <w:tc>
                <w:tcPr>
                  <w:tcW w:w="279" w:type="dxa"/>
                </w:tcPr>
                <w:p w:rsidR="00B20392" w:rsidRPr="00603CC4" w:rsidRDefault="00B20392" w:rsidP="00A506EC">
                  <w:pPr>
                    <w:spacing w:before="120" w:after="0" w:line="240" w:lineRule="auto"/>
                    <w:jc w:val="both"/>
                    <w:rPr>
                      <w:color w:val="000000"/>
                      <w:lang w:eastAsia="sk-SK"/>
                    </w:rPr>
                  </w:pPr>
                  <w:r w:rsidRPr="00603CC4">
                    <w:rPr>
                      <w:color w:val="000000"/>
                      <w:lang w:eastAsia="sk-SK"/>
                    </w:rPr>
                    <w:t>23.</w:t>
                  </w:r>
                </w:p>
              </w:tc>
              <w:tc>
                <w:tcPr>
                  <w:tcW w:w="6591" w:type="dxa"/>
                </w:tcPr>
                <w:p w:rsidR="00B20392" w:rsidRPr="00603CC4" w:rsidRDefault="00B20392" w:rsidP="00A506EC">
                  <w:pPr>
                    <w:spacing w:before="120" w:after="0" w:line="240" w:lineRule="auto"/>
                    <w:jc w:val="both"/>
                    <w:rPr>
                      <w:color w:val="000000"/>
                      <w:lang w:eastAsia="sk-SK"/>
                    </w:rPr>
                  </w:pPr>
                  <w:r w:rsidRPr="00603CC4">
                    <w:rPr>
                      <w:color w:val="000000"/>
                      <w:lang w:eastAsia="sk-SK"/>
                    </w:rPr>
                    <w:t>„prevádzkovateľ“ je akákoľvek fyzická alebo právnická osoba, ktorá prevádzkuje alebo riadi spaľovacie zariadenie alebo, ak je to stanovené vo vnútroštátnych právnych predpisoch, osoba, na ktorú bola prenesená hospodárska právomoc rozhodovať o technickom fungovaní zariadenia;</w:t>
                  </w:r>
                </w:p>
              </w:tc>
            </w:tr>
          </w:tbl>
          <w:p w:rsidR="00B20392" w:rsidRPr="00603CC4" w:rsidRDefault="00B20392" w:rsidP="00603CC4">
            <w:pPr>
              <w:spacing w:before="120" w:after="0" w:line="240" w:lineRule="auto"/>
              <w:jc w:val="both"/>
              <w:rPr>
                <w:color w:val="000000"/>
                <w:lang w:eastAsia="sk-SK"/>
              </w:rPr>
            </w:pPr>
          </w:p>
        </w:tc>
        <w:tc>
          <w:tcPr>
            <w:tcW w:w="397" w:type="dxa"/>
            <w:vAlign w:val="center"/>
          </w:tcPr>
          <w:p w:rsidR="00B20392" w:rsidRPr="00603CC4" w:rsidRDefault="00565E6C" w:rsidP="00603CC4">
            <w:pPr>
              <w:spacing w:after="0" w:line="240" w:lineRule="auto"/>
            </w:pPr>
            <w:r>
              <w:t>N</w:t>
            </w:r>
          </w:p>
        </w:tc>
        <w:tc>
          <w:tcPr>
            <w:tcW w:w="708" w:type="dxa"/>
            <w:vAlign w:val="center"/>
          </w:tcPr>
          <w:p w:rsidR="00B20392" w:rsidRPr="00603CC4" w:rsidRDefault="00BD232C" w:rsidP="00603CC4">
            <w:pPr>
              <w:spacing w:after="0" w:line="240" w:lineRule="auto"/>
            </w:pPr>
            <w:r>
              <w:t>Z</w:t>
            </w:r>
          </w:p>
        </w:tc>
        <w:tc>
          <w:tcPr>
            <w:tcW w:w="596" w:type="dxa"/>
            <w:vAlign w:val="center"/>
          </w:tcPr>
          <w:p w:rsidR="00B20392" w:rsidRPr="00603CC4" w:rsidRDefault="00D14602" w:rsidP="00D14602">
            <w:pPr>
              <w:spacing w:after="0" w:line="240" w:lineRule="auto"/>
            </w:pPr>
            <w:r>
              <w:t xml:space="preserve">§: </w:t>
            </w:r>
            <w:r w:rsidR="00BD232C">
              <w:t xml:space="preserve">2 </w:t>
            </w:r>
            <w:r>
              <w:t>P:f</w:t>
            </w:r>
          </w:p>
        </w:tc>
        <w:tc>
          <w:tcPr>
            <w:tcW w:w="6396" w:type="dxa"/>
            <w:vAlign w:val="center"/>
          </w:tcPr>
          <w:p w:rsidR="005D52A1" w:rsidRPr="00EF5876" w:rsidRDefault="005D52A1" w:rsidP="005D52A1">
            <w:pPr>
              <w:spacing w:after="79" w:line="261" w:lineRule="auto"/>
              <w:ind w:left="340"/>
              <w:jc w:val="both"/>
              <w:rPr>
                <w:lang w:eastAsia="sk-SK"/>
              </w:rPr>
            </w:pPr>
            <w:r w:rsidRPr="00EF5876">
              <w:t>Na účely tohto zákona sa rozumie</w:t>
            </w:r>
          </w:p>
          <w:p w:rsidR="00BD232C" w:rsidRPr="00EF5876" w:rsidRDefault="005D52A1" w:rsidP="005D52A1">
            <w:pPr>
              <w:spacing w:after="79" w:line="261" w:lineRule="auto"/>
              <w:ind w:left="340"/>
              <w:jc w:val="both"/>
              <w:rPr>
                <w:lang w:eastAsia="sk-SK"/>
              </w:rPr>
            </w:pPr>
            <w:r w:rsidRPr="00EF5876">
              <w:t>f)</w:t>
            </w:r>
            <w:r w:rsidR="00BD232C" w:rsidRPr="00EF5876">
              <w:t>prevádzkovateľom zdroja znečisťovania ovzdušia osoba, ktorá má právo prevádzkovať alebo riadiť zdroj znečisťovania ovzdušia,</w:t>
            </w:r>
          </w:p>
          <w:p w:rsidR="00B20392" w:rsidRPr="00EF5876"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tcBorders>
            <w:vAlign w:val="center"/>
          </w:tcPr>
          <w:p w:rsidR="00B20392" w:rsidRPr="00603CC4" w:rsidRDefault="00B20392" w:rsidP="00603CC4">
            <w:pPr>
              <w:spacing w:after="0" w:line="240" w:lineRule="auto"/>
            </w:pPr>
            <w:r w:rsidRPr="00603CC4">
              <w:t>O:24</w:t>
            </w:r>
          </w:p>
        </w:tc>
        <w:tc>
          <w:tcPr>
            <w:tcW w:w="5771" w:type="dxa"/>
            <w:vAlign w:val="center"/>
          </w:tcPr>
          <w:tbl>
            <w:tblPr>
              <w:tblW w:w="5000" w:type="pct"/>
              <w:tblCellSpacing w:w="0" w:type="dxa"/>
              <w:tblLayout w:type="fixed"/>
              <w:tblCellMar>
                <w:left w:w="0" w:type="dxa"/>
                <w:right w:w="0" w:type="dxa"/>
              </w:tblCellMar>
              <w:tblLook w:val="00A0" w:firstRow="1" w:lastRow="0" w:firstColumn="1" w:lastColumn="0" w:noHBand="0" w:noVBand="0"/>
            </w:tblPr>
            <w:tblGrid>
              <w:gridCol w:w="229"/>
              <w:gridCol w:w="5326"/>
            </w:tblGrid>
            <w:tr w:rsidR="00B20392" w:rsidRPr="00603CC4">
              <w:trPr>
                <w:tblCellSpacing w:w="0" w:type="dxa"/>
              </w:trPr>
              <w:tc>
                <w:tcPr>
                  <w:tcW w:w="279" w:type="dxa"/>
                </w:tcPr>
                <w:p w:rsidR="00B20392" w:rsidRPr="00603CC4" w:rsidRDefault="00B20392" w:rsidP="00A506EC">
                  <w:pPr>
                    <w:spacing w:before="120" w:after="0" w:line="240" w:lineRule="auto"/>
                    <w:jc w:val="both"/>
                    <w:rPr>
                      <w:color w:val="000000"/>
                      <w:lang w:eastAsia="sk-SK"/>
                    </w:rPr>
                  </w:pPr>
                  <w:r w:rsidRPr="00603CC4">
                    <w:rPr>
                      <w:color w:val="000000"/>
                      <w:lang w:eastAsia="sk-SK"/>
                    </w:rPr>
                    <w:t>24.</w:t>
                  </w:r>
                </w:p>
              </w:tc>
              <w:tc>
                <w:tcPr>
                  <w:tcW w:w="6591" w:type="dxa"/>
                </w:tcPr>
                <w:p w:rsidR="00B20392" w:rsidRPr="00603CC4" w:rsidRDefault="00B20392" w:rsidP="00A506EC">
                  <w:pPr>
                    <w:spacing w:before="120" w:after="0" w:line="240" w:lineRule="auto"/>
                    <w:jc w:val="both"/>
                    <w:rPr>
                      <w:color w:val="000000"/>
                      <w:lang w:eastAsia="sk-SK"/>
                    </w:rPr>
                  </w:pPr>
                  <w:r w:rsidRPr="00603CC4">
                    <w:rPr>
                      <w:color w:val="000000"/>
                      <w:lang w:eastAsia="sk-SK"/>
                    </w:rPr>
                    <w:t>„zóna“ je časť územia členského štátu, ktorú tento členský štát vymedzil na účely posúdenia a riadenia kvality ovzdušia, ako sa stanovuje v smernici 2008/50/ES.</w:t>
                  </w:r>
                </w:p>
              </w:tc>
            </w:tr>
          </w:tbl>
          <w:p w:rsidR="00B20392" w:rsidRPr="00603CC4" w:rsidRDefault="00B20392" w:rsidP="00603CC4">
            <w:pPr>
              <w:spacing w:before="120" w:after="0" w:line="240" w:lineRule="auto"/>
              <w:jc w:val="both"/>
              <w:rPr>
                <w:color w:val="000000"/>
                <w:lang w:eastAsia="sk-SK"/>
              </w:rPr>
            </w:pPr>
          </w:p>
        </w:tc>
        <w:tc>
          <w:tcPr>
            <w:tcW w:w="397" w:type="dxa"/>
            <w:vAlign w:val="center"/>
          </w:tcPr>
          <w:p w:rsidR="00B20392" w:rsidRPr="00603CC4" w:rsidRDefault="00565E6C" w:rsidP="00603CC4">
            <w:pPr>
              <w:spacing w:after="0" w:line="240" w:lineRule="auto"/>
            </w:pPr>
            <w:r>
              <w:t>N</w:t>
            </w:r>
          </w:p>
        </w:tc>
        <w:tc>
          <w:tcPr>
            <w:tcW w:w="708" w:type="dxa"/>
            <w:vAlign w:val="center"/>
          </w:tcPr>
          <w:p w:rsidR="00B20392" w:rsidRPr="00603CC4" w:rsidRDefault="00BD232C" w:rsidP="00603CC4">
            <w:pPr>
              <w:spacing w:after="0" w:line="240" w:lineRule="auto"/>
            </w:pPr>
            <w:r>
              <w:t>NZ</w:t>
            </w:r>
          </w:p>
        </w:tc>
        <w:tc>
          <w:tcPr>
            <w:tcW w:w="596" w:type="dxa"/>
            <w:vAlign w:val="center"/>
          </w:tcPr>
          <w:p w:rsidR="00B20392" w:rsidRPr="00603CC4" w:rsidRDefault="00D14602" w:rsidP="00603CC4">
            <w:pPr>
              <w:spacing w:after="0" w:line="240" w:lineRule="auto"/>
            </w:pPr>
            <w:r>
              <w:t>§:</w:t>
            </w:r>
            <w:r w:rsidR="00BD232C">
              <w:t>6 O</w:t>
            </w:r>
            <w:r>
              <w:t>:</w:t>
            </w:r>
            <w:r w:rsidR="00BD232C">
              <w:t>4</w:t>
            </w:r>
          </w:p>
        </w:tc>
        <w:tc>
          <w:tcPr>
            <w:tcW w:w="6396" w:type="dxa"/>
            <w:vAlign w:val="center"/>
          </w:tcPr>
          <w:p w:rsidR="00BD232C" w:rsidRPr="00EF5876" w:rsidRDefault="00BD232C" w:rsidP="005D52A1">
            <w:pPr>
              <w:tabs>
                <w:tab w:val="left" w:pos="993"/>
                <w:tab w:val="left" w:pos="1134"/>
              </w:tabs>
              <w:spacing w:after="120" w:line="240" w:lineRule="auto"/>
              <w:ind w:left="176"/>
              <w:jc w:val="both"/>
              <w:rPr>
                <w:rFonts w:asciiTheme="minorHAnsi" w:hAnsiTheme="minorHAnsi" w:cs="Times New Roman"/>
                <w:szCs w:val="20"/>
                <w:lang w:eastAsia="sk-SK"/>
              </w:rPr>
            </w:pPr>
            <w:r w:rsidRPr="00EF5876">
              <w:rPr>
                <w:rFonts w:asciiTheme="minorHAnsi" w:hAnsiTheme="minorHAnsi" w:cs="Times New Roman"/>
                <w:szCs w:val="20"/>
              </w:rPr>
              <w:t>(4)Zóna je vymedzená časť územia Slovenskej republiky na účely hodnotenia a riadenia kvality ovzdušia.</w:t>
            </w:r>
          </w:p>
          <w:p w:rsidR="00B20392" w:rsidRPr="00EF5876" w:rsidRDefault="00B20392" w:rsidP="00603CC4">
            <w:pPr>
              <w:spacing w:after="0" w:line="240" w:lineRule="auto"/>
            </w:pPr>
          </w:p>
        </w:tc>
        <w:tc>
          <w:tcPr>
            <w:tcW w:w="508" w:type="dxa"/>
            <w:tcBorders>
              <w:top w:val="nil"/>
            </w:tcBorders>
            <w:vAlign w:val="center"/>
          </w:tcPr>
          <w:p w:rsidR="00B20392" w:rsidRPr="00603CC4" w:rsidRDefault="00B20392" w:rsidP="00603CC4">
            <w:pPr>
              <w:spacing w:after="0" w:line="240" w:lineRule="auto"/>
            </w:pPr>
          </w:p>
        </w:tc>
        <w:tc>
          <w:tcPr>
            <w:tcW w:w="508" w:type="dxa"/>
            <w:tcBorders>
              <w:top w:val="nil"/>
            </w:tcBorders>
            <w:vAlign w:val="center"/>
          </w:tcPr>
          <w:p w:rsidR="00B20392" w:rsidRPr="00603CC4" w:rsidRDefault="00B20392" w:rsidP="00603CC4">
            <w:pPr>
              <w:spacing w:after="0" w:line="240" w:lineRule="auto"/>
            </w:pPr>
          </w:p>
        </w:tc>
      </w:tr>
      <w:tr w:rsidR="00B20392" w:rsidRPr="00603CC4" w:rsidTr="007D7E3B">
        <w:trPr>
          <w:trHeight w:val="899"/>
        </w:trPr>
        <w:tc>
          <w:tcPr>
            <w:tcW w:w="709" w:type="dxa"/>
            <w:tcBorders>
              <w:bottom w:val="nil"/>
            </w:tcBorders>
            <w:vAlign w:val="center"/>
          </w:tcPr>
          <w:p w:rsidR="00B20392" w:rsidRPr="00603CC4" w:rsidRDefault="00B20392" w:rsidP="00603CC4">
            <w:pPr>
              <w:spacing w:after="0" w:line="240" w:lineRule="auto"/>
            </w:pPr>
            <w:r w:rsidRPr="00603CC4">
              <w:t>Č:4</w:t>
            </w:r>
          </w:p>
        </w:tc>
        <w:tc>
          <w:tcPr>
            <w:tcW w:w="5771" w:type="dxa"/>
            <w:vAlign w:val="center"/>
          </w:tcPr>
          <w:p w:rsidR="00B20392" w:rsidRPr="00603CC4" w:rsidRDefault="00B20392" w:rsidP="00603CC4">
            <w:pPr>
              <w:spacing w:before="120" w:after="0" w:line="240" w:lineRule="auto"/>
              <w:jc w:val="both"/>
              <w:rPr>
                <w:color w:val="000000"/>
              </w:rPr>
            </w:pPr>
            <w:proofErr w:type="spellStart"/>
            <w:r w:rsidRPr="00603CC4">
              <w:t>Agregácia</w:t>
            </w:r>
            <w:proofErr w:type="spellEnd"/>
          </w:p>
        </w:tc>
        <w:tc>
          <w:tcPr>
            <w:tcW w:w="397" w:type="dxa"/>
            <w:vAlign w:val="center"/>
          </w:tcPr>
          <w:p w:rsidR="00B20392" w:rsidRPr="00603CC4" w:rsidRDefault="00565E6C" w:rsidP="00603CC4">
            <w:pPr>
              <w:spacing w:after="0" w:line="240" w:lineRule="auto"/>
            </w:pPr>
            <w:r>
              <w:t>N</w:t>
            </w:r>
          </w:p>
        </w:tc>
        <w:tc>
          <w:tcPr>
            <w:tcW w:w="708" w:type="dxa"/>
            <w:vAlign w:val="center"/>
          </w:tcPr>
          <w:p w:rsidR="00B20392" w:rsidRDefault="000478AD" w:rsidP="00603CC4">
            <w:pPr>
              <w:spacing w:after="0" w:line="240" w:lineRule="auto"/>
            </w:pPr>
            <w:r>
              <w:t>N410</w:t>
            </w:r>
          </w:p>
          <w:p w:rsidR="000478AD" w:rsidRPr="00603CC4" w:rsidRDefault="000478AD" w:rsidP="00603CC4">
            <w:pPr>
              <w:spacing w:after="0" w:line="240" w:lineRule="auto"/>
            </w:pPr>
          </w:p>
        </w:tc>
        <w:tc>
          <w:tcPr>
            <w:tcW w:w="596" w:type="dxa"/>
            <w:vAlign w:val="center"/>
          </w:tcPr>
          <w:p w:rsidR="00B20392" w:rsidRPr="00603CC4" w:rsidRDefault="00D14602" w:rsidP="00603CC4">
            <w:pPr>
              <w:spacing w:after="0" w:line="240" w:lineRule="auto"/>
            </w:pPr>
            <w:r>
              <w:t>§:</w:t>
            </w:r>
            <w:r w:rsidR="005D52A1">
              <w:t>9</w:t>
            </w:r>
          </w:p>
        </w:tc>
        <w:tc>
          <w:tcPr>
            <w:tcW w:w="6396" w:type="dxa"/>
            <w:vAlign w:val="center"/>
          </w:tcPr>
          <w:p w:rsidR="005D52A1" w:rsidRPr="00EF5876" w:rsidRDefault="005D52A1" w:rsidP="007D7E3B">
            <w:pPr>
              <w:spacing w:after="0"/>
              <w:jc w:val="center"/>
              <w:rPr>
                <w:b/>
              </w:rPr>
            </w:pPr>
            <w:r w:rsidRPr="00EF5876">
              <w:rPr>
                <w:b/>
              </w:rPr>
              <w:t>§ 9</w:t>
            </w:r>
          </w:p>
          <w:p w:rsidR="00B20392" w:rsidRPr="00EF5876" w:rsidRDefault="005D52A1" w:rsidP="007D7E3B">
            <w:pPr>
              <w:spacing w:after="0"/>
              <w:jc w:val="center"/>
              <w:rPr>
                <w:b/>
              </w:rPr>
            </w:pPr>
            <w:r w:rsidRPr="00EF5876">
              <w:rPr>
                <w:b/>
              </w:rPr>
              <w:t>Uplatňovanie emisných limitov a podmienok prevádzkovania pre spaľovacie zariadenia</w:t>
            </w:r>
          </w:p>
        </w:tc>
        <w:tc>
          <w:tcPr>
            <w:tcW w:w="508" w:type="dxa"/>
            <w:tcBorders>
              <w:bottom w:val="nil"/>
            </w:tcBorders>
            <w:vAlign w:val="center"/>
          </w:tcPr>
          <w:p w:rsidR="00B20392" w:rsidRPr="00603CC4" w:rsidRDefault="00B20392" w:rsidP="00603CC4">
            <w:pPr>
              <w:spacing w:after="0" w:line="240" w:lineRule="auto"/>
            </w:pPr>
          </w:p>
        </w:tc>
        <w:tc>
          <w:tcPr>
            <w:tcW w:w="508" w:type="dxa"/>
            <w:tcBorders>
              <w:bottom w:val="nil"/>
            </w:tcBorders>
            <w:vAlign w:val="center"/>
          </w:tcPr>
          <w:p w:rsidR="00B20392" w:rsidRPr="00603CC4" w:rsidRDefault="00B20392" w:rsidP="00603CC4">
            <w:pPr>
              <w:spacing w:after="0" w:line="240" w:lineRule="auto"/>
            </w:pPr>
          </w:p>
        </w:tc>
      </w:tr>
      <w:tr w:rsidR="00B20392" w:rsidRPr="00603CC4" w:rsidTr="007D7E3B">
        <w:trPr>
          <w:trHeight w:val="4639"/>
        </w:trPr>
        <w:tc>
          <w:tcPr>
            <w:tcW w:w="709" w:type="dxa"/>
            <w:tcBorders>
              <w:bottom w:val="nil"/>
            </w:tcBorders>
            <w:vAlign w:val="center"/>
          </w:tcPr>
          <w:p w:rsidR="00B20392" w:rsidRPr="00603CC4" w:rsidRDefault="00B20392" w:rsidP="00603CC4">
            <w:pPr>
              <w:spacing w:after="0" w:line="240" w:lineRule="auto"/>
            </w:pPr>
          </w:p>
        </w:tc>
        <w:tc>
          <w:tcPr>
            <w:tcW w:w="5771" w:type="dxa"/>
            <w:vAlign w:val="center"/>
          </w:tcPr>
          <w:p w:rsidR="00B20392" w:rsidRPr="00603CC4" w:rsidRDefault="00B20392" w:rsidP="00603CC4">
            <w:pPr>
              <w:spacing w:before="120" w:after="0" w:line="240" w:lineRule="auto"/>
              <w:jc w:val="both"/>
            </w:pPr>
            <w:r w:rsidRPr="00603CC4">
              <w:t xml:space="preserve">Kombinácia dvoch alebo viacerých nových stredne veľkých spaľovacích zariadení sa na účely tejto smernice považuje za jedno stredne veľké spaľovacie zariadenie a ich menovitý tepelný príkon sa sčítava na účely výpočtu celkového menovitého tepelného príkonu zariadenia, ak: </w:t>
            </w:r>
          </w:p>
          <w:p w:rsidR="00B20392" w:rsidRPr="00603CC4" w:rsidRDefault="00B20392" w:rsidP="00603CC4">
            <w:pPr>
              <w:spacing w:before="120" w:after="0" w:line="240" w:lineRule="auto"/>
              <w:jc w:val="both"/>
            </w:pPr>
            <w:r w:rsidRPr="00603CC4">
              <w:t xml:space="preserve">— sa odpadové plyny takýchto stredne veľkých spaľovacích zariadení vypúšťajú spoločným komínom alebo </w:t>
            </w:r>
          </w:p>
          <w:p w:rsidR="00B20392" w:rsidRPr="00603CC4" w:rsidRDefault="00B20392" w:rsidP="00603CC4">
            <w:pPr>
              <w:spacing w:before="120" w:after="0" w:line="240" w:lineRule="auto"/>
              <w:jc w:val="both"/>
              <w:rPr>
                <w:b/>
                <w:bCs/>
              </w:rPr>
            </w:pPr>
            <w:r w:rsidRPr="00603CC4">
              <w:t>— vzhľadom na technické a ekonomické faktory by sa odpadové plyny takýchto stredne veľkých spaľovacích zariadení mohli vypúšťať spoločným komínom, a to podľa posúdenia príslušného orgánu.</w:t>
            </w:r>
          </w:p>
        </w:tc>
        <w:tc>
          <w:tcPr>
            <w:tcW w:w="397" w:type="dxa"/>
            <w:vAlign w:val="center"/>
          </w:tcPr>
          <w:p w:rsidR="00B20392" w:rsidRPr="00603CC4" w:rsidRDefault="00565E6C" w:rsidP="00603CC4">
            <w:pPr>
              <w:spacing w:after="0" w:line="240" w:lineRule="auto"/>
            </w:pPr>
            <w:r>
              <w:t>N</w:t>
            </w:r>
          </w:p>
        </w:tc>
        <w:tc>
          <w:tcPr>
            <w:tcW w:w="708" w:type="dxa"/>
            <w:vAlign w:val="center"/>
          </w:tcPr>
          <w:p w:rsidR="00B20392" w:rsidRPr="00603CC4" w:rsidRDefault="000478AD" w:rsidP="00603CC4">
            <w:pPr>
              <w:spacing w:after="0" w:line="240" w:lineRule="auto"/>
            </w:pPr>
            <w:r>
              <w:t>N410</w:t>
            </w:r>
          </w:p>
        </w:tc>
        <w:tc>
          <w:tcPr>
            <w:tcW w:w="596" w:type="dxa"/>
            <w:vAlign w:val="center"/>
          </w:tcPr>
          <w:p w:rsidR="005D52A1" w:rsidRDefault="00D14602" w:rsidP="00603CC4">
            <w:pPr>
              <w:spacing w:after="0" w:line="240" w:lineRule="auto"/>
            </w:pPr>
            <w:r>
              <w:t>§</w:t>
            </w:r>
            <w:r w:rsidR="005D52A1">
              <w:t xml:space="preserve">:9 </w:t>
            </w:r>
          </w:p>
          <w:p w:rsidR="00B20392" w:rsidRDefault="005D52A1" w:rsidP="00603CC4">
            <w:pPr>
              <w:spacing w:after="0" w:line="240" w:lineRule="auto"/>
            </w:pPr>
            <w:r>
              <w:t>O: 2</w:t>
            </w:r>
          </w:p>
          <w:p w:rsidR="0032005D" w:rsidRDefault="0032005D" w:rsidP="00603CC4">
            <w:pPr>
              <w:spacing w:after="0" w:line="240" w:lineRule="auto"/>
            </w:pPr>
          </w:p>
          <w:p w:rsidR="0032005D" w:rsidRDefault="0032005D" w:rsidP="00603CC4">
            <w:pPr>
              <w:spacing w:after="0" w:line="240" w:lineRule="auto"/>
            </w:pPr>
            <w:r>
              <w:t xml:space="preserve">Príl.4 </w:t>
            </w:r>
          </w:p>
          <w:p w:rsidR="0032005D" w:rsidRDefault="0032005D" w:rsidP="00603CC4">
            <w:pPr>
              <w:spacing w:after="0" w:line="240" w:lineRule="auto"/>
            </w:pPr>
            <w:r>
              <w:t>Časť I</w:t>
            </w:r>
          </w:p>
          <w:p w:rsidR="0032005D" w:rsidRDefault="0032005D" w:rsidP="00603CC4">
            <w:pPr>
              <w:spacing w:after="0" w:line="240" w:lineRule="auto"/>
            </w:pPr>
            <w:r>
              <w:t>B</w:t>
            </w:r>
            <w:r w:rsidR="00D14602">
              <w:t>:</w:t>
            </w:r>
            <w:r>
              <w:t>2</w:t>
            </w:r>
          </w:p>
          <w:p w:rsidR="0032005D" w:rsidRDefault="0032005D" w:rsidP="00603CC4">
            <w:pPr>
              <w:spacing w:after="0" w:line="240" w:lineRule="auto"/>
            </w:pPr>
          </w:p>
          <w:p w:rsidR="0032005D" w:rsidRDefault="0032005D" w:rsidP="00603CC4">
            <w:pPr>
              <w:spacing w:after="0" w:line="240" w:lineRule="auto"/>
            </w:pPr>
          </w:p>
          <w:p w:rsidR="0032005D" w:rsidRDefault="0032005D" w:rsidP="00603CC4">
            <w:pPr>
              <w:spacing w:after="0" w:line="240" w:lineRule="auto"/>
            </w:pPr>
          </w:p>
          <w:p w:rsidR="0032005D" w:rsidRDefault="0032005D" w:rsidP="00603CC4">
            <w:pPr>
              <w:spacing w:after="0" w:line="240" w:lineRule="auto"/>
            </w:pPr>
          </w:p>
          <w:p w:rsidR="0032005D" w:rsidRDefault="0032005D" w:rsidP="00603CC4">
            <w:pPr>
              <w:spacing w:after="0" w:line="240" w:lineRule="auto"/>
            </w:pPr>
          </w:p>
          <w:p w:rsidR="0032005D" w:rsidRDefault="0032005D" w:rsidP="00603CC4">
            <w:pPr>
              <w:spacing w:after="0" w:line="240" w:lineRule="auto"/>
            </w:pPr>
          </w:p>
          <w:p w:rsidR="0032005D" w:rsidRDefault="0032005D" w:rsidP="00603CC4">
            <w:pPr>
              <w:spacing w:after="0" w:line="240" w:lineRule="auto"/>
            </w:pPr>
          </w:p>
          <w:p w:rsidR="0032005D" w:rsidRDefault="0032005D" w:rsidP="00603CC4">
            <w:pPr>
              <w:spacing w:after="0" w:line="240" w:lineRule="auto"/>
            </w:pPr>
          </w:p>
          <w:p w:rsidR="0032005D" w:rsidRDefault="0032005D" w:rsidP="00603CC4">
            <w:pPr>
              <w:spacing w:after="0" w:line="240" w:lineRule="auto"/>
            </w:pPr>
          </w:p>
          <w:p w:rsidR="0032005D" w:rsidRPr="00603CC4" w:rsidRDefault="0032005D" w:rsidP="00603CC4">
            <w:pPr>
              <w:spacing w:after="0" w:line="240" w:lineRule="auto"/>
            </w:pPr>
          </w:p>
        </w:tc>
        <w:tc>
          <w:tcPr>
            <w:tcW w:w="6396" w:type="dxa"/>
            <w:vAlign w:val="center"/>
          </w:tcPr>
          <w:p w:rsidR="005D52A1" w:rsidRPr="00EF5876" w:rsidRDefault="005D52A1" w:rsidP="005D52A1">
            <w:pPr>
              <w:tabs>
                <w:tab w:val="left" w:pos="1276"/>
              </w:tabs>
              <w:spacing w:after="0"/>
              <w:contextualSpacing/>
            </w:pPr>
            <w:r w:rsidRPr="00EF5876">
              <w:t xml:space="preserve">(2)Celkový menovitý tepelný príkon sa určí podľa </w:t>
            </w:r>
            <w:proofErr w:type="spellStart"/>
            <w:r w:rsidRPr="00EF5876">
              <w:t>agregačných</w:t>
            </w:r>
            <w:proofErr w:type="spellEnd"/>
            <w:r w:rsidRPr="00EF5876">
              <w:t xml:space="preserve"> pravidiel uvedených v </w:t>
            </w:r>
            <w:hyperlink r:id="rId10" w:anchor="prilohy.priloha-priloha_c_4_k_vyhlaske_c_410_2012_z_z.oznacenie" w:tooltip="Odkaz na predpis alebo ustanovenie" w:history="1">
              <w:r w:rsidRPr="007D7E3B">
                <w:t>prílohe č. 4 prvej časti</w:t>
              </w:r>
            </w:hyperlink>
            <w:r w:rsidRPr="00EF5876">
              <w:t xml:space="preserve">. </w:t>
            </w:r>
          </w:p>
          <w:p w:rsidR="0032005D" w:rsidRPr="007D7E3B" w:rsidRDefault="0032005D" w:rsidP="00215280">
            <w:pPr>
              <w:pStyle w:val="Odsekzoznamu1"/>
              <w:numPr>
                <w:ilvl w:val="0"/>
                <w:numId w:val="17"/>
              </w:numPr>
              <w:jc w:val="left"/>
              <w:rPr>
                <w:rFonts w:ascii="Calibri" w:hAnsi="Calibri" w:cs="Calibri"/>
                <w:sz w:val="22"/>
                <w:szCs w:val="22"/>
              </w:rPr>
            </w:pPr>
            <w:r w:rsidRPr="007D7E3B">
              <w:rPr>
                <w:rFonts w:ascii="Calibri" w:hAnsi="Calibri" w:cs="Calibri"/>
                <w:sz w:val="22"/>
                <w:szCs w:val="22"/>
              </w:rPr>
              <w:t xml:space="preserve">Stredne veľké spaľovacie zariadenie </w:t>
            </w:r>
          </w:p>
          <w:p w:rsidR="0032005D" w:rsidRPr="00EF5876" w:rsidRDefault="0032005D" w:rsidP="0032005D">
            <w:pPr>
              <w:spacing w:after="0"/>
              <w:ind w:left="567" w:hanging="567"/>
              <w:jc w:val="both"/>
            </w:pPr>
            <w:r w:rsidRPr="00EF5876">
              <w:t>2.1    Stredne veľkým spaľovacím zariadením je spaľovacie zariadenie bez ohľadu na typ spaľovaného paliva,</w:t>
            </w:r>
          </w:p>
          <w:p w:rsidR="0032005D" w:rsidRPr="007D7E3B" w:rsidRDefault="0032005D" w:rsidP="00215280">
            <w:pPr>
              <w:pStyle w:val="Odsekzoznamu"/>
              <w:keepNext w:val="0"/>
              <w:numPr>
                <w:ilvl w:val="1"/>
                <w:numId w:val="15"/>
              </w:numPr>
              <w:spacing w:before="0" w:after="0"/>
              <w:ind w:left="851" w:hanging="284"/>
              <w:contextualSpacing/>
              <w:rPr>
                <w:rFonts w:ascii="Calibri" w:eastAsia="Calibri" w:hAnsi="Calibri" w:cs="Calibri"/>
                <w:sz w:val="22"/>
                <w:szCs w:val="22"/>
              </w:rPr>
            </w:pPr>
            <w:r w:rsidRPr="007D7E3B">
              <w:rPr>
                <w:rFonts w:ascii="Calibri" w:eastAsia="Calibri" w:hAnsi="Calibri" w:cs="Calibri"/>
                <w:sz w:val="22"/>
                <w:szCs w:val="22"/>
              </w:rPr>
              <w:t xml:space="preserve">s celkovým MTP ≥  1 MW a &lt;  50 MW bez ohľadu na typ spaľovaného paliva, </w:t>
            </w:r>
          </w:p>
          <w:p w:rsidR="0032005D" w:rsidRPr="007D7E3B" w:rsidRDefault="0032005D" w:rsidP="00215280">
            <w:pPr>
              <w:pStyle w:val="Odsekzoznamu"/>
              <w:keepNext w:val="0"/>
              <w:numPr>
                <w:ilvl w:val="1"/>
                <w:numId w:val="15"/>
              </w:numPr>
              <w:spacing w:before="0" w:after="0"/>
              <w:ind w:left="851" w:hanging="284"/>
              <w:contextualSpacing/>
              <w:rPr>
                <w:rFonts w:ascii="Calibri" w:eastAsia="Calibri" w:hAnsi="Calibri" w:cs="Calibri"/>
                <w:sz w:val="22"/>
                <w:szCs w:val="22"/>
              </w:rPr>
            </w:pPr>
            <w:r w:rsidRPr="007D7E3B">
              <w:rPr>
                <w:rFonts w:ascii="Calibri" w:eastAsia="Calibri" w:hAnsi="Calibri" w:cs="Calibri"/>
                <w:sz w:val="22"/>
                <w:szCs w:val="22"/>
              </w:rPr>
              <w:t>s celkovým MTP ≥  50 MW, ak nejde o veľké spaľovacie zariadenie.</w:t>
            </w:r>
          </w:p>
          <w:p w:rsidR="0032005D" w:rsidRPr="007D7E3B" w:rsidRDefault="0032005D" w:rsidP="0032005D">
            <w:pPr>
              <w:pStyle w:val="Odsekzoznamu1"/>
              <w:ind w:left="567" w:hanging="567"/>
              <w:rPr>
                <w:rFonts w:ascii="Calibri" w:hAnsi="Calibri" w:cs="Calibri"/>
                <w:sz w:val="22"/>
                <w:szCs w:val="22"/>
              </w:rPr>
            </w:pPr>
            <w:r w:rsidRPr="007D7E3B">
              <w:rPr>
                <w:rFonts w:ascii="Calibri" w:hAnsi="Calibri" w:cs="Calibri"/>
                <w:sz w:val="22"/>
                <w:szCs w:val="22"/>
              </w:rPr>
              <w:t xml:space="preserve">2.2  </w:t>
            </w:r>
            <w:r w:rsidR="007D7E3B">
              <w:rPr>
                <w:rFonts w:ascii="Calibri" w:hAnsi="Calibri" w:cs="Calibri"/>
                <w:sz w:val="22"/>
                <w:szCs w:val="22"/>
              </w:rPr>
              <w:t>Z</w:t>
            </w:r>
            <w:r w:rsidRPr="007D7E3B">
              <w:rPr>
                <w:rFonts w:ascii="Calibri" w:hAnsi="Calibri" w:cs="Calibri"/>
                <w:sz w:val="22"/>
                <w:szCs w:val="22"/>
              </w:rPr>
              <w:t>a stredne veľké spaľovacie zariadenie sa tiež považuje zariadenie zložené z dvoch alebo viacerých nových spaľovacích jednotiek, ak</w:t>
            </w:r>
          </w:p>
          <w:p w:rsidR="0032005D" w:rsidRPr="007D7E3B" w:rsidRDefault="0032005D" w:rsidP="00215280">
            <w:pPr>
              <w:pStyle w:val="Odsekzoznamu1"/>
              <w:numPr>
                <w:ilvl w:val="0"/>
                <w:numId w:val="16"/>
              </w:numPr>
              <w:ind w:left="851" w:hanging="284"/>
              <w:rPr>
                <w:rFonts w:ascii="Calibri" w:hAnsi="Calibri" w:cs="Calibri"/>
                <w:sz w:val="22"/>
                <w:szCs w:val="22"/>
              </w:rPr>
            </w:pPr>
            <w:r w:rsidRPr="007D7E3B">
              <w:rPr>
                <w:rFonts w:ascii="Calibri" w:hAnsi="Calibri" w:cs="Calibri"/>
                <w:sz w:val="22"/>
                <w:szCs w:val="22"/>
              </w:rPr>
              <w:t>ich emisie sú vypúšťané cez spoločný komín, alebo</w:t>
            </w:r>
          </w:p>
          <w:p w:rsidR="00B20392" w:rsidRPr="007D7E3B" w:rsidRDefault="0032005D" w:rsidP="00215280">
            <w:pPr>
              <w:pStyle w:val="Odsekzoznamu1"/>
              <w:numPr>
                <w:ilvl w:val="0"/>
                <w:numId w:val="16"/>
              </w:numPr>
              <w:ind w:left="851" w:hanging="284"/>
              <w:rPr>
                <w:rFonts w:ascii="Calibri" w:hAnsi="Calibri" w:cs="Calibri"/>
                <w:sz w:val="22"/>
                <w:szCs w:val="22"/>
              </w:rPr>
            </w:pPr>
            <w:r w:rsidRPr="007D7E3B">
              <w:rPr>
                <w:rFonts w:ascii="Calibri" w:hAnsi="Calibri" w:cs="Calibri"/>
                <w:sz w:val="22"/>
                <w:szCs w:val="22"/>
              </w:rPr>
              <w:t>ak podľa posúdenia príslušného správneho orgánu po zohľadnení technických a ekonomických faktorov by mohli vypúšťať odpadové plyny cez spoločný komín.</w:t>
            </w:r>
          </w:p>
        </w:tc>
        <w:tc>
          <w:tcPr>
            <w:tcW w:w="508" w:type="dxa"/>
            <w:tcBorders>
              <w:bottom w:val="nil"/>
            </w:tcBorders>
            <w:vAlign w:val="center"/>
          </w:tcPr>
          <w:p w:rsidR="00B20392" w:rsidRPr="00603CC4" w:rsidRDefault="00B20392" w:rsidP="00603CC4">
            <w:pPr>
              <w:spacing w:after="0" w:line="240" w:lineRule="auto"/>
            </w:pPr>
          </w:p>
        </w:tc>
        <w:tc>
          <w:tcPr>
            <w:tcW w:w="508" w:type="dxa"/>
            <w:tcBorders>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bottom w:val="nil"/>
            </w:tcBorders>
            <w:vAlign w:val="center"/>
          </w:tcPr>
          <w:p w:rsidR="00B20392" w:rsidRPr="00603CC4" w:rsidRDefault="00B20392" w:rsidP="00603CC4">
            <w:pPr>
              <w:spacing w:after="0" w:line="240" w:lineRule="auto"/>
            </w:pPr>
            <w:r w:rsidRPr="00603CC4">
              <w:t>Č:5</w:t>
            </w:r>
          </w:p>
        </w:tc>
        <w:tc>
          <w:tcPr>
            <w:tcW w:w="5771" w:type="dxa"/>
            <w:vAlign w:val="center"/>
          </w:tcPr>
          <w:p w:rsidR="00B20392" w:rsidRPr="00603CC4" w:rsidRDefault="00B20392" w:rsidP="00603CC4">
            <w:pPr>
              <w:spacing w:before="120" w:after="0" w:line="240" w:lineRule="auto"/>
              <w:jc w:val="both"/>
              <w:rPr>
                <w:color w:val="000000"/>
                <w:lang w:eastAsia="sk-SK"/>
              </w:rPr>
            </w:pPr>
            <w:r w:rsidRPr="00603CC4">
              <w:rPr>
                <w:color w:val="000000"/>
              </w:rPr>
              <w:t>Povolenia a registrácia</w:t>
            </w:r>
          </w:p>
        </w:tc>
        <w:tc>
          <w:tcPr>
            <w:tcW w:w="397" w:type="dxa"/>
            <w:vAlign w:val="center"/>
          </w:tcPr>
          <w:p w:rsidR="00B20392" w:rsidRPr="00603CC4" w:rsidRDefault="00B20392" w:rsidP="00603CC4">
            <w:pPr>
              <w:spacing w:after="0" w:line="240" w:lineRule="auto"/>
            </w:pPr>
          </w:p>
        </w:tc>
        <w:tc>
          <w:tcPr>
            <w:tcW w:w="708" w:type="dxa"/>
            <w:vAlign w:val="center"/>
          </w:tcPr>
          <w:p w:rsidR="00B20392" w:rsidRPr="00603CC4" w:rsidRDefault="00565E6C" w:rsidP="00603CC4">
            <w:pPr>
              <w:spacing w:after="0" w:line="240" w:lineRule="auto"/>
            </w:pPr>
            <w:r>
              <w:t>Z</w:t>
            </w:r>
          </w:p>
        </w:tc>
        <w:tc>
          <w:tcPr>
            <w:tcW w:w="596" w:type="dxa"/>
            <w:vAlign w:val="center"/>
          </w:tcPr>
          <w:p w:rsidR="00B20392" w:rsidRPr="00603CC4" w:rsidRDefault="00565E6C" w:rsidP="00603CC4">
            <w:pPr>
              <w:spacing w:after="0" w:line="240" w:lineRule="auto"/>
            </w:pPr>
            <w:r>
              <w:t>§:17</w:t>
            </w:r>
          </w:p>
        </w:tc>
        <w:tc>
          <w:tcPr>
            <w:tcW w:w="6396" w:type="dxa"/>
            <w:vAlign w:val="center"/>
          </w:tcPr>
          <w:p w:rsidR="00B20392" w:rsidRPr="00EF5876" w:rsidRDefault="00565E6C" w:rsidP="00565E6C">
            <w:pPr>
              <w:spacing w:after="0" w:line="240" w:lineRule="auto"/>
            </w:pPr>
            <w:r w:rsidRPr="00EF5876">
              <w:t>Súhlasy</w:t>
            </w:r>
          </w:p>
        </w:tc>
        <w:tc>
          <w:tcPr>
            <w:tcW w:w="508" w:type="dxa"/>
            <w:tcBorders>
              <w:bottom w:val="nil"/>
            </w:tcBorders>
            <w:vAlign w:val="center"/>
          </w:tcPr>
          <w:p w:rsidR="00B20392" w:rsidRPr="00603CC4" w:rsidRDefault="00B20392" w:rsidP="00603CC4">
            <w:pPr>
              <w:spacing w:after="0" w:line="240" w:lineRule="auto"/>
            </w:pPr>
          </w:p>
        </w:tc>
        <w:tc>
          <w:tcPr>
            <w:tcW w:w="508" w:type="dxa"/>
            <w:tcBorders>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pPr>
            <w:r w:rsidRPr="00603CC4">
              <w:t>O:1</w:t>
            </w:r>
          </w:p>
        </w:tc>
        <w:tc>
          <w:tcPr>
            <w:tcW w:w="5771" w:type="dxa"/>
            <w:vAlign w:val="center"/>
          </w:tcPr>
          <w:p w:rsidR="00B20392" w:rsidRPr="00603CC4" w:rsidRDefault="00B20392" w:rsidP="00603CC4">
            <w:pPr>
              <w:spacing w:before="120" w:after="0" w:line="240" w:lineRule="auto"/>
              <w:jc w:val="both"/>
              <w:rPr>
                <w:color w:val="000000"/>
                <w:lang w:eastAsia="sk-SK"/>
              </w:rPr>
            </w:pPr>
            <w:r w:rsidRPr="00603CC4">
              <w:rPr>
                <w:color w:val="000000"/>
              </w:rPr>
              <w:t>1. Členské štáty prijmú potrebné opatrenia, aby zabezpečili, že žiadne nové stredne veľké spaľovacie zariadenie nebude prevádzkované bez povolenia alebo registrácie.</w:t>
            </w:r>
          </w:p>
        </w:tc>
        <w:tc>
          <w:tcPr>
            <w:tcW w:w="397" w:type="dxa"/>
            <w:vAlign w:val="center"/>
          </w:tcPr>
          <w:p w:rsidR="00B20392" w:rsidRPr="00603CC4" w:rsidRDefault="00670CE1" w:rsidP="00603CC4">
            <w:pPr>
              <w:spacing w:after="0" w:line="240" w:lineRule="auto"/>
            </w:pPr>
            <w:r>
              <w:t>O</w:t>
            </w:r>
          </w:p>
        </w:tc>
        <w:tc>
          <w:tcPr>
            <w:tcW w:w="708" w:type="dxa"/>
            <w:vAlign w:val="center"/>
          </w:tcPr>
          <w:p w:rsidR="00B20392" w:rsidRPr="00603CC4" w:rsidRDefault="00610537" w:rsidP="00603CC4">
            <w:pPr>
              <w:spacing w:after="0" w:line="240" w:lineRule="auto"/>
            </w:pPr>
            <w:r>
              <w:t>Z</w:t>
            </w:r>
          </w:p>
        </w:tc>
        <w:tc>
          <w:tcPr>
            <w:tcW w:w="596" w:type="dxa"/>
            <w:vAlign w:val="center"/>
          </w:tcPr>
          <w:p w:rsidR="00B20392" w:rsidRPr="00603CC4" w:rsidRDefault="00D14602" w:rsidP="00603CC4">
            <w:pPr>
              <w:spacing w:after="0" w:line="240" w:lineRule="auto"/>
            </w:pPr>
            <w:r>
              <w:t>§:17 O:1  P:a</w:t>
            </w:r>
          </w:p>
        </w:tc>
        <w:tc>
          <w:tcPr>
            <w:tcW w:w="6396" w:type="dxa"/>
            <w:vAlign w:val="center"/>
          </w:tcPr>
          <w:p w:rsidR="00610537" w:rsidRPr="00EF5876" w:rsidRDefault="00610537" w:rsidP="00610537">
            <w:pPr>
              <w:ind w:left="237"/>
              <w:rPr>
                <w:lang w:eastAsia="sk-SK"/>
              </w:rPr>
            </w:pPr>
            <w:r w:rsidRPr="00EF5876">
              <w:t>(1) Súhlas orgánu ochrany ovzdušia je potrebný na</w:t>
            </w:r>
          </w:p>
          <w:p w:rsidR="00B20392" w:rsidRPr="00EF5876" w:rsidRDefault="00610537" w:rsidP="007D7E3B">
            <w:pPr>
              <w:numPr>
                <w:ilvl w:val="0"/>
                <w:numId w:val="7"/>
              </w:numPr>
              <w:spacing w:after="123" w:line="261" w:lineRule="auto"/>
              <w:ind w:hanging="283"/>
              <w:jc w:val="both"/>
            </w:pPr>
            <w:r w:rsidRPr="00EF5876">
              <w:t>vydanie rozhodnutí o umiestnení stavieb veľkých zdrojov a stredných zdrojov, rozhodnutí o povolení stavieb veľkých zdrojov a stredných zdrojov a malých zdrojov vrátane ich zmien a rozhodnutí na ich užívanie; tento súhlas je záväzným stanoviskom,</w:t>
            </w:r>
            <w:r w:rsidRPr="00EF5876">
              <w:rPr>
                <w:sz w:val="15"/>
                <w:vertAlign w:val="superscript"/>
              </w:rPr>
              <w:t>19</w:t>
            </w:r>
            <w:r w:rsidRPr="00EF5876">
              <w:t>)</w:t>
            </w: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D225A2" w:rsidRDefault="00B20392" w:rsidP="00603CC4">
            <w:pPr>
              <w:spacing w:after="0" w:line="240" w:lineRule="auto"/>
            </w:pPr>
            <w:r w:rsidRPr="00603CC4">
              <w:t>O:2</w:t>
            </w:r>
            <w:r w:rsidR="00D225A2" w:rsidRPr="00603CC4">
              <w:t xml:space="preserve"> </w:t>
            </w:r>
          </w:p>
          <w:p w:rsidR="00D225A2" w:rsidRDefault="00D225A2" w:rsidP="00603CC4">
            <w:pPr>
              <w:spacing w:after="0" w:line="240" w:lineRule="auto"/>
            </w:pPr>
          </w:p>
          <w:p w:rsidR="00D225A2" w:rsidRDefault="00D225A2" w:rsidP="00603CC4">
            <w:pPr>
              <w:spacing w:after="0" w:line="240" w:lineRule="auto"/>
            </w:pPr>
          </w:p>
          <w:p w:rsidR="00D225A2" w:rsidRDefault="00D225A2" w:rsidP="00603CC4">
            <w:pPr>
              <w:spacing w:after="0" w:line="240" w:lineRule="auto"/>
            </w:pPr>
          </w:p>
          <w:p w:rsidR="00D225A2" w:rsidRDefault="00D225A2" w:rsidP="00603CC4">
            <w:pPr>
              <w:spacing w:after="0" w:line="240" w:lineRule="auto"/>
            </w:pPr>
          </w:p>
          <w:p w:rsidR="00D225A2" w:rsidRDefault="00D225A2" w:rsidP="00603CC4">
            <w:pPr>
              <w:spacing w:after="0" w:line="240" w:lineRule="auto"/>
            </w:pPr>
          </w:p>
          <w:p w:rsidR="00D225A2" w:rsidRDefault="00D225A2" w:rsidP="00603CC4">
            <w:pPr>
              <w:spacing w:after="0" w:line="240" w:lineRule="auto"/>
            </w:pPr>
          </w:p>
          <w:p w:rsidR="00D225A2" w:rsidRDefault="00D225A2" w:rsidP="00603CC4">
            <w:pPr>
              <w:spacing w:after="0" w:line="240" w:lineRule="auto"/>
            </w:pPr>
          </w:p>
          <w:p w:rsidR="00D225A2" w:rsidRDefault="00D225A2" w:rsidP="00603CC4">
            <w:pPr>
              <w:spacing w:after="0" w:line="240" w:lineRule="auto"/>
            </w:pPr>
          </w:p>
          <w:p w:rsidR="00D225A2" w:rsidRDefault="00D225A2" w:rsidP="00603CC4">
            <w:pPr>
              <w:spacing w:after="0" w:line="240" w:lineRule="auto"/>
            </w:pPr>
          </w:p>
          <w:p w:rsidR="00D225A2" w:rsidRDefault="00D225A2" w:rsidP="00603CC4">
            <w:pPr>
              <w:spacing w:after="0" w:line="240" w:lineRule="auto"/>
            </w:pPr>
          </w:p>
          <w:p w:rsidR="00D225A2" w:rsidRDefault="00D225A2" w:rsidP="00603CC4">
            <w:pPr>
              <w:spacing w:after="0" w:line="240" w:lineRule="auto"/>
            </w:pPr>
          </w:p>
          <w:p w:rsidR="00D225A2" w:rsidRDefault="00D225A2" w:rsidP="00603CC4">
            <w:pPr>
              <w:spacing w:after="0" w:line="240" w:lineRule="auto"/>
            </w:pPr>
            <w:r w:rsidRPr="00603CC4">
              <w:t xml:space="preserve">O:3 </w:t>
            </w:r>
          </w:p>
          <w:p w:rsidR="00D225A2" w:rsidRDefault="00D225A2" w:rsidP="00603CC4">
            <w:pPr>
              <w:spacing w:after="0" w:line="240" w:lineRule="auto"/>
            </w:pPr>
          </w:p>
          <w:p w:rsidR="00D225A2" w:rsidRDefault="00D225A2" w:rsidP="00603CC4">
            <w:pPr>
              <w:spacing w:after="0" w:line="240" w:lineRule="auto"/>
            </w:pPr>
          </w:p>
          <w:p w:rsidR="00D225A2" w:rsidRDefault="00D225A2" w:rsidP="00603CC4">
            <w:pPr>
              <w:spacing w:after="0" w:line="240" w:lineRule="auto"/>
            </w:pPr>
          </w:p>
          <w:p w:rsidR="00D225A2" w:rsidRDefault="00D225A2" w:rsidP="00603CC4">
            <w:pPr>
              <w:spacing w:after="0" w:line="240" w:lineRule="auto"/>
            </w:pPr>
          </w:p>
          <w:p w:rsidR="00D225A2" w:rsidRDefault="00D225A2" w:rsidP="00603CC4">
            <w:pPr>
              <w:spacing w:after="0" w:line="240" w:lineRule="auto"/>
            </w:pPr>
          </w:p>
          <w:p w:rsidR="00B20392" w:rsidRPr="00603CC4" w:rsidRDefault="00D225A2" w:rsidP="00603CC4">
            <w:pPr>
              <w:spacing w:after="0" w:line="240" w:lineRule="auto"/>
            </w:pPr>
            <w:r w:rsidRPr="00603CC4">
              <w:t>O:4</w:t>
            </w:r>
          </w:p>
        </w:tc>
        <w:tc>
          <w:tcPr>
            <w:tcW w:w="5771" w:type="dxa"/>
            <w:vAlign w:val="center"/>
          </w:tcPr>
          <w:p w:rsidR="00B20392" w:rsidRPr="00603CC4" w:rsidRDefault="00B20392" w:rsidP="00A506EC">
            <w:pPr>
              <w:pStyle w:val="Normlny1"/>
              <w:rPr>
                <w:rFonts w:ascii="Calibri" w:hAnsi="Calibri" w:cs="Calibri"/>
                <w:color w:val="000000"/>
                <w:sz w:val="22"/>
                <w:szCs w:val="22"/>
              </w:rPr>
            </w:pPr>
            <w:r w:rsidRPr="00603CC4">
              <w:rPr>
                <w:rFonts w:ascii="Calibri" w:hAnsi="Calibri" w:cs="Calibri"/>
                <w:color w:val="000000"/>
                <w:sz w:val="22"/>
                <w:szCs w:val="22"/>
              </w:rPr>
              <w:lastRenderedPageBreak/>
              <w:t>2. Členské štáty prijmú potrebné opatrenia, aby zabezpečili, že od 1. januára 2024 žiadne existujúce stredne veľké spaľovacie zariadenie s menovitým tepelným príkonom väčším ako 5 MW nebude prevádzkované bez povolenia alebo registrácie.</w:t>
            </w:r>
          </w:p>
          <w:p w:rsidR="00D225A2" w:rsidRDefault="00B20392" w:rsidP="007D7E3B">
            <w:pPr>
              <w:pStyle w:val="Normlny1"/>
              <w:rPr>
                <w:rFonts w:ascii="Calibri" w:hAnsi="Calibri" w:cs="Calibri"/>
                <w:color w:val="000000"/>
                <w:sz w:val="22"/>
                <w:szCs w:val="22"/>
              </w:rPr>
            </w:pPr>
            <w:r w:rsidRPr="00603CC4">
              <w:rPr>
                <w:rFonts w:ascii="Calibri" w:hAnsi="Calibri" w:cs="Calibri"/>
                <w:color w:val="000000"/>
                <w:sz w:val="22"/>
                <w:szCs w:val="22"/>
              </w:rPr>
              <w:t xml:space="preserve">Členské štáty prijmú potrebné opatrenia, aby zabezpečili, že od 1. januára 2029 žiadne existujúce stredne veľké spaľovacie </w:t>
            </w:r>
            <w:r w:rsidRPr="00603CC4">
              <w:rPr>
                <w:rFonts w:ascii="Calibri" w:hAnsi="Calibri" w:cs="Calibri"/>
                <w:color w:val="000000"/>
                <w:sz w:val="22"/>
                <w:szCs w:val="22"/>
              </w:rPr>
              <w:lastRenderedPageBreak/>
              <w:t>zariadenie s menovitým tepelným príkonom menším alebo rovnajúcim sa 5 MW nebude prevádzkované b</w:t>
            </w:r>
            <w:r w:rsidR="007D7E3B">
              <w:rPr>
                <w:rFonts w:ascii="Calibri" w:hAnsi="Calibri" w:cs="Calibri"/>
                <w:color w:val="000000"/>
                <w:sz w:val="22"/>
                <w:szCs w:val="22"/>
              </w:rPr>
              <w:t>ez povolenia alebo registrácie.</w:t>
            </w:r>
            <w:r w:rsidR="00D225A2" w:rsidRPr="00D225A2">
              <w:rPr>
                <w:rFonts w:ascii="Calibri" w:hAnsi="Calibri" w:cs="Calibri"/>
                <w:color w:val="000000"/>
                <w:sz w:val="22"/>
                <w:szCs w:val="22"/>
              </w:rPr>
              <w:t xml:space="preserve"> </w:t>
            </w:r>
          </w:p>
          <w:p w:rsidR="00D225A2" w:rsidRDefault="00D225A2" w:rsidP="007D7E3B">
            <w:pPr>
              <w:pStyle w:val="Normlny1"/>
              <w:rPr>
                <w:rFonts w:ascii="Calibri" w:hAnsi="Calibri" w:cs="Calibri"/>
                <w:color w:val="000000"/>
                <w:sz w:val="22"/>
                <w:szCs w:val="22"/>
              </w:rPr>
            </w:pPr>
            <w:r w:rsidRPr="00D225A2">
              <w:rPr>
                <w:rFonts w:ascii="Calibri" w:hAnsi="Calibri" w:cs="Calibri"/>
                <w:color w:val="000000"/>
                <w:sz w:val="22"/>
                <w:szCs w:val="22"/>
              </w:rPr>
              <w:t xml:space="preserve">3. Členské štáty spresnia postup udelenia povolenia alebo registrácie stredne veľkých spaľovacích zariadení. Uvedené postupy zahŕňajú aspoň povinnosť prevádzkovateľa informovať príslušný orgán o prevádzke alebo úmysle prevádzkovať stredne veľké spaľovacie zariadenie a poskytnúť aspoň informácie uvedené v prílohe I. </w:t>
            </w:r>
          </w:p>
          <w:p w:rsidR="00B20392" w:rsidRPr="007D7E3B" w:rsidRDefault="00D225A2" w:rsidP="007D7E3B">
            <w:pPr>
              <w:pStyle w:val="Normlny1"/>
              <w:rPr>
                <w:rFonts w:ascii="Calibri" w:hAnsi="Calibri" w:cs="Calibri"/>
                <w:color w:val="000000"/>
                <w:sz w:val="22"/>
                <w:szCs w:val="22"/>
              </w:rPr>
            </w:pPr>
            <w:r w:rsidRPr="00D225A2">
              <w:rPr>
                <w:rFonts w:ascii="Calibri" w:hAnsi="Calibri" w:cs="Calibri"/>
                <w:color w:val="000000"/>
                <w:sz w:val="22"/>
                <w:szCs w:val="22"/>
              </w:rPr>
              <w:t>4. Príslušný orgán zaregistruje stredne veľké spaľovacie zariadenie alebo začne postup udelenia povolenia pre toto zariadenie do jedného mesiaca od poskytnutia informácií uvedených v odseku 3 prevádzkovateľom. Príslušný orgán informuje prevádzkovateľa o takejto registrácii alebo o začatí postupu udelenia povolenia.</w:t>
            </w:r>
          </w:p>
        </w:tc>
        <w:tc>
          <w:tcPr>
            <w:tcW w:w="397" w:type="dxa"/>
            <w:vAlign w:val="center"/>
          </w:tcPr>
          <w:p w:rsidR="00B20392" w:rsidRPr="00603CC4" w:rsidRDefault="00670CE1" w:rsidP="00603CC4">
            <w:pPr>
              <w:spacing w:after="0" w:line="240" w:lineRule="auto"/>
            </w:pPr>
            <w:r>
              <w:lastRenderedPageBreak/>
              <w:t>O</w:t>
            </w:r>
          </w:p>
        </w:tc>
        <w:tc>
          <w:tcPr>
            <w:tcW w:w="708" w:type="dxa"/>
            <w:vAlign w:val="center"/>
          </w:tcPr>
          <w:p w:rsidR="00B20392" w:rsidRPr="00603CC4" w:rsidRDefault="00FA5311" w:rsidP="00603CC4">
            <w:pPr>
              <w:spacing w:after="0" w:line="240" w:lineRule="auto"/>
            </w:pPr>
            <w:r>
              <w:t>Z</w:t>
            </w:r>
          </w:p>
        </w:tc>
        <w:tc>
          <w:tcPr>
            <w:tcW w:w="596" w:type="dxa"/>
            <w:vAlign w:val="center"/>
          </w:tcPr>
          <w:p w:rsidR="00B20392" w:rsidRDefault="00B20392" w:rsidP="00603CC4">
            <w:pPr>
              <w:spacing w:after="0" w:line="240" w:lineRule="auto"/>
            </w:pPr>
          </w:p>
          <w:p w:rsidR="00FA5311" w:rsidRDefault="00FA5311" w:rsidP="00603CC4">
            <w:pPr>
              <w:spacing w:after="0" w:line="240" w:lineRule="auto"/>
            </w:pPr>
          </w:p>
          <w:p w:rsidR="00FA5311" w:rsidRDefault="00FA5311" w:rsidP="00603CC4">
            <w:pPr>
              <w:spacing w:after="0" w:line="240" w:lineRule="auto"/>
            </w:pPr>
          </w:p>
          <w:p w:rsidR="00FA5311" w:rsidRDefault="00FA5311" w:rsidP="00603CC4">
            <w:pPr>
              <w:spacing w:after="0" w:line="240" w:lineRule="auto"/>
            </w:pPr>
          </w:p>
          <w:p w:rsidR="00FA5311" w:rsidRDefault="00FA5311" w:rsidP="00603CC4">
            <w:pPr>
              <w:spacing w:after="0" w:line="240" w:lineRule="auto"/>
            </w:pPr>
          </w:p>
          <w:p w:rsidR="00FA5311" w:rsidRDefault="00FA5311" w:rsidP="00603CC4">
            <w:pPr>
              <w:spacing w:after="0" w:line="240" w:lineRule="auto"/>
            </w:pPr>
          </w:p>
          <w:p w:rsidR="00FA5311" w:rsidRDefault="00FA5311" w:rsidP="00FA5311">
            <w:pPr>
              <w:spacing w:after="0" w:line="240" w:lineRule="auto"/>
              <w:ind w:right="-79"/>
            </w:pPr>
            <w:r>
              <w:t>§:17</w:t>
            </w:r>
          </w:p>
          <w:p w:rsidR="00FA5311" w:rsidRDefault="00FA5311" w:rsidP="00FA5311">
            <w:pPr>
              <w:spacing w:after="0" w:line="240" w:lineRule="auto"/>
              <w:ind w:right="-79"/>
            </w:pPr>
            <w:r>
              <w:lastRenderedPageBreak/>
              <w:t xml:space="preserve">O:1 </w:t>
            </w:r>
          </w:p>
          <w:p w:rsidR="00FA5311" w:rsidRDefault="00FA5311" w:rsidP="00FA5311">
            <w:pPr>
              <w:spacing w:after="0" w:line="240" w:lineRule="auto"/>
              <w:ind w:right="-79"/>
            </w:pPr>
            <w:r>
              <w:t xml:space="preserve">P:a, </w:t>
            </w:r>
          </w:p>
          <w:p w:rsidR="00FA5311" w:rsidRDefault="00FA5311" w:rsidP="00FA5311">
            <w:pPr>
              <w:spacing w:after="0" w:line="240" w:lineRule="auto"/>
              <w:ind w:right="-79"/>
            </w:pPr>
          </w:p>
          <w:p w:rsidR="00FA5311" w:rsidRDefault="00FA5311" w:rsidP="00FA5311">
            <w:pPr>
              <w:spacing w:after="0" w:line="240" w:lineRule="auto"/>
              <w:ind w:right="-79"/>
            </w:pPr>
          </w:p>
          <w:p w:rsidR="00FA5311" w:rsidRDefault="00FA5311" w:rsidP="00FA5311">
            <w:pPr>
              <w:spacing w:after="0" w:line="240" w:lineRule="auto"/>
              <w:ind w:right="-79"/>
            </w:pPr>
          </w:p>
          <w:p w:rsidR="00FA5311" w:rsidRDefault="00FA5311" w:rsidP="00FA5311">
            <w:pPr>
              <w:spacing w:after="0" w:line="240" w:lineRule="auto"/>
              <w:ind w:right="-79"/>
            </w:pPr>
            <w:r>
              <w:t>§17O:1 p:c</w:t>
            </w:r>
          </w:p>
          <w:p w:rsidR="00FA5311" w:rsidRDefault="00FA5311" w:rsidP="00FA5311">
            <w:pPr>
              <w:spacing w:after="0" w:line="240" w:lineRule="auto"/>
              <w:ind w:right="-79"/>
            </w:pPr>
          </w:p>
          <w:p w:rsidR="00FA5311" w:rsidRDefault="00FA5311" w:rsidP="00FA5311">
            <w:pPr>
              <w:spacing w:after="0" w:line="240" w:lineRule="auto"/>
              <w:ind w:right="-79"/>
            </w:pPr>
          </w:p>
          <w:p w:rsidR="00FA5311" w:rsidRDefault="00FA5311" w:rsidP="00FA5311">
            <w:pPr>
              <w:spacing w:after="0" w:line="240" w:lineRule="auto"/>
              <w:ind w:right="-79"/>
            </w:pPr>
          </w:p>
          <w:p w:rsidR="00FA5311" w:rsidRDefault="00FA5311" w:rsidP="00FA5311">
            <w:pPr>
              <w:spacing w:after="0" w:line="240" w:lineRule="auto"/>
              <w:ind w:right="-79"/>
            </w:pPr>
          </w:p>
          <w:p w:rsidR="00FA5311" w:rsidRDefault="00FA5311" w:rsidP="00FA5311">
            <w:pPr>
              <w:spacing w:after="0" w:line="240" w:lineRule="auto"/>
              <w:ind w:right="-79"/>
            </w:pPr>
            <w:r>
              <w:t>§31</w:t>
            </w:r>
          </w:p>
          <w:p w:rsidR="00FA5311" w:rsidRDefault="00FA5311" w:rsidP="00FA5311">
            <w:pPr>
              <w:spacing w:after="0" w:line="240" w:lineRule="auto"/>
              <w:ind w:right="-79"/>
            </w:pPr>
            <w:r>
              <w:t>O.2</w:t>
            </w:r>
          </w:p>
          <w:p w:rsidR="00FA5311" w:rsidRDefault="00FA5311" w:rsidP="00FA5311">
            <w:pPr>
              <w:spacing w:after="0" w:line="240" w:lineRule="auto"/>
              <w:ind w:right="-79"/>
            </w:pPr>
          </w:p>
          <w:p w:rsidR="00FA5311" w:rsidRPr="00603CC4" w:rsidRDefault="00FA5311" w:rsidP="00FA5311">
            <w:pPr>
              <w:spacing w:after="0" w:line="240" w:lineRule="auto"/>
              <w:ind w:right="-79"/>
            </w:pPr>
          </w:p>
        </w:tc>
        <w:tc>
          <w:tcPr>
            <w:tcW w:w="6396" w:type="dxa"/>
            <w:vAlign w:val="center"/>
          </w:tcPr>
          <w:p w:rsidR="00D225A2" w:rsidRDefault="00D225A2" w:rsidP="00603CC4">
            <w:pPr>
              <w:spacing w:after="0" w:line="240" w:lineRule="auto"/>
              <w:rPr>
                <w:i/>
              </w:rPr>
            </w:pPr>
            <w:r>
              <w:rPr>
                <w:i/>
              </w:rPr>
              <w:lastRenderedPageBreak/>
              <w:t xml:space="preserve">Netransponovali sme . </w:t>
            </w:r>
          </w:p>
          <w:p w:rsidR="00D225A2" w:rsidRDefault="00670CE1" w:rsidP="00D225A2">
            <w:pPr>
              <w:ind w:left="237"/>
              <w:rPr>
                <w:i/>
              </w:rPr>
            </w:pPr>
            <w:r w:rsidRPr="00EF5876">
              <w:rPr>
                <w:i/>
              </w:rPr>
              <w:t xml:space="preserve">Keďže naša právna úpravu už takéto povolenia pre stredne veľké spaľovacie zariadenia  má, zariadenia sú povoľované už teraz, a aj každá zmena  musí byť povolená,  </w:t>
            </w:r>
          </w:p>
          <w:p w:rsidR="00D225A2" w:rsidRPr="00EF5876" w:rsidRDefault="00D225A2" w:rsidP="00FA5311">
            <w:pPr>
              <w:spacing w:after="0"/>
              <w:ind w:left="238"/>
              <w:rPr>
                <w:lang w:eastAsia="sk-SK"/>
              </w:rPr>
            </w:pPr>
            <w:r w:rsidRPr="00EF5876">
              <w:t>(1) Súhlas orgánu ochrany ovzdušia je potrebný na</w:t>
            </w:r>
          </w:p>
          <w:p w:rsidR="00B20392" w:rsidRDefault="00D225A2" w:rsidP="00D225A2">
            <w:pPr>
              <w:spacing w:after="0" w:line="240" w:lineRule="auto"/>
            </w:pPr>
            <w:r>
              <w:t xml:space="preserve">a) </w:t>
            </w:r>
            <w:r w:rsidRPr="00EF5876">
              <w:t xml:space="preserve">vydanie rozhodnutí o umiestnení stavieb veľkých zdrojov a </w:t>
            </w:r>
            <w:r w:rsidRPr="00EF5876">
              <w:lastRenderedPageBreak/>
              <w:t>stredných zdrojov, rozhodnutí o povolení stavieb veľkých zdrojov a stredných zdrojov a malých zdrojov vrátane ich zmien a rozhodnutí na ich užívanie; tento súhlas je záväzným stanoviskom,</w:t>
            </w:r>
            <w:r w:rsidRPr="00EF5876">
              <w:rPr>
                <w:sz w:val="15"/>
                <w:vertAlign w:val="superscript"/>
              </w:rPr>
              <w:t>19</w:t>
            </w:r>
            <w:r w:rsidRPr="00EF5876">
              <w:t>)</w:t>
            </w:r>
          </w:p>
          <w:p w:rsidR="00D225A2" w:rsidRDefault="00D225A2" w:rsidP="00D225A2">
            <w:pPr>
              <w:spacing w:after="99" w:line="262" w:lineRule="auto"/>
              <w:jc w:val="both"/>
            </w:pPr>
            <w:r>
              <w:t>c) zmeny používaných palív a surovín, na zmeny technologických zariadení stacionárnych zdrojov a na zmeny ich užívania a na prevádzku stacionárnych zdrojov po vykonaných zmenách, ak sa na zmeny nevydá súhlas podľa písmena a) alebo podľa § 18 ods. 1 a v rozhodnutiach podľa § 18 ods. 9 a § 31 ods. 2,</w:t>
            </w:r>
          </w:p>
          <w:p w:rsidR="00D225A2" w:rsidRDefault="00D225A2" w:rsidP="00FA5311">
            <w:pPr>
              <w:spacing w:after="0" w:line="262" w:lineRule="auto"/>
              <w:ind w:left="227"/>
              <w:jc w:val="both"/>
            </w:pPr>
            <w:r>
              <w:t>§31</w:t>
            </w:r>
          </w:p>
          <w:p w:rsidR="00D225A2" w:rsidRPr="00FA5311" w:rsidRDefault="00D225A2" w:rsidP="00FA5311">
            <w:pPr>
              <w:spacing w:after="203" w:line="262" w:lineRule="auto"/>
              <w:ind w:left="227"/>
              <w:jc w:val="both"/>
            </w:pPr>
            <w:r>
              <w:t>(2)Emisné limity, technické požiadavky a podmienky prevádzkovania určené na prevádzku a monitorovanie stacionárneho zdroja v právoplatných súhlasoch a rozhodnutiach orgánov ochrany ovzdušia môže príslušný orgán ochrany ovzdušia preskúmať v konaní začatom z vlastného podnetu. Tieto podmienky a požiadavky môže orgán ochrany ovzdušia zmeniť vydaním nového rozhodnutia, ak po vydaní súhlasu alebo rozhodnutia došlo k zmene právnych predpisov alebo k zmene najlepšej dostupnej techniky, ktorá umožňuje významné zníženie emisií zo stacionárneho zdroja a jej zavedenie do prevádzky je pre prevádzkovateľa technicky a ekonomicky únosné.</w:t>
            </w: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AF196A" w:rsidTr="00EF5876">
        <w:tc>
          <w:tcPr>
            <w:tcW w:w="709" w:type="dxa"/>
            <w:tcBorders>
              <w:top w:val="nil"/>
              <w:bottom w:val="nil"/>
            </w:tcBorders>
            <w:vAlign w:val="center"/>
          </w:tcPr>
          <w:p w:rsidR="00B20392" w:rsidRPr="00603CC4" w:rsidRDefault="00B20392" w:rsidP="00603CC4">
            <w:pPr>
              <w:spacing w:after="0" w:line="240" w:lineRule="auto"/>
            </w:pPr>
            <w:r w:rsidRPr="00603CC4">
              <w:lastRenderedPageBreak/>
              <w:t>O:5</w:t>
            </w:r>
          </w:p>
        </w:tc>
        <w:tc>
          <w:tcPr>
            <w:tcW w:w="5771" w:type="dxa"/>
            <w:vAlign w:val="center"/>
          </w:tcPr>
          <w:p w:rsidR="00B20392" w:rsidRPr="00603CC4" w:rsidRDefault="00B20392" w:rsidP="00603CC4">
            <w:pPr>
              <w:spacing w:before="120" w:after="0" w:line="240" w:lineRule="auto"/>
              <w:jc w:val="both"/>
              <w:rPr>
                <w:color w:val="000000"/>
                <w:lang w:eastAsia="sk-SK"/>
              </w:rPr>
            </w:pPr>
            <w:r w:rsidRPr="00603CC4">
              <w:rPr>
                <w:color w:val="000000"/>
              </w:rPr>
              <w:t>5. Príslušný orgán vedie register s informáciami o každom stredne veľkom spaľovacom zariadení vrátane informácií uvedených v prílohe I a informácií získaných podľa článku 9. Existujúce stredne veľké spaľovacie zariadenia sú uvedené v registri od dátumu registrácie alebo od dátumu, keď im bolo udelené povolenie, v súlade s touto smernicou. Príslušný orgán sprístupní informácie obsiahnuté v registri verejnosti, a to aj prostredníctvom internetu, v súlade so smernicou 2003/4/ES.</w:t>
            </w:r>
          </w:p>
        </w:tc>
        <w:tc>
          <w:tcPr>
            <w:tcW w:w="397" w:type="dxa"/>
            <w:vAlign w:val="center"/>
          </w:tcPr>
          <w:p w:rsidR="00B20392" w:rsidRPr="00603CC4" w:rsidRDefault="00670CE1" w:rsidP="00603CC4">
            <w:pPr>
              <w:spacing w:after="0" w:line="240" w:lineRule="auto"/>
            </w:pPr>
            <w:r>
              <w:t>N</w:t>
            </w:r>
          </w:p>
        </w:tc>
        <w:tc>
          <w:tcPr>
            <w:tcW w:w="708" w:type="dxa"/>
            <w:vAlign w:val="center"/>
          </w:tcPr>
          <w:p w:rsidR="00B20392" w:rsidRPr="00603CC4" w:rsidRDefault="00984384" w:rsidP="00603CC4">
            <w:pPr>
              <w:spacing w:after="0" w:line="240" w:lineRule="auto"/>
            </w:pPr>
            <w:r>
              <w:t>NZ</w:t>
            </w:r>
          </w:p>
        </w:tc>
        <w:tc>
          <w:tcPr>
            <w:tcW w:w="596" w:type="dxa"/>
            <w:vAlign w:val="center"/>
          </w:tcPr>
          <w:p w:rsidR="00B20392" w:rsidRPr="00603CC4" w:rsidRDefault="00D14602" w:rsidP="00FA5311">
            <w:pPr>
              <w:spacing w:after="0" w:line="240" w:lineRule="auto"/>
              <w:ind w:right="-79"/>
            </w:pPr>
            <w:r>
              <w:t>§:</w:t>
            </w:r>
            <w:r w:rsidR="00984384">
              <w:t>23</w:t>
            </w:r>
          </w:p>
        </w:tc>
        <w:tc>
          <w:tcPr>
            <w:tcW w:w="6396" w:type="dxa"/>
            <w:vAlign w:val="center"/>
          </w:tcPr>
          <w:p w:rsidR="00984384" w:rsidRPr="00EF5876" w:rsidRDefault="00984384" w:rsidP="00215280">
            <w:pPr>
              <w:pStyle w:val="Odsekzoznamu"/>
              <w:numPr>
                <w:ilvl w:val="0"/>
                <w:numId w:val="12"/>
              </w:numPr>
              <w:spacing w:after="79" w:line="261" w:lineRule="auto"/>
              <w:rPr>
                <w:rFonts w:ascii="Calibri" w:eastAsia="Calibri" w:hAnsi="Calibri" w:cs="Calibri"/>
                <w:sz w:val="22"/>
                <w:szCs w:val="22"/>
              </w:rPr>
            </w:pPr>
            <w:r w:rsidRPr="00EF5876">
              <w:rPr>
                <w:rFonts w:ascii="Calibri" w:eastAsia="Calibri" w:hAnsi="Calibri" w:cs="Calibri"/>
                <w:sz w:val="22"/>
                <w:szCs w:val="22"/>
              </w:rPr>
              <w:t>spracováva prostredníctvom poverenej organizácie národné emisné inventúry a emisné projekcie a spravuje Národný emisný informačný systém o stacionárnych zdrojoch, o ich emisiách a tieto údaje vyhodnocuje; jeho súčasťou je aj register údajov o</w:t>
            </w:r>
          </w:p>
          <w:p w:rsidR="00984384" w:rsidRPr="00EF5876" w:rsidRDefault="00984384" w:rsidP="00215280">
            <w:pPr>
              <w:numPr>
                <w:ilvl w:val="0"/>
                <w:numId w:val="11"/>
              </w:numPr>
              <w:spacing w:after="79" w:line="240" w:lineRule="auto"/>
              <w:ind w:left="284"/>
              <w:jc w:val="both"/>
            </w:pPr>
            <w:r w:rsidRPr="00EF5876">
              <w:t>veľkých spaľovacích zariadeniach  a </w:t>
            </w:r>
          </w:p>
          <w:p w:rsidR="00984384" w:rsidRPr="00EF5876" w:rsidRDefault="00984384" w:rsidP="00215280">
            <w:pPr>
              <w:numPr>
                <w:ilvl w:val="0"/>
                <w:numId w:val="11"/>
              </w:numPr>
              <w:spacing w:after="79" w:line="240" w:lineRule="auto"/>
              <w:ind w:left="284"/>
              <w:jc w:val="both"/>
            </w:pPr>
            <w:r w:rsidRPr="00EF5876">
              <w:t xml:space="preserve"> stredne veľkých spaľovacích zariadeniach,</w:t>
            </w:r>
          </w:p>
          <w:p w:rsidR="00B20392" w:rsidRPr="00EF5876" w:rsidRDefault="00B20392" w:rsidP="00603CC4">
            <w:pPr>
              <w:spacing w:after="0" w:line="240" w:lineRule="auto"/>
            </w:pPr>
          </w:p>
        </w:tc>
        <w:tc>
          <w:tcPr>
            <w:tcW w:w="508" w:type="dxa"/>
            <w:tcBorders>
              <w:top w:val="nil"/>
              <w:bottom w:val="nil"/>
            </w:tcBorders>
            <w:vAlign w:val="center"/>
          </w:tcPr>
          <w:p w:rsidR="00B20392" w:rsidRPr="00AF196A" w:rsidRDefault="00B20392" w:rsidP="00603CC4">
            <w:pPr>
              <w:spacing w:after="0" w:line="240" w:lineRule="auto"/>
              <w:rPr>
                <w:color w:val="000000"/>
              </w:rPr>
            </w:pPr>
          </w:p>
        </w:tc>
        <w:tc>
          <w:tcPr>
            <w:tcW w:w="508" w:type="dxa"/>
            <w:tcBorders>
              <w:top w:val="nil"/>
              <w:bottom w:val="nil"/>
            </w:tcBorders>
            <w:vAlign w:val="center"/>
          </w:tcPr>
          <w:p w:rsidR="00B20392" w:rsidRPr="00AF196A" w:rsidRDefault="00B20392" w:rsidP="00603CC4">
            <w:pPr>
              <w:spacing w:after="0" w:line="240" w:lineRule="auto"/>
              <w:rPr>
                <w:color w:val="000000"/>
              </w:rPr>
            </w:pPr>
          </w:p>
        </w:tc>
      </w:tr>
      <w:tr w:rsidR="00B20392" w:rsidRPr="00AF196A" w:rsidTr="00EF5876">
        <w:tc>
          <w:tcPr>
            <w:tcW w:w="709" w:type="dxa"/>
            <w:tcBorders>
              <w:top w:val="nil"/>
              <w:bottom w:val="nil"/>
            </w:tcBorders>
            <w:vAlign w:val="center"/>
          </w:tcPr>
          <w:p w:rsidR="00B20392" w:rsidRPr="00603CC4" w:rsidRDefault="00B20392" w:rsidP="00603CC4">
            <w:pPr>
              <w:spacing w:after="0" w:line="240" w:lineRule="auto"/>
            </w:pPr>
            <w:r w:rsidRPr="00603CC4">
              <w:t>O:6</w:t>
            </w:r>
          </w:p>
        </w:tc>
        <w:tc>
          <w:tcPr>
            <w:tcW w:w="5771" w:type="dxa"/>
            <w:vAlign w:val="center"/>
          </w:tcPr>
          <w:p w:rsidR="00B20392" w:rsidRPr="00603CC4" w:rsidRDefault="00B20392" w:rsidP="00603CC4">
            <w:pPr>
              <w:spacing w:before="120" w:after="0" w:line="240" w:lineRule="auto"/>
              <w:jc w:val="both"/>
              <w:rPr>
                <w:color w:val="000000"/>
                <w:lang w:eastAsia="sk-SK"/>
              </w:rPr>
            </w:pPr>
            <w:r w:rsidRPr="00603CC4">
              <w:rPr>
                <w:color w:val="000000"/>
              </w:rPr>
              <w:t xml:space="preserve">6. Bez toho, aby bola dotknutá povinnosť pre stredne veľké spaľovacie zariadenia byť držiteľom povolenia alebo byť registrované, členské štáty môžu požiadavky na určité </w:t>
            </w:r>
            <w:r w:rsidRPr="00603CC4">
              <w:rPr>
                <w:color w:val="000000"/>
              </w:rPr>
              <w:lastRenderedPageBreak/>
              <w:t>kategórie stredne veľkých spaľovacích zariadení zahrnúť do všeobecne záväzných pravidiel. V prípade prijatia všeobecne záväzných pravidiel môže povolenie alebo registrácia obsahovať len odkaz na takéto pravidlá.</w:t>
            </w:r>
          </w:p>
        </w:tc>
        <w:tc>
          <w:tcPr>
            <w:tcW w:w="397" w:type="dxa"/>
            <w:vAlign w:val="center"/>
          </w:tcPr>
          <w:p w:rsidR="00B20392" w:rsidRPr="00603CC4" w:rsidRDefault="00670CE1" w:rsidP="00603CC4">
            <w:pPr>
              <w:spacing w:after="0" w:line="240" w:lineRule="auto"/>
            </w:pPr>
            <w:r>
              <w:lastRenderedPageBreak/>
              <w:t>O</w:t>
            </w:r>
          </w:p>
        </w:tc>
        <w:tc>
          <w:tcPr>
            <w:tcW w:w="708" w:type="dxa"/>
            <w:vAlign w:val="center"/>
          </w:tcPr>
          <w:p w:rsidR="00B20392" w:rsidRPr="00603CC4" w:rsidRDefault="00610537" w:rsidP="00603CC4">
            <w:pPr>
              <w:spacing w:after="0" w:line="240" w:lineRule="auto"/>
            </w:pPr>
            <w:r>
              <w:t>Z</w:t>
            </w:r>
          </w:p>
        </w:tc>
        <w:tc>
          <w:tcPr>
            <w:tcW w:w="596" w:type="dxa"/>
            <w:vAlign w:val="center"/>
          </w:tcPr>
          <w:p w:rsidR="00B20392" w:rsidRPr="00603CC4" w:rsidRDefault="00D14602" w:rsidP="00FA5311">
            <w:pPr>
              <w:spacing w:after="0" w:line="240" w:lineRule="auto"/>
              <w:ind w:right="-221"/>
            </w:pPr>
            <w:r>
              <w:t>§</w:t>
            </w:r>
            <w:r w:rsidR="00B05545">
              <w:t>:33 P:a</w:t>
            </w:r>
          </w:p>
        </w:tc>
        <w:tc>
          <w:tcPr>
            <w:tcW w:w="6396" w:type="dxa"/>
            <w:vAlign w:val="center"/>
          </w:tcPr>
          <w:p w:rsidR="00610537" w:rsidRPr="00EF5876" w:rsidRDefault="00610537" w:rsidP="00610537">
            <w:pPr>
              <w:spacing w:after="74"/>
              <w:ind w:left="-5"/>
            </w:pPr>
            <w:r w:rsidRPr="00EF5876">
              <w:t>Všeobecne záväzný právny predpis, ktorý vydá ministerstvo, ustanoví</w:t>
            </w:r>
          </w:p>
          <w:p w:rsidR="00B20392" w:rsidRPr="00EF5876" w:rsidRDefault="00610537" w:rsidP="00610537">
            <w:pPr>
              <w:spacing w:after="0" w:line="240" w:lineRule="auto"/>
            </w:pPr>
            <w:r w:rsidRPr="00EF5876">
              <w:t xml:space="preserve">veľké zdroje, stredné zdroje a malé zdroje, ich členenie, kategorizáciu a podstatné zmeny, vymedzenie a členenie zariadení </w:t>
            </w:r>
            <w:r w:rsidRPr="00EF5876">
              <w:lastRenderedPageBreak/>
              <w:t>stacionárnych zdrojov, zoznam znečisťujúcich látok, pre ktoré sa určujú emisné limity, technické požiadavky a podmienky prevádzkovania, emisné limity, technické požiadavky a podmienky prevádzkovania stacionárnych zdrojov, termíny, lehoty a podmienky ich platnosti vrátane výnimiek z nich, podmienky uplatňovania prechodných opatrení, náležitosti žiadosti na uplatňovanie prechodných opatrení, obsah a požiadavky prechodných národných programov, ich monitorovanie a preukazovanie</w:t>
            </w:r>
          </w:p>
        </w:tc>
        <w:tc>
          <w:tcPr>
            <w:tcW w:w="508" w:type="dxa"/>
            <w:tcBorders>
              <w:top w:val="nil"/>
              <w:bottom w:val="nil"/>
            </w:tcBorders>
            <w:vAlign w:val="center"/>
          </w:tcPr>
          <w:p w:rsidR="00B20392" w:rsidRPr="00AF196A" w:rsidRDefault="00B20392" w:rsidP="00603CC4">
            <w:pPr>
              <w:spacing w:after="0" w:line="240" w:lineRule="auto"/>
              <w:rPr>
                <w:color w:val="000000"/>
              </w:rPr>
            </w:pPr>
          </w:p>
        </w:tc>
        <w:tc>
          <w:tcPr>
            <w:tcW w:w="508" w:type="dxa"/>
            <w:tcBorders>
              <w:top w:val="nil"/>
              <w:bottom w:val="nil"/>
            </w:tcBorders>
            <w:vAlign w:val="center"/>
          </w:tcPr>
          <w:p w:rsidR="00B20392" w:rsidRPr="00AF196A" w:rsidRDefault="00B20392" w:rsidP="00603CC4">
            <w:pPr>
              <w:spacing w:after="0" w:line="240" w:lineRule="auto"/>
              <w:rPr>
                <w:color w:val="000000"/>
              </w:rPr>
            </w:pPr>
          </w:p>
        </w:tc>
      </w:tr>
      <w:tr w:rsidR="00B20392" w:rsidRPr="00AF196A" w:rsidTr="00EF5876">
        <w:tc>
          <w:tcPr>
            <w:tcW w:w="709" w:type="dxa"/>
            <w:tcBorders>
              <w:top w:val="nil"/>
            </w:tcBorders>
            <w:vAlign w:val="center"/>
          </w:tcPr>
          <w:p w:rsidR="00B20392" w:rsidRPr="00603CC4" w:rsidRDefault="00B20392" w:rsidP="00603CC4">
            <w:pPr>
              <w:spacing w:after="0" w:line="240" w:lineRule="auto"/>
            </w:pPr>
            <w:r w:rsidRPr="00603CC4">
              <w:lastRenderedPageBreak/>
              <w:t>O:7</w:t>
            </w:r>
          </w:p>
        </w:tc>
        <w:tc>
          <w:tcPr>
            <w:tcW w:w="5771" w:type="dxa"/>
            <w:vAlign w:val="center"/>
          </w:tcPr>
          <w:p w:rsidR="00B20392" w:rsidRPr="00603CC4" w:rsidRDefault="00B20392" w:rsidP="00603CC4">
            <w:pPr>
              <w:spacing w:before="120" w:after="0" w:line="240" w:lineRule="auto"/>
              <w:jc w:val="both"/>
              <w:rPr>
                <w:color w:val="000000"/>
                <w:lang w:eastAsia="sk-SK"/>
              </w:rPr>
            </w:pPr>
            <w:r w:rsidRPr="00603CC4">
              <w:rPr>
                <w:color w:val="000000"/>
              </w:rPr>
              <w:t>7. Ak sú stredne veľké spaľovacie zariadenia súčasťou zariadení, na ktoré sa vzťahuje kapitola II smernice 2010/75/EÚ o priemyselných emisiách, požiadavky v tomto článku sa pokladajú za splnené dodržiavaním uvedenej smernice.</w:t>
            </w:r>
          </w:p>
        </w:tc>
        <w:tc>
          <w:tcPr>
            <w:tcW w:w="397" w:type="dxa"/>
            <w:vAlign w:val="center"/>
          </w:tcPr>
          <w:p w:rsidR="00B20392" w:rsidRPr="00603CC4" w:rsidRDefault="00670CE1" w:rsidP="00603CC4">
            <w:pPr>
              <w:spacing w:after="0" w:line="240" w:lineRule="auto"/>
            </w:pPr>
            <w:r>
              <w:t>N</w:t>
            </w:r>
          </w:p>
        </w:tc>
        <w:tc>
          <w:tcPr>
            <w:tcW w:w="708" w:type="dxa"/>
            <w:vAlign w:val="center"/>
          </w:tcPr>
          <w:p w:rsidR="00B20392" w:rsidRPr="00603CC4" w:rsidRDefault="000C4B7B" w:rsidP="00603CC4">
            <w:pPr>
              <w:spacing w:after="0" w:line="240" w:lineRule="auto"/>
            </w:pPr>
            <w:r>
              <w:t>Z 39</w:t>
            </w:r>
          </w:p>
        </w:tc>
        <w:tc>
          <w:tcPr>
            <w:tcW w:w="596" w:type="dxa"/>
            <w:vAlign w:val="center"/>
          </w:tcPr>
          <w:p w:rsidR="00B20392" w:rsidRPr="00603CC4" w:rsidRDefault="000C4B7B" w:rsidP="00603CC4">
            <w:pPr>
              <w:spacing w:after="0" w:line="240" w:lineRule="auto"/>
            </w:pPr>
            <w:r>
              <w:t>§:3 O:3</w:t>
            </w:r>
          </w:p>
        </w:tc>
        <w:tc>
          <w:tcPr>
            <w:tcW w:w="6396" w:type="dxa"/>
            <w:vAlign w:val="center"/>
          </w:tcPr>
          <w:p w:rsidR="009171C4" w:rsidRPr="009171C4" w:rsidRDefault="009171C4" w:rsidP="009171C4">
            <w:pPr>
              <w:autoSpaceDE w:val="0"/>
              <w:autoSpaceDN w:val="0"/>
              <w:adjustRightInd w:val="0"/>
              <w:spacing w:after="0" w:line="240" w:lineRule="auto"/>
            </w:pPr>
            <w:r>
              <w:rPr>
                <w:rFonts w:ascii="TeXGyreBonumRegular" w:hAnsi="TeXGyreBonumRegular" w:cs="TeXGyreBonumRegular"/>
                <w:sz w:val="20"/>
                <w:szCs w:val="20"/>
                <w:lang w:eastAsia="sk-SK"/>
              </w:rPr>
              <w:t>(</w:t>
            </w:r>
            <w:r w:rsidRPr="009171C4">
              <w:t>3) Súčasťou integrovaného</w:t>
            </w:r>
            <w:r w:rsidR="008C67AA">
              <w:t xml:space="preserve"> </w:t>
            </w:r>
            <w:r w:rsidRPr="009171C4">
              <w:t>povoľovania</w:t>
            </w:r>
            <w:r w:rsidR="008C67AA">
              <w:t xml:space="preserve"> </w:t>
            </w:r>
            <w:r w:rsidRPr="009171C4">
              <w:t>je</w:t>
            </w:r>
          </w:p>
          <w:p w:rsidR="009171C4" w:rsidRPr="009171C4" w:rsidRDefault="009171C4" w:rsidP="009171C4">
            <w:pPr>
              <w:autoSpaceDE w:val="0"/>
              <w:autoSpaceDN w:val="0"/>
              <w:adjustRightInd w:val="0"/>
              <w:spacing w:after="0" w:line="240" w:lineRule="auto"/>
            </w:pPr>
            <w:r w:rsidRPr="009171C4">
              <w:t>a) v</w:t>
            </w:r>
            <w:r w:rsidR="008C67AA">
              <w:t> </w:t>
            </w:r>
            <w:r w:rsidRPr="009171C4">
              <w:t>oblasti</w:t>
            </w:r>
            <w:r w:rsidR="008C67AA">
              <w:t xml:space="preserve"> </w:t>
            </w:r>
            <w:r w:rsidRPr="009171C4">
              <w:t>ochrany</w:t>
            </w:r>
            <w:r w:rsidR="008C67AA">
              <w:t xml:space="preserve"> </w:t>
            </w:r>
            <w:r w:rsidRPr="009171C4">
              <w:t>ovzdušia11)</w:t>
            </w:r>
          </w:p>
          <w:p w:rsidR="009171C4" w:rsidRPr="009171C4" w:rsidRDefault="009171C4" w:rsidP="009171C4">
            <w:pPr>
              <w:autoSpaceDE w:val="0"/>
              <w:autoSpaceDN w:val="0"/>
              <w:adjustRightInd w:val="0"/>
              <w:spacing w:after="0" w:line="240" w:lineRule="auto"/>
              <w:ind w:right="-204"/>
            </w:pPr>
            <w:r w:rsidRPr="009171C4">
              <w:t>1. sú</w:t>
            </w:r>
            <w:r>
              <w:t xml:space="preserve">hlas </w:t>
            </w:r>
            <w:r w:rsidRPr="009171C4">
              <w:t>a</w:t>
            </w:r>
            <w:r w:rsidR="008C67AA">
              <w:t xml:space="preserve"> </w:t>
            </w:r>
            <w:r w:rsidRPr="009171C4">
              <w:t>vydanie</w:t>
            </w:r>
            <w:r w:rsidR="008C67AA">
              <w:t xml:space="preserve"> </w:t>
            </w:r>
            <w:r w:rsidRPr="009171C4">
              <w:t>rozhodnutí</w:t>
            </w:r>
            <w:r w:rsidR="008C67AA">
              <w:t xml:space="preserve"> </w:t>
            </w:r>
            <w:r w:rsidRPr="009171C4">
              <w:t>o</w:t>
            </w:r>
            <w:r w:rsidR="008C67AA">
              <w:t xml:space="preserve"> </w:t>
            </w:r>
            <w:r w:rsidRPr="009171C4">
              <w:t>povolení</w:t>
            </w:r>
            <w:r w:rsidR="008C67AA">
              <w:t xml:space="preserve"> </w:t>
            </w:r>
            <w:r w:rsidRPr="009171C4">
              <w:t>stavieb</w:t>
            </w:r>
            <w:r w:rsidR="008C67AA">
              <w:t xml:space="preserve"> </w:t>
            </w:r>
            <w:r w:rsidRPr="009171C4">
              <w:t>veľkých</w:t>
            </w:r>
            <w:r w:rsidR="008C67AA">
              <w:t xml:space="preserve"> </w:t>
            </w:r>
            <w:r w:rsidRPr="009171C4">
              <w:t>zdrojov</w:t>
            </w:r>
            <w:r w:rsidR="008C67AA">
              <w:t xml:space="preserve"> </w:t>
            </w:r>
            <w:r w:rsidRPr="009171C4">
              <w:t>znečisťovania,</w:t>
            </w:r>
            <w:r w:rsidR="008C67AA">
              <w:t xml:space="preserve"> </w:t>
            </w:r>
            <w:r w:rsidRPr="009171C4">
              <w:t>stredných</w:t>
            </w:r>
            <w:r>
              <w:t xml:space="preserve"> </w:t>
            </w:r>
            <w:r w:rsidRPr="009171C4">
              <w:t>zdrojov znečisťovania</w:t>
            </w:r>
            <w:r>
              <w:t xml:space="preserve"> </w:t>
            </w:r>
            <w:r w:rsidRPr="009171C4">
              <w:t>a</w:t>
            </w:r>
            <w:r>
              <w:t xml:space="preserve"> </w:t>
            </w:r>
            <w:r w:rsidRPr="009171C4">
              <w:t>malých</w:t>
            </w:r>
            <w:r>
              <w:t xml:space="preserve"> </w:t>
            </w:r>
            <w:r w:rsidRPr="009171C4">
              <w:t>zdrojov</w:t>
            </w:r>
            <w:r>
              <w:t xml:space="preserve"> </w:t>
            </w:r>
            <w:r w:rsidRPr="009171C4">
              <w:t>znečisťovania</w:t>
            </w:r>
            <w:r>
              <w:t xml:space="preserve"> </w:t>
            </w:r>
            <w:r w:rsidRPr="009171C4">
              <w:t>ovzdušia</w:t>
            </w:r>
            <w:r>
              <w:t xml:space="preserve"> </w:t>
            </w:r>
            <w:r w:rsidRPr="009171C4">
              <w:t>vrátane</w:t>
            </w:r>
            <w:r>
              <w:t xml:space="preserve"> </w:t>
            </w:r>
            <w:r w:rsidRPr="009171C4">
              <w:t>ich</w:t>
            </w:r>
            <w:r>
              <w:t xml:space="preserve"> </w:t>
            </w:r>
            <w:r w:rsidRPr="009171C4">
              <w:t>zmien,</w:t>
            </w:r>
          </w:p>
          <w:p w:rsidR="009171C4" w:rsidRPr="009171C4" w:rsidRDefault="009171C4" w:rsidP="009171C4">
            <w:pPr>
              <w:autoSpaceDE w:val="0"/>
              <w:autoSpaceDN w:val="0"/>
              <w:adjustRightInd w:val="0"/>
              <w:spacing w:after="0" w:line="240" w:lineRule="auto"/>
            </w:pPr>
            <w:r w:rsidRPr="009171C4">
              <w:t>2. súhlas na</w:t>
            </w:r>
            <w:r w:rsidR="008C67AA">
              <w:t xml:space="preserve"> </w:t>
            </w:r>
            <w:r w:rsidRPr="009171C4">
              <w:t>inštaláciu</w:t>
            </w:r>
            <w:r w:rsidR="008C67AA">
              <w:t xml:space="preserve"> </w:t>
            </w:r>
            <w:r w:rsidRPr="009171C4">
              <w:t>automatizovaných</w:t>
            </w:r>
            <w:r w:rsidR="008C67AA">
              <w:t xml:space="preserve"> </w:t>
            </w:r>
            <w:r w:rsidRPr="009171C4">
              <w:t>meracích</w:t>
            </w:r>
            <w:r w:rsidR="008C67AA">
              <w:t xml:space="preserve"> </w:t>
            </w:r>
            <w:r w:rsidRPr="009171C4">
              <w:t>systémov</w:t>
            </w:r>
            <w:r w:rsidR="008C67AA">
              <w:t xml:space="preserve"> </w:t>
            </w:r>
            <w:r w:rsidRPr="009171C4">
              <w:t>emisií</w:t>
            </w:r>
            <w:r w:rsidR="008C67AA">
              <w:t xml:space="preserve"> </w:t>
            </w:r>
            <w:r w:rsidRPr="009171C4">
              <w:t>a</w:t>
            </w:r>
            <w:r w:rsidR="008C67AA">
              <w:t xml:space="preserve"> </w:t>
            </w:r>
            <w:r w:rsidRPr="009171C4">
              <w:t>automatizovaných</w:t>
            </w:r>
            <w:r w:rsidR="008C67AA">
              <w:t xml:space="preserve"> </w:t>
            </w:r>
            <w:r w:rsidRPr="009171C4">
              <w:t>meracích systémov</w:t>
            </w:r>
            <w:r w:rsidR="008C67AA">
              <w:t xml:space="preserve"> </w:t>
            </w:r>
            <w:r w:rsidRPr="009171C4">
              <w:t>kvality</w:t>
            </w:r>
            <w:r w:rsidR="008C67AA">
              <w:t xml:space="preserve"> </w:t>
            </w:r>
            <w:r w:rsidRPr="009171C4">
              <w:t>ovzdušia</w:t>
            </w:r>
            <w:r w:rsidR="008C67AA">
              <w:t xml:space="preserve"> </w:t>
            </w:r>
            <w:r w:rsidRPr="009171C4">
              <w:t>a</w:t>
            </w:r>
            <w:r w:rsidR="008C67AA">
              <w:t> </w:t>
            </w:r>
            <w:r w:rsidRPr="009171C4">
              <w:t>na</w:t>
            </w:r>
            <w:r w:rsidR="008C67AA">
              <w:t xml:space="preserve"> </w:t>
            </w:r>
            <w:r w:rsidRPr="009171C4">
              <w:t>ich</w:t>
            </w:r>
            <w:r w:rsidR="008C67AA">
              <w:t xml:space="preserve"> </w:t>
            </w:r>
            <w:r w:rsidRPr="009171C4">
              <w:t>zmeny;</w:t>
            </w:r>
            <w:r w:rsidR="008C67AA">
              <w:t xml:space="preserve"> </w:t>
            </w:r>
            <w:r w:rsidRPr="009171C4">
              <w:t>ak</w:t>
            </w:r>
            <w:r w:rsidR="008C67AA">
              <w:t xml:space="preserve"> </w:t>
            </w:r>
            <w:r w:rsidRPr="009171C4">
              <w:t>si</w:t>
            </w:r>
            <w:r w:rsidR="008C67AA">
              <w:t xml:space="preserve"> </w:t>
            </w:r>
            <w:r w:rsidRPr="009171C4">
              <w:t>schvaľovaná</w:t>
            </w:r>
            <w:r w:rsidR="008C67AA">
              <w:t xml:space="preserve"> </w:t>
            </w:r>
            <w:r w:rsidRPr="009171C4">
              <w:t>inštalácia</w:t>
            </w:r>
            <w:r w:rsidR="008C67AA">
              <w:t xml:space="preserve"> </w:t>
            </w:r>
            <w:r w:rsidRPr="009171C4">
              <w:t>meracích</w:t>
            </w:r>
            <w:r w:rsidR="008C67AA">
              <w:t xml:space="preserve"> </w:t>
            </w:r>
            <w:r w:rsidRPr="009171C4">
              <w:t>systémov a</w:t>
            </w:r>
            <w:r w:rsidR="008C67AA">
              <w:t> </w:t>
            </w:r>
            <w:r w:rsidRPr="009171C4">
              <w:t>ich</w:t>
            </w:r>
            <w:r w:rsidR="008C67AA">
              <w:t xml:space="preserve"> </w:t>
            </w:r>
            <w:r w:rsidRPr="009171C4">
              <w:t>zmeny</w:t>
            </w:r>
            <w:r w:rsidR="008C67AA">
              <w:t xml:space="preserve"> </w:t>
            </w:r>
            <w:r w:rsidRPr="009171C4">
              <w:t>nevyžadujú</w:t>
            </w:r>
            <w:r w:rsidR="008C67AA">
              <w:t xml:space="preserve"> </w:t>
            </w:r>
            <w:r w:rsidRPr="009171C4">
              <w:t>kolaudáciu</w:t>
            </w:r>
            <w:r w:rsidR="008C67AA">
              <w:t xml:space="preserve"> </w:t>
            </w:r>
            <w:r w:rsidRPr="009171C4">
              <w:t>podľa</w:t>
            </w:r>
            <w:r w:rsidR="008C67AA">
              <w:t xml:space="preserve"> </w:t>
            </w:r>
            <w:r w:rsidRPr="009171C4">
              <w:t>osobitného</w:t>
            </w:r>
            <w:r w:rsidR="008C67AA">
              <w:t xml:space="preserve"> </w:t>
            </w:r>
            <w:r w:rsidRPr="009171C4">
              <w:t>predpisu,12) je</w:t>
            </w:r>
            <w:r w:rsidR="008C67AA">
              <w:t xml:space="preserve"> </w:t>
            </w:r>
            <w:r w:rsidRPr="009171C4">
              <w:t>súčasťou</w:t>
            </w:r>
            <w:r w:rsidR="008C67AA">
              <w:t xml:space="preserve"> </w:t>
            </w:r>
            <w:r w:rsidRPr="009171C4">
              <w:t>integrovaného povoľovania</w:t>
            </w:r>
            <w:r w:rsidR="008C67AA">
              <w:t xml:space="preserve"> </w:t>
            </w:r>
            <w:r w:rsidRPr="009171C4">
              <w:t>aj</w:t>
            </w:r>
            <w:r w:rsidR="008C67AA">
              <w:t xml:space="preserve"> </w:t>
            </w:r>
            <w:r w:rsidRPr="009171C4">
              <w:t>súhlas</w:t>
            </w:r>
            <w:r w:rsidR="008C67AA">
              <w:t xml:space="preserve"> </w:t>
            </w:r>
            <w:r w:rsidRPr="009171C4">
              <w:t>na</w:t>
            </w:r>
            <w:r w:rsidR="008C67AA">
              <w:t xml:space="preserve"> </w:t>
            </w:r>
            <w:r w:rsidRPr="009171C4">
              <w:t>prevádzku</w:t>
            </w:r>
            <w:r w:rsidR="008C67AA">
              <w:t xml:space="preserve"> </w:t>
            </w:r>
            <w:r w:rsidRPr="009171C4">
              <w:t>meracích</w:t>
            </w:r>
            <w:r w:rsidR="008C67AA">
              <w:t xml:space="preserve"> </w:t>
            </w:r>
            <w:r w:rsidRPr="009171C4">
              <w:t>systémov</w:t>
            </w:r>
            <w:r w:rsidR="008C67AA">
              <w:t xml:space="preserve"> </w:t>
            </w:r>
            <w:r w:rsidRPr="009171C4">
              <w:t>a</w:t>
            </w:r>
            <w:r w:rsidR="008C67AA">
              <w:t xml:space="preserve"> </w:t>
            </w:r>
            <w:r w:rsidRPr="009171C4">
              <w:t>ich</w:t>
            </w:r>
            <w:r w:rsidR="008C67AA">
              <w:t xml:space="preserve"> </w:t>
            </w:r>
            <w:r w:rsidRPr="009171C4">
              <w:t>zmien,</w:t>
            </w:r>
          </w:p>
          <w:p w:rsidR="009171C4" w:rsidRPr="009171C4" w:rsidRDefault="009171C4" w:rsidP="009171C4">
            <w:pPr>
              <w:autoSpaceDE w:val="0"/>
              <w:autoSpaceDN w:val="0"/>
              <w:adjustRightInd w:val="0"/>
              <w:spacing w:after="0" w:line="240" w:lineRule="auto"/>
            </w:pPr>
            <w:r w:rsidRPr="009171C4">
              <w:t>3. súhlas na</w:t>
            </w:r>
            <w:r w:rsidR="008C67AA">
              <w:t xml:space="preserve"> </w:t>
            </w:r>
            <w:r w:rsidRPr="009171C4">
              <w:t>zmeny</w:t>
            </w:r>
            <w:r w:rsidR="008C67AA">
              <w:t xml:space="preserve"> </w:t>
            </w:r>
            <w:r w:rsidRPr="009171C4">
              <w:t>používaných</w:t>
            </w:r>
            <w:r w:rsidR="008C67AA">
              <w:t xml:space="preserve"> </w:t>
            </w:r>
            <w:r w:rsidRPr="009171C4">
              <w:t>palív</w:t>
            </w:r>
            <w:r w:rsidR="008C67AA">
              <w:t xml:space="preserve"> </w:t>
            </w:r>
            <w:r w:rsidRPr="009171C4">
              <w:t>a</w:t>
            </w:r>
            <w:r w:rsidR="008C67AA">
              <w:t xml:space="preserve"> </w:t>
            </w:r>
            <w:r w:rsidRPr="009171C4">
              <w:t>surovín</w:t>
            </w:r>
            <w:r w:rsidR="008C67AA">
              <w:t xml:space="preserve"> </w:t>
            </w:r>
            <w:r w:rsidRPr="009171C4">
              <w:t>a</w:t>
            </w:r>
            <w:r w:rsidR="008C67AA">
              <w:t xml:space="preserve"> </w:t>
            </w:r>
            <w:r w:rsidRPr="009171C4">
              <w:t>na</w:t>
            </w:r>
            <w:r w:rsidR="008C67AA">
              <w:t xml:space="preserve"> </w:t>
            </w:r>
            <w:r w:rsidRPr="009171C4">
              <w:t>zmeny</w:t>
            </w:r>
            <w:r w:rsidR="008C67AA">
              <w:t xml:space="preserve"> </w:t>
            </w:r>
            <w:r w:rsidRPr="009171C4">
              <w:t>technologických</w:t>
            </w:r>
            <w:r w:rsidR="008C67AA">
              <w:t xml:space="preserve"> </w:t>
            </w:r>
            <w:r w:rsidRPr="009171C4">
              <w:t>zariadení</w:t>
            </w:r>
            <w:r w:rsidR="008C67AA">
              <w:t xml:space="preserve"> </w:t>
            </w:r>
            <w:r w:rsidRPr="009171C4">
              <w:t>stacionárnych zdrojov</w:t>
            </w:r>
            <w:r w:rsidR="008C67AA">
              <w:t xml:space="preserve"> </w:t>
            </w:r>
            <w:r w:rsidRPr="009171C4">
              <w:t>znečisťovania</w:t>
            </w:r>
            <w:r w:rsidR="008C67AA">
              <w:t xml:space="preserve"> </w:t>
            </w:r>
            <w:r w:rsidRPr="009171C4">
              <w:t>ovzdušia;</w:t>
            </w:r>
            <w:r w:rsidR="008C67AA">
              <w:t xml:space="preserve"> </w:t>
            </w:r>
            <w:r w:rsidRPr="009171C4">
              <w:t>ak</w:t>
            </w:r>
            <w:r w:rsidR="008C67AA">
              <w:t xml:space="preserve"> </w:t>
            </w:r>
            <w:r w:rsidRPr="009171C4">
              <w:t>si</w:t>
            </w:r>
            <w:r w:rsidR="008C67AA">
              <w:t xml:space="preserve"> </w:t>
            </w:r>
            <w:r w:rsidRPr="009171C4">
              <w:t>schvaľované</w:t>
            </w:r>
            <w:r w:rsidR="008C67AA">
              <w:t xml:space="preserve"> </w:t>
            </w:r>
            <w:r w:rsidRPr="009171C4">
              <w:t>zmeny</w:t>
            </w:r>
            <w:r w:rsidR="008C67AA">
              <w:t xml:space="preserve"> </w:t>
            </w:r>
            <w:r w:rsidRPr="009171C4">
              <w:t>ne</w:t>
            </w:r>
            <w:r w:rsidR="008C67AA">
              <w:t xml:space="preserve"> </w:t>
            </w:r>
            <w:r w:rsidRPr="009171C4">
              <w:t>vyžadujú</w:t>
            </w:r>
          </w:p>
          <w:p w:rsidR="009171C4" w:rsidRPr="009171C4" w:rsidRDefault="009171C4" w:rsidP="009171C4">
            <w:pPr>
              <w:autoSpaceDE w:val="0"/>
              <w:autoSpaceDN w:val="0"/>
              <w:adjustRightInd w:val="0"/>
              <w:spacing w:after="0" w:line="240" w:lineRule="auto"/>
            </w:pPr>
            <w:r w:rsidRPr="009171C4">
              <w:t>kolaudáciu podľaosobitnéhopredpisu,12) je</w:t>
            </w:r>
            <w:r w:rsidR="008C67AA">
              <w:t xml:space="preserve"> </w:t>
            </w:r>
            <w:r w:rsidRPr="009171C4">
              <w:t>súčasťou</w:t>
            </w:r>
            <w:r w:rsidR="008C67AA">
              <w:t xml:space="preserve"> </w:t>
            </w:r>
            <w:r w:rsidRPr="009171C4">
              <w:t>integrovaného</w:t>
            </w:r>
            <w:r w:rsidR="008C67AA">
              <w:t xml:space="preserve"> </w:t>
            </w:r>
            <w:r w:rsidRPr="009171C4">
              <w:t>povoľovania</w:t>
            </w:r>
            <w:r w:rsidR="008C67AA">
              <w:t xml:space="preserve"> </w:t>
            </w:r>
            <w:r w:rsidRPr="009171C4">
              <w:t>aj</w:t>
            </w:r>
            <w:r w:rsidR="008C67AA">
              <w:t xml:space="preserve"> </w:t>
            </w:r>
            <w:r w:rsidRPr="009171C4">
              <w:t>súhlas</w:t>
            </w:r>
          </w:p>
          <w:p w:rsidR="009171C4" w:rsidRPr="009171C4" w:rsidRDefault="009171C4" w:rsidP="009171C4">
            <w:pPr>
              <w:autoSpaceDE w:val="0"/>
              <w:autoSpaceDN w:val="0"/>
              <w:adjustRightInd w:val="0"/>
              <w:spacing w:after="0" w:line="240" w:lineRule="auto"/>
            </w:pPr>
            <w:r w:rsidRPr="009171C4">
              <w:t>Strana 4 Zbierka zákonov</w:t>
            </w:r>
            <w:r w:rsidR="008C67AA">
              <w:t xml:space="preserve"> </w:t>
            </w:r>
            <w:r w:rsidRPr="009171C4">
              <w:t>Slovenskej</w:t>
            </w:r>
            <w:r w:rsidR="008C67AA">
              <w:t xml:space="preserve"> </w:t>
            </w:r>
            <w:r w:rsidRPr="009171C4">
              <w:t xml:space="preserve">republiky 39/2013 </w:t>
            </w:r>
            <w:proofErr w:type="spellStart"/>
            <w:r w:rsidRPr="009171C4">
              <w:t>Z.z</w:t>
            </w:r>
            <w:proofErr w:type="spellEnd"/>
            <w:r w:rsidRPr="009171C4">
              <w:t>.</w:t>
            </w:r>
          </w:p>
          <w:p w:rsidR="00B20392" w:rsidRPr="00EF5876" w:rsidRDefault="009171C4" w:rsidP="008C67AA">
            <w:pPr>
              <w:autoSpaceDE w:val="0"/>
              <w:autoSpaceDN w:val="0"/>
              <w:adjustRightInd w:val="0"/>
              <w:spacing w:after="0" w:line="240" w:lineRule="auto"/>
            </w:pPr>
            <w:r w:rsidRPr="009171C4">
              <w:t>na zmenu</w:t>
            </w:r>
            <w:r w:rsidR="008C67AA">
              <w:t xml:space="preserve"> </w:t>
            </w:r>
            <w:r w:rsidRPr="009171C4">
              <w:t>užívania</w:t>
            </w:r>
            <w:r w:rsidR="008C67AA">
              <w:t xml:space="preserve"> </w:t>
            </w:r>
            <w:r w:rsidRPr="009171C4">
              <w:t>stacionárnych</w:t>
            </w:r>
            <w:r w:rsidR="008C67AA">
              <w:t xml:space="preserve"> </w:t>
            </w:r>
            <w:r w:rsidRPr="009171C4">
              <w:t>zdrojov</w:t>
            </w:r>
            <w:r w:rsidR="008C67AA">
              <w:t xml:space="preserve"> </w:t>
            </w:r>
            <w:r w:rsidRPr="009171C4">
              <w:t>znečisťovania</w:t>
            </w:r>
            <w:r w:rsidR="008C67AA">
              <w:t xml:space="preserve"> </w:t>
            </w:r>
            <w:r w:rsidRPr="009171C4">
              <w:t>ovzdušia</w:t>
            </w:r>
            <w:r w:rsidR="008C67AA">
              <w:t xml:space="preserve"> </w:t>
            </w:r>
            <w:r w:rsidRPr="009171C4">
              <w:t>a</w:t>
            </w:r>
            <w:r w:rsidR="008C67AA">
              <w:t xml:space="preserve"> </w:t>
            </w:r>
            <w:r w:rsidRPr="009171C4">
              <w:t>súhlas</w:t>
            </w:r>
            <w:r w:rsidR="008C67AA">
              <w:t xml:space="preserve"> </w:t>
            </w:r>
            <w:r w:rsidRPr="009171C4">
              <w:t>na</w:t>
            </w:r>
            <w:r w:rsidR="008C67AA">
              <w:t xml:space="preserve"> </w:t>
            </w:r>
            <w:r w:rsidRPr="009171C4">
              <w:t>prevádzku</w:t>
            </w:r>
            <w:r w:rsidR="008C67AA">
              <w:t xml:space="preserve"> </w:t>
            </w:r>
            <w:r w:rsidRPr="009171C4">
              <w:t>týchto zdrojov</w:t>
            </w:r>
            <w:r w:rsidR="008C67AA">
              <w:t xml:space="preserve"> </w:t>
            </w:r>
            <w:r w:rsidRPr="009171C4">
              <w:t>po</w:t>
            </w:r>
            <w:r w:rsidR="008C67AA">
              <w:t xml:space="preserve"> </w:t>
            </w:r>
            <w:r w:rsidRPr="009171C4">
              <w:t>vykonaných</w:t>
            </w:r>
            <w:r w:rsidR="008C67AA">
              <w:t xml:space="preserve"> </w:t>
            </w:r>
            <w:r w:rsidRPr="009171C4">
              <w:t>zmenách,</w:t>
            </w:r>
          </w:p>
        </w:tc>
        <w:tc>
          <w:tcPr>
            <w:tcW w:w="508" w:type="dxa"/>
            <w:tcBorders>
              <w:top w:val="nil"/>
            </w:tcBorders>
            <w:vAlign w:val="center"/>
          </w:tcPr>
          <w:p w:rsidR="00B20392" w:rsidRPr="00AF196A" w:rsidRDefault="00B20392" w:rsidP="00603CC4">
            <w:pPr>
              <w:spacing w:after="0" w:line="240" w:lineRule="auto"/>
              <w:rPr>
                <w:color w:val="000000"/>
              </w:rPr>
            </w:pPr>
          </w:p>
        </w:tc>
        <w:tc>
          <w:tcPr>
            <w:tcW w:w="508" w:type="dxa"/>
            <w:tcBorders>
              <w:top w:val="nil"/>
            </w:tcBorders>
            <w:vAlign w:val="center"/>
          </w:tcPr>
          <w:p w:rsidR="00B20392" w:rsidRPr="00AF196A" w:rsidRDefault="00B20392" w:rsidP="00603CC4">
            <w:pPr>
              <w:spacing w:after="0" w:line="240" w:lineRule="auto"/>
              <w:rPr>
                <w:color w:val="000000"/>
              </w:rPr>
            </w:pPr>
          </w:p>
        </w:tc>
      </w:tr>
      <w:tr w:rsidR="00B20392" w:rsidRPr="00AF196A" w:rsidTr="00EF5876">
        <w:tc>
          <w:tcPr>
            <w:tcW w:w="709" w:type="dxa"/>
            <w:tcBorders>
              <w:bottom w:val="nil"/>
            </w:tcBorders>
            <w:vAlign w:val="center"/>
          </w:tcPr>
          <w:p w:rsidR="00B20392" w:rsidRPr="00603CC4" w:rsidRDefault="00B20392" w:rsidP="00603CC4">
            <w:pPr>
              <w:spacing w:after="0" w:line="240" w:lineRule="auto"/>
            </w:pPr>
            <w:r w:rsidRPr="00603CC4">
              <w:t>Č:6</w:t>
            </w:r>
          </w:p>
        </w:tc>
        <w:tc>
          <w:tcPr>
            <w:tcW w:w="5771" w:type="dxa"/>
            <w:vAlign w:val="center"/>
          </w:tcPr>
          <w:p w:rsidR="00B20392" w:rsidRPr="00603CC4" w:rsidRDefault="00B20392" w:rsidP="00603CC4">
            <w:pPr>
              <w:spacing w:before="120" w:after="0" w:line="240" w:lineRule="auto"/>
              <w:jc w:val="both"/>
              <w:rPr>
                <w:color w:val="000000"/>
                <w:lang w:eastAsia="sk-SK"/>
              </w:rPr>
            </w:pPr>
            <w:r w:rsidRPr="00603CC4">
              <w:rPr>
                <w:color w:val="000000"/>
              </w:rPr>
              <w:t>Emisné limity</w:t>
            </w:r>
          </w:p>
        </w:tc>
        <w:tc>
          <w:tcPr>
            <w:tcW w:w="397" w:type="dxa"/>
            <w:vAlign w:val="center"/>
          </w:tcPr>
          <w:p w:rsidR="00B20392" w:rsidRPr="00603CC4" w:rsidRDefault="00B20392" w:rsidP="00603CC4">
            <w:pPr>
              <w:spacing w:after="0" w:line="240" w:lineRule="auto"/>
            </w:pPr>
          </w:p>
        </w:tc>
        <w:tc>
          <w:tcPr>
            <w:tcW w:w="708" w:type="dxa"/>
            <w:vAlign w:val="center"/>
          </w:tcPr>
          <w:p w:rsidR="00B20392" w:rsidRPr="00603CC4" w:rsidRDefault="00B20392" w:rsidP="00603CC4">
            <w:pPr>
              <w:spacing w:after="0" w:line="240" w:lineRule="auto"/>
            </w:pPr>
          </w:p>
        </w:tc>
        <w:tc>
          <w:tcPr>
            <w:tcW w:w="596" w:type="dxa"/>
            <w:vAlign w:val="center"/>
          </w:tcPr>
          <w:p w:rsidR="00B20392" w:rsidRPr="00603CC4" w:rsidRDefault="00B20392" w:rsidP="00603CC4">
            <w:pPr>
              <w:spacing w:after="0" w:line="240" w:lineRule="auto"/>
            </w:pPr>
          </w:p>
        </w:tc>
        <w:tc>
          <w:tcPr>
            <w:tcW w:w="6396" w:type="dxa"/>
            <w:vAlign w:val="center"/>
          </w:tcPr>
          <w:p w:rsidR="00B20392" w:rsidRPr="00EF5876" w:rsidRDefault="00B20392" w:rsidP="00603CC4">
            <w:pPr>
              <w:spacing w:after="0" w:line="240" w:lineRule="auto"/>
            </w:pPr>
          </w:p>
        </w:tc>
        <w:tc>
          <w:tcPr>
            <w:tcW w:w="508" w:type="dxa"/>
            <w:tcBorders>
              <w:bottom w:val="nil"/>
            </w:tcBorders>
            <w:vAlign w:val="center"/>
          </w:tcPr>
          <w:p w:rsidR="00B20392" w:rsidRPr="00AF196A" w:rsidRDefault="00B20392" w:rsidP="00603CC4">
            <w:pPr>
              <w:spacing w:after="0" w:line="240" w:lineRule="auto"/>
              <w:rPr>
                <w:color w:val="000000"/>
              </w:rPr>
            </w:pPr>
          </w:p>
        </w:tc>
        <w:tc>
          <w:tcPr>
            <w:tcW w:w="508" w:type="dxa"/>
            <w:tcBorders>
              <w:bottom w:val="nil"/>
            </w:tcBorders>
            <w:vAlign w:val="center"/>
          </w:tcPr>
          <w:p w:rsidR="00B20392" w:rsidRPr="00AF196A" w:rsidRDefault="00B20392" w:rsidP="00603CC4">
            <w:pPr>
              <w:spacing w:after="0" w:line="240" w:lineRule="auto"/>
              <w:rPr>
                <w:color w:val="000000"/>
              </w:rPr>
            </w:pPr>
          </w:p>
        </w:tc>
      </w:tr>
      <w:tr w:rsidR="00B20392" w:rsidRPr="00AF196A" w:rsidTr="00EF5876">
        <w:tc>
          <w:tcPr>
            <w:tcW w:w="709" w:type="dxa"/>
            <w:tcBorders>
              <w:top w:val="nil"/>
              <w:bottom w:val="nil"/>
            </w:tcBorders>
            <w:vAlign w:val="center"/>
          </w:tcPr>
          <w:p w:rsidR="00B20392" w:rsidRPr="00603CC4" w:rsidRDefault="00B20392" w:rsidP="00603CC4">
            <w:pPr>
              <w:spacing w:after="0" w:line="240" w:lineRule="auto"/>
            </w:pPr>
            <w:r w:rsidRPr="00603CC4">
              <w:t>O:1</w:t>
            </w:r>
          </w:p>
        </w:tc>
        <w:tc>
          <w:tcPr>
            <w:tcW w:w="5771" w:type="dxa"/>
            <w:vAlign w:val="center"/>
          </w:tcPr>
          <w:p w:rsidR="00B20392" w:rsidRPr="00603CC4" w:rsidRDefault="00B20392" w:rsidP="00A506EC">
            <w:pPr>
              <w:pStyle w:val="Normlny1"/>
              <w:rPr>
                <w:rFonts w:ascii="Calibri" w:hAnsi="Calibri" w:cs="Calibri"/>
                <w:color w:val="000000"/>
                <w:sz w:val="22"/>
                <w:szCs w:val="22"/>
              </w:rPr>
            </w:pPr>
            <w:r w:rsidRPr="00603CC4">
              <w:rPr>
                <w:rFonts w:ascii="Calibri" w:hAnsi="Calibri" w:cs="Calibri"/>
                <w:color w:val="000000"/>
                <w:sz w:val="22"/>
                <w:szCs w:val="22"/>
              </w:rPr>
              <w:t xml:space="preserve">1. </w:t>
            </w:r>
            <w:r w:rsidRPr="008D0C3A">
              <w:rPr>
                <w:rFonts w:ascii="Calibri" w:hAnsi="Calibri" w:cs="Calibri"/>
                <w:color w:val="000000"/>
                <w:sz w:val="22"/>
                <w:szCs w:val="22"/>
              </w:rPr>
              <w:t>Bez toho, aby bola dotknutá kapitola II smernice 2010/75/EÚ, v prípade, keď sa uplatňuje, emisné limity stanovené v prílohe II k tejto smernici, platia pre stredne veľké spaľovacie zariadenia.</w:t>
            </w:r>
          </w:p>
          <w:p w:rsidR="00B20392" w:rsidRPr="00603CC4" w:rsidRDefault="00B20392" w:rsidP="00B8015E">
            <w:pPr>
              <w:pStyle w:val="Normlny1"/>
              <w:rPr>
                <w:rFonts w:ascii="Calibri" w:hAnsi="Calibri" w:cs="Calibri"/>
                <w:color w:val="000000"/>
                <w:sz w:val="22"/>
                <w:szCs w:val="22"/>
              </w:rPr>
            </w:pPr>
            <w:r w:rsidRPr="00603CC4">
              <w:rPr>
                <w:rFonts w:ascii="Calibri" w:hAnsi="Calibri" w:cs="Calibri"/>
                <w:color w:val="000000"/>
                <w:sz w:val="22"/>
                <w:szCs w:val="22"/>
              </w:rPr>
              <w:t xml:space="preserve">Emisné limity stanovené v prílohe II sa nevzťahujú na stredne veľké spaľovacie zariadenia na Kanárskych ostrovoch, vo </w:t>
            </w:r>
            <w:r w:rsidRPr="00603CC4">
              <w:rPr>
                <w:rFonts w:ascii="Calibri" w:hAnsi="Calibri" w:cs="Calibri"/>
                <w:color w:val="000000"/>
                <w:sz w:val="22"/>
                <w:szCs w:val="22"/>
              </w:rPr>
              <w:lastRenderedPageBreak/>
              <w:t>francúzskych zámorských departementoch a na Azorách a Madeire. Dotknuté členské štáty stanovia emisné limity pre tieto zariadenia s cieľom znížiť ich emisie do ovzdušia a potenciálne riziká pre ľudské zdravie a životné prostredie.</w:t>
            </w:r>
          </w:p>
        </w:tc>
        <w:tc>
          <w:tcPr>
            <w:tcW w:w="397" w:type="dxa"/>
            <w:vAlign w:val="center"/>
          </w:tcPr>
          <w:p w:rsidR="00B20392" w:rsidRPr="00603CC4" w:rsidRDefault="00670CE1" w:rsidP="00603CC4">
            <w:pPr>
              <w:spacing w:after="0" w:line="240" w:lineRule="auto"/>
            </w:pPr>
            <w:r>
              <w:lastRenderedPageBreak/>
              <w:t>N</w:t>
            </w:r>
          </w:p>
        </w:tc>
        <w:tc>
          <w:tcPr>
            <w:tcW w:w="708" w:type="dxa"/>
            <w:vAlign w:val="center"/>
          </w:tcPr>
          <w:p w:rsidR="00B20392" w:rsidRPr="00603CC4" w:rsidRDefault="000478AD" w:rsidP="00603CC4">
            <w:pPr>
              <w:spacing w:after="0" w:line="240" w:lineRule="auto"/>
            </w:pPr>
            <w:r>
              <w:t>N410</w:t>
            </w:r>
          </w:p>
        </w:tc>
        <w:tc>
          <w:tcPr>
            <w:tcW w:w="596" w:type="dxa"/>
            <w:vAlign w:val="center"/>
          </w:tcPr>
          <w:p w:rsidR="00D5717F" w:rsidRPr="00603CC4" w:rsidRDefault="00B05545" w:rsidP="00FA5311">
            <w:pPr>
              <w:spacing w:after="0" w:line="240" w:lineRule="auto"/>
              <w:ind w:right="-95"/>
            </w:pPr>
            <w:r>
              <w:t>§:</w:t>
            </w:r>
            <w:r w:rsidR="008D0C3A">
              <w:t xml:space="preserve"> 17 O</w:t>
            </w:r>
            <w:r>
              <w:t>:</w:t>
            </w:r>
            <w:r w:rsidR="008D0C3A">
              <w:t>2</w:t>
            </w:r>
          </w:p>
        </w:tc>
        <w:tc>
          <w:tcPr>
            <w:tcW w:w="6396" w:type="dxa"/>
            <w:vAlign w:val="center"/>
          </w:tcPr>
          <w:p w:rsidR="000478AD" w:rsidRPr="00EF5876" w:rsidRDefault="00D5717F" w:rsidP="000478AD">
            <w:pPr>
              <w:pStyle w:val="Odsekzoznamu"/>
              <w:numPr>
                <w:ilvl w:val="3"/>
                <w:numId w:val="15"/>
              </w:numPr>
              <w:spacing w:after="0"/>
              <w:ind w:left="430" w:hanging="430"/>
              <w:contextualSpacing/>
              <w:rPr>
                <w:rFonts w:ascii="Calibri" w:eastAsia="Calibri" w:hAnsi="Calibri" w:cs="Calibri"/>
                <w:sz w:val="22"/>
                <w:szCs w:val="22"/>
              </w:rPr>
            </w:pPr>
            <w:r w:rsidRPr="00EF5876">
              <w:rPr>
                <w:rFonts w:ascii="Calibri" w:eastAsia="Calibri" w:hAnsi="Calibri" w:cs="Calibri"/>
                <w:sz w:val="22"/>
                <w:szCs w:val="22"/>
              </w:rPr>
              <w:t xml:space="preserve"> </w:t>
            </w:r>
            <w:r w:rsidR="008D0C3A" w:rsidRPr="00EF5876">
              <w:rPr>
                <w:rFonts w:ascii="Calibri" w:eastAsia="Calibri" w:hAnsi="Calibri" w:cs="Calibri"/>
                <w:sz w:val="22"/>
                <w:szCs w:val="22"/>
              </w:rPr>
              <w:t xml:space="preserve">Emisné limity sa na stredne veľké spaľovacie zariadenia uplatňujú podľa § 9.  </w:t>
            </w:r>
            <w:r w:rsidR="000478AD" w:rsidRPr="00EF5876">
              <w:rPr>
                <w:rFonts w:ascii="Calibri" w:eastAsia="Calibri" w:hAnsi="Calibri" w:cs="Calibri"/>
                <w:sz w:val="22"/>
                <w:szCs w:val="22"/>
              </w:rPr>
              <w:t xml:space="preserve">Prípady, na ktoré sa vzťahuje osobitný predpis,1) tým nie sú dotknuté. </w:t>
            </w:r>
          </w:p>
          <w:p w:rsidR="000478AD" w:rsidRPr="00EF5876" w:rsidRDefault="000478AD" w:rsidP="000478AD">
            <w:pPr>
              <w:spacing w:after="0"/>
              <w:contextualSpacing/>
            </w:pPr>
          </w:p>
          <w:p w:rsidR="000478AD" w:rsidRPr="00EF5876" w:rsidRDefault="000478AD" w:rsidP="000478AD">
            <w:pPr>
              <w:spacing w:after="0"/>
              <w:contextualSpacing/>
            </w:pPr>
          </w:p>
          <w:p w:rsidR="000478AD" w:rsidRPr="00EF5876" w:rsidRDefault="000478AD" w:rsidP="000478AD">
            <w:pPr>
              <w:pStyle w:val="Odsekzoznamu"/>
              <w:numPr>
                <w:ilvl w:val="0"/>
                <w:numId w:val="45"/>
              </w:numPr>
              <w:spacing w:after="0"/>
              <w:contextualSpacing/>
              <w:rPr>
                <w:rFonts w:ascii="Calibri" w:eastAsia="Calibri" w:hAnsi="Calibri" w:cs="Calibri"/>
                <w:sz w:val="22"/>
                <w:szCs w:val="22"/>
              </w:rPr>
            </w:pPr>
            <w:r w:rsidRPr="00EF5876">
              <w:rPr>
                <w:rFonts w:ascii="Calibri" w:eastAsia="Calibri" w:hAnsi="Calibri" w:cs="Calibri"/>
                <w:sz w:val="22"/>
                <w:szCs w:val="22"/>
              </w:rPr>
              <w:t>Zákon č. 39/2013 Z. z. o integrovanom povoľovaní...</w:t>
            </w:r>
          </w:p>
          <w:p w:rsidR="00B20392" w:rsidRPr="00EF5876" w:rsidRDefault="00B20392" w:rsidP="000478AD">
            <w:pPr>
              <w:pStyle w:val="Odsekzoznamu"/>
              <w:keepNext w:val="0"/>
              <w:numPr>
                <w:ilvl w:val="0"/>
                <w:numId w:val="20"/>
              </w:numPr>
              <w:spacing w:before="0" w:after="0"/>
              <w:ind w:left="0" w:firstLine="851"/>
              <w:contextualSpacing/>
            </w:pPr>
          </w:p>
        </w:tc>
        <w:tc>
          <w:tcPr>
            <w:tcW w:w="508" w:type="dxa"/>
            <w:tcBorders>
              <w:top w:val="nil"/>
              <w:bottom w:val="nil"/>
            </w:tcBorders>
            <w:vAlign w:val="center"/>
          </w:tcPr>
          <w:p w:rsidR="00B20392" w:rsidRPr="00AF196A" w:rsidRDefault="00B20392" w:rsidP="00603CC4">
            <w:pPr>
              <w:spacing w:after="0" w:line="240" w:lineRule="auto"/>
              <w:rPr>
                <w:color w:val="000000"/>
              </w:rPr>
            </w:pPr>
          </w:p>
        </w:tc>
        <w:tc>
          <w:tcPr>
            <w:tcW w:w="508" w:type="dxa"/>
            <w:tcBorders>
              <w:top w:val="nil"/>
              <w:bottom w:val="nil"/>
            </w:tcBorders>
            <w:vAlign w:val="center"/>
          </w:tcPr>
          <w:p w:rsidR="00B20392" w:rsidRPr="00AF196A" w:rsidRDefault="00B20392" w:rsidP="00603CC4">
            <w:pPr>
              <w:spacing w:after="0" w:line="240" w:lineRule="auto"/>
              <w:rPr>
                <w:color w:val="000000"/>
              </w:rPr>
            </w:pPr>
          </w:p>
        </w:tc>
      </w:tr>
      <w:tr w:rsidR="00B20392" w:rsidRPr="00AF196A" w:rsidTr="00EF5876">
        <w:tc>
          <w:tcPr>
            <w:tcW w:w="709" w:type="dxa"/>
            <w:tcBorders>
              <w:top w:val="nil"/>
              <w:bottom w:val="nil"/>
            </w:tcBorders>
            <w:vAlign w:val="center"/>
          </w:tcPr>
          <w:p w:rsidR="00B20392" w:rsidRPr="00603CC4" w:rsidRDefault="00B20392" w:rsidP="00603CC4">
            <w:pPr>
              <w:spacing w:after="0" w:line="240" w:lineRule="auto"/>
            </w:pPr>
            <w:r w:rsidRPr="00603CC4">
              <w:lastRenderedPageBreak/>
              <w:t>O:2</w:t>
            </w:r>
          </w:p>
        </w:tc>
        <w:tc>
          <w:tcPr>
            <w:tcW w:w="5771" w:type="dxa"/>
            <w:vAlign w:val="center"/>
          </w:tcPr>
          <w:p w:rsidR="00B20392" w:rsidRPr="00603CC4" w:rsidRDefault="00B20392" w:rsidP="00A506EC">
            <w:pPr>
              <w:pStyle w:val="Normlny1"/>
              <w:rPr>
                <w:rFonts w:ascii="Calibri" w:hAnsi="Calibri" w:cs="Calibri"/>
                <w:color w:val="000000"/>
                <w:sz w:val="22"/>
                <w:szCs w:val="22"/>
              </w:rPr>
            </w:pPr>
            <w:r w:rsidRPr="00603CC4">
              <w:rPr>
                <w:rFonts w:ascii="Calibri" w:hAnsi="Calibri" w:cs="Calibri"/>
                <w:color w:val="000000"/>
                <w:sz w:val="22"/>
                <w:szCs w:val="22"/>
              </w:rPr>
              <w:t>2. Od 1. januára 2025 nesmú emisie SO</w:t>
            </w:r>
            <w:r w:rsidRPr="00603CC4">
              <w:rPr>
                <w:rStyle w:val="sub"/>
                <w:rFonts w:ascii="Calibri" w:hAnsi="Calibri" w:cs="Calibri"/>
                <w:color w:val="000000"/>
                <w:sz w:val="22"/>
                <w:szCs w:val="22"/>
              </w:rPr>
              <w:t>2</w:t>
            </w:r>
            <w:r w:rsidRPr="00603CC4">
              <w:rPr>
                <w:rFonts w:ascii="Calibri" w:hAnsi="Calibri" w:cs="Calibri"/>
                <w:color w:val="000000"/>
                <w:sz w:val="22"/>
                <w:szCs w:val="22"/>
              </w:rPr>
              <w:t>, NO</w:t>
            </w:r>
            <w:r w:rsidRPr="00603CC4">
              <w:rPr>
                <w:rStyle w:val="sub"/>
                <w:rFonts w:ascii="Calibri" w:hAnsi="Calibri" w:cs="Calibri"/>
                <w:color w:val="000000"/>
                <w:sz w:val="22"/>
                <w:szCs w:val="22"/>
              </w:rPr>
              <w:t>x</w:t>
            </w:r>
            <w:r w:rsidRPr="00603CC4">
              <w:rPr>
                <w:rFonts w:ascii="Calibri" w:hAnsi="Calibri" w:cs="Calibri"/>
                <w:color w:val="000000"/>
                <w:sz w:val="22"/>
                <w:szCs w:val="22"/>
              </w:rPr>
              <w:t xml:space="preserve"> a prachu do ovzdušia z existujúcich stredne veľkých spaľovacích zariadení s menovitým tepelným príkonom väčším ako 5 MW prekročiť emisné limity stanovené v tabuľkách 2 a 3 časti 1 prílohy II.</w:t>
            </w:r>
          </w:p>
          <w:p w:rsidR="00B20392" w:rsidRPr="00603CC4" w:rsidRDefault="00B20392" w:rsidP="00B8015E">
            <w:pPr>
              <w:pStyle w:val="Normlny1"/>
              <w:rPr>
                <w:rFonts w:ascii="Calibri" w:hAnsi="Calibri" w:cs="Calibri"/>
                <w:color w:val="000000"/>
                <w:sz w:val="22"/>
                <w:szCs w:val="22"/>
              </w:rPr>
            </w:pPr>
            <w:r w:rsidRPr="00603CC4">
              <w:rPr>
                <w:rFonts w:ascii="Calibri" w:hAnsi="Calibri" w:cs="Calibri"/>
                <w:color w:val="000000"/>
                <w:sz w:val="22"/>
                <w:szCs w:val="22"/>
              </w:rPr>
              <w:t>Od 1. januára 2030 nesmú emisie SO</w:t>
            </w:r>
            <w:r w:rsidRPr="00603CC4">
              <w:rPr>
                <w:rStyle w:val="sub"/>
                <w:rFonts w:ascii="Calibri" w:hAnsi="Calibri" w:cs="Calibri"/>
                <w:color w:val="000000"/>
                <w:sz w:val="22"/>
                <w:szCs w:val="22"/>
              </w:rPr>
              <w:t>2</w:t>
            </w:r>
            <w:r w:rsidRPr="00603CC4">
              <w:rPr>
                <w:rFonts w:ascii="Calibri" w:hAnsi="Calibri" w:cs="Calibri"/>
                <w:color w:val="000000"/>
                <w:sz w:val="22"/>
                <w:szCs w:val="22"/>
              </w:rPr>
              <w:t>, NO</w:t>
            </w:r>
            <w:r w:rsidRPr="00603CC4">
              <w:rPr>
                <w:rStyle w:val="sub"/>
                <w:rFonts w:ascii="Calibri" w:hAnsi="Calibri" w:cs="Calibri"/>
                <w:color w:val="000000"/>
                <w:sz w:val="22"/>
                <w:szCs w:val="22"/>
              </w:rPr>
              <w:t>x</w:t>
            </w:r>
            <w:r w:rsidRPr="00603CC4">
              <w:rPr>
                <w:rFonts w:ascii="Calibri" w:hAnsi="Calibri" w:cs="Calibri"/>
                <w:color w:val="000000"/>
                <w:sz w:val="22"/>
                <w:szCs w:val="22"/>
              </w:rPr>
              <w:t xml:space="preserve"> a prachu do ovzdušia z existujúcich stredne veľkých spaľovacích zariadení s menovitým tepelným príkonom menším alebo rovnajúcim sa 5 MW prekročiť emisné limity stanovené v tabuľkách 1 a 3 časti 1 prílohy II.</w:t>
            </w:r>
          </w:p>
        </w:tc>
        <w:tc>
          <w:tcPr>
            <w:tcW w:w="397" w:type="dxa"/>
            <w:vAlign w:val="center"/>
          </w:tcPr>
          <w:p w:rsidR="00B20392" w:rsidRPr="00603CC4" w:rsidRDefault="00670CE1" w:rsidP="00603CC4">
            <w:pPr>
              <w:spacing w:after="0" w:line="240" w:lineRule="auto"/>
            </w:pPr>
            <w:r>
              <w:t>N</w:t>
            </w:r>
          </w:p>
        </w:tc>
        <w:tc>
          <w:tcPr>
            <w:tcW w:w="708" w:type="dxa"/>
            <w:vAlign w:val="center"/>
          </w:tcPr>
          <w:p w:rsidR="00B20392" w:rsidRPr="00603CC4" w:rsidRDefault="000C4B7B" w:rsidP="00603CC4">
            <w:pPr>
              <w:spacing w:after="0" w:line="240" w:lineRule="auto"/>
            </w:pPr>
            <w:r>
              <w:t>N410</w:t>
            </w:r>
          </w:p>
        </w:tc>
        <w:tc>
          <w:tcPr>
            <w:tcW w:w="596" w:type="dxa"/>
            <w:vAlign w:val="center"/>
          </w:tcPr>
          <w:p w:rsidR="00D5717F" w:rsidRDefault="00B05545" w:rsidP="00FA5311">
            <w:pPr>
              <w:spacing w:after="0" w:line="240" w:lineRule="auto"/>
              <w:ind w:right="-79"/>
            </w:pPr>
            <w:r>
              <w:t>§</w:t>
            </w:r>
            <w:r w:rsidR="00D5717F">
              <w:t>:17</w:t>
            </w:r>
          </w:p>
          <w:p w:rsidR="00B20392" w:rsidRPr="00603CC4" w:rsidRDefault="000C4B7B" w:rsidP="00D5717F">
            <w:pPr>
              <w:spacing w:after="0" w:line="240" w:lineRule="auto"/>
            </w:pPr>
            <w:r>
              <w:t>O: 1-3</w:t>
            </w:r>
          </w:p>
        </w:tc>
        <w:tc>
          <w:tcPr>
            <w:tcW w:w="6396" w:type="dxa"/>
            <w:vAlign w:val="center"/>
          </w:tcPr>
          <w:p w:rsidR="00D5717F" w:rsidRPr="00EF5876" w:rsidRDefault="00D5717F" w:rsidP="007D7E3B">
            <w:pPr>
              <w:spacing w:after="0"/>
              <w:ind w:left="284" w:hanging="284"/>
              <w:jc w:val="center"/>
            </w:pPr>
            <w:r w:rsidRPr="00EF5876">
              <w:t>§ 17</w:t>
            </w:r>
          </w:p>
          <w:p w:rsidR="00D5717F" w:rsidRPr="00EF5876" w:rsidRDefault="00D5717F" w:rsidP="00D5717F">
            <w:pPr>
              <w:ind w:left="284" w:hanging="284"/>
              <w:jc w:val="center"/>
              <w:rPr>
                <w:b/>
              </w:rPr>
            </w:pPr>
            <w:r w:rsidRPr="00EF5876">
              <w:rPr>
                <w:b/>
              </w:rPr>
              <w:t xml:space="preserve">Emisné limity, technické požiadavky a podmienky prevádzkovania pre stredne veľké spaľovacie zariadenia </w:t>
            </w:r>
          </w:p>
          <w:p w:rsidR="00D5717F" w:rsidRPr="00EF5876" w:rsidRDefault="00D5717F" w:rsidP="00215280">
            <w:pPr>
              <w:pStyle w:val="Odsekzoznamu"/>
              <w:keepNext w:val="0"/>
              <w:numPr>
                <w:ilvl w:val="0"/>
                <w:numId w:val="21"/>
              </w:numPr>
              <w:spacing w:before="0" w:after="0"/>
              <w:ind w:left="459" w:hanging="425"/>
              <w:contextualSpacing/>
              <w:rPr>
                <w:rFonts w:ascii="Calibri" w:eastAsia="Calibri" w:hAnsi="Calibri" w:cs="Calibri"/>
                <w:sz w:val="22"/>
                <w:szCs w:val="22"/>
              </w:rPr>
            </w:pPr>
            <w:r w:rsidRPr="00EF5876">
              <w:rPr>
                <w:rFonts w:ascii="Calibri" w:eastAsia="Calibri" w:hAnsi="Calibri" w:cs="Calibri"/>
                <w:sz w:val="22"/>
                <w:szCs w:val="22"/>
              </w:rPr>
              <w:t xml:space="preserve">Členenie stredne veľkých spaľovacích zariadení podľa dátumu vydania povolenia pre uplatnenie emisných limitov je uvedené v prílohe č. 4 štvrtej časti bode 1. </w:t>
            </w:r>
          </w:p>
          <w:p w:rsidR="00D5717F" w:rsidRPr="00EF5876" w:rsidRDefault="00D5717F" w:rsidP="00215280">
            <w:pPr>
              <w:pStyle w:val="Odsekzoznamu"/>
              <w:keepNext w:val="0"/>
              <w:numPr>
                <w:ilvl w:val="0"/>
                <w:numId w:val="21"/>
              </w:numPr>
              <w:spacing w:before="0" w:after="0"/>
              <w:ind w:left="459" w:hanging="425"/>
              <w:contextualSpacing/>
              <w:rPr>
                <w:rFonts w:ascii="Calibri" w:eastAsia="Calibri" w:hAnsi="Calibri" w:cs="Calibri"/>
                <w:sz w:val="22"/>
                <w:szCs w:val="22"/>
              </w:rPr>
            </w:pPr>
            <w:r w:rsidRPr="00EF5876">
              <w:rPr>
                <w:rFonts w:ascii="Calibri" w:eastAsia="Calibri" w:hAnsi="Calibri" w:cs="Calibri"/>
                <w:sz w:val="22"/>
                <w:szCs w:val="22"/>
              </w:rPr>
              <w:t xml:space="preserve">Emisné limity sa na stredne veľké spaľovacie zariadenia uplatňujú podľa § 9. </w:t>
            </w:r>
          </w:p>
          <w:p w:rsidR="00D5717F" w:rsidRPr="00EF5876" w:rsidRDefault="00D5717F" w:rsidP="00215280">
            <w:pPr>
              <w:pStyle w:val="Odsekzoznamu"/>
              <w:keepNext w:val="0"/>
              <w:numPr>
                <w:ilvl w:val="0"/>
                <w:numId w:val="21"/>
              </w:numPr>
              <w:spacing w:before="0" w:after="0"/>
              <w:ind w:left="0" w:firstLine="317"/>
              <w:contextualSpacing/>
              <w:rPr>
                <w:rFonts w:ascii="Calibri" w:eastAsia="Calibri" w:hAnsi="Calibri" w:cs="Calibri"/>
                <w:sz w:val="22"/>
                <w:szCs w:val="22"/>
              </w:rPr>
            </w:pPr>
            <w:r w:rsidRPr="00EF5876">
              <w:rPr>
                <w:rFonts w:ascii="Calibri" w:eastAsia="Calibri" w:hAnsi="Calibri" w:cs="Calibri"/>
                <w:sz w:val="22"/>
                <w:szCs w:val="22"/>
              </w:rPr>
              <w:t xml:space="preserve">Pre stredne veľké spaľovacie zariadenia začlenené ako jestvujúce zariadenia platia emisné limity, technické požiadavky a podmienky prevádzkovania uvedené </w:t>
            </w:r>
          </w:p>
          <w:p w:rsidR="00D5717F" w:rsidRPr="00EF5876" w:rsidRDefault="00D5717F" w:rsidP="00D5717F">
            <w:pPr>
              <w:tabs>
                <w:tab w:val="left" w:pos="1276"/>
              </w:tabs>
              <w:spacing w:after="0"/>
            </w:pPr>
            <w:r w:rsidRPr="00EF5876">
              <w:t xml:space="preserve">a) </w:t>
            </w:r>
            <w:hyperlink r:id="rId11" w:anchor="prilohy.priloha-priloha_c_4_k_vyhlaske_c_410_2012_z_z.oznacenie" w:tooltip="Odkaz na predpis alebo ustanovenie" w:history="1">
              <w:r w:rsidRPr="00EF5876">
                <w:t xml:space="preserve">prílohe č. 4 štvrtej časti </w:t>
              </w:r>
            </w:hyperlink>
            <w:r w:rsidRPr="00EF5876">
              <w:t xml:space="preserve">pre jestvujúce zariadenia do dátumov uvedených v písmene b), </w:t>
            </w:r>
          </w:p>
          <w:p w:rsidR="00D5717F" w:rsidRPr="00EF5876" w:rsidRDefault="00D5717F" w:rsidP="00D5717F">
            <w:pPr>
              <w:tabs>
                <w:tab w:val="left" w:pos="1276"/>
              </w:tabs>
              <w:spacing w:after="0"/>
            </w:pPr>
            <w:r w:rsidRPr="00EF5876">
              <w:t xml:space="preserve">b) </w:t>
            </w:r>
            <w:hyperlink r:id="rId12" w:anchor="prilohy.priloha-priloha_c_4_k_vyhlaske_c_410_2012_z_z.oznacenie" w:tooltip="Odkaz na predpis alebo ustanovenie" w:history="1">
              <w:r w:rsidRPr="00EF5876">
                <w:t xml:space="preserve">prílohe č. 4 štvrtej časti bodoch 2 až 4 </w:t>
              </w:r>
            </w:hyperlink>
            <w:r w:rsidRPr="00EF5876">
              <w:t xml:space="preserve">tabuľkách A pre stredne veľké spaľovacie zariadenia začlenené ako jestvujúce zariadenia </w:t>
            </w:r>
          </w:p>
          <w:p w:rsidR="00D5717F" w:rsidRPr="00EF5876" w:rsidRDefault="00D5717F" w:rsidP="00D5717F">
            <w:pPr>
              <w:tabs>
                <w:tab w:val="left" w:pos="1276"/>
              </w:tabs>
              <w:spacing w:after="0"/>
            </w:pPr>
            <w:r w:rsidRPr="00EF5876">
              <w:t xml:space="preserve">1. s celkovým menovitým tepelným príkonom väčším ako 5 MW, od 1. januára 2025,    </w:t>
            </w:r>
          </w:p>
          <w:p w:rsidR="00B20392" w:rsidRPr="00EF5876" w:rsidRDefault="00D5717F" w:rsidP="0021709C">
            <w:pPr>
              <w:spacing w:after="0"/>
              <w:jc w:val="both"/>
            </w:pPr>
            <w:r w:rsidRPr="00EF5876">
              <w:t>2. s celkovým menovitým tepelným príkonom menším alebo rovným 5 MW vrátane od 1. januára 2030.</w:t>
            </w:r>
          </w:p>
        </w:tc>
        <w:tc>
          <w:tcPr>
            <w:tcW w:w="508" w:type="dxa"/>
            <w:tcBorders>
              <w:top w:val="nil"/>
              <w:bottom w:val="nil"/>
            </w:tcBorders>
            <w:vAlign w:val="center"/>
          </w:tcPr>
          <w:p w:rsidR="00B20392" w:rsidRPr="00AF196A" w:rsidRDefault="00B20392" w:rsidP="00603CC4">
            <w:pPr>
              <w:spacing w:after="0" w:line="240" w:lineRule="auto"/>
              <w:rPr>
                <w:color w:val="000000"/>
              </w:rPr>
            </w:pPr>
          </w:p>
        </w:tc>
        <w:tc>
          <w:tcPr>
            <w:tcW w:w="508" w:type="dxa"/>
            <w:tcBorders>
              <w:top w:val="nil"/>
              <w:bottom w:val="nil"/>
            </w:tcBorders>
            <w:vAlign w:val="center"/>
          </w:tcPr>
          <w:p w:rsidR="00B20392" w:rsidRPr="00AF196A" w:rsidRDefault="00B20392" w:rsidP="00603CC4">
            <w:pPr>
              <w:spacing w:after="0" w:line="240" w:lineRule="auto"/>
              <w:rPr>
                <w:color w:val="000000"/>
              </w:rPr>
            </w:pPr>
          </w:p>
        </w:tc>
      </w:tr>
      <w:tr w:rsidR="00B20392" w:rsidRPr="00AF196A" w:rsidTr="00EF5876">
        <w:tc>
          <w:tcPr>
            <w:tcW w:w="709" w:type="dxa"/>
            <w:tcBorders>
              <w:top w:val="nil"/>
              <w:bottom w:val="nil"/>
            </w:tcBorders>
            <w:vAlign w:val="center"/>
          </w:tcPr>
          <w:p w:rsidR="00B20392" w:rsidRPr="00603CC4" w:rsidRDefault="00B20392" w:rsidP="00603CC4">
            <w:pPr>
              <w:spacing w:after="0" w:line="240" w:lineRule="auto"/>
            </w:pPr>
            <w:r w:rsidRPr="00603CC4">
              <w:t>O:3</w:t>
            </w:r>
          </w:p>
        </w:tc>
        <w:tc>
          <w:tcPr>
            <w:tcW w:w="5771" w:type="dxa"/>
            <w:vAlign w:val="center"/>
          </w:tcPr>
          <w:p w:rsidR="00B20392" w:rsidRPr="00603CC4" w:rsidRDefault="00B20392" w:rsidP="00603CC4">
            <w:pPr>
              <w:spacing w:before="120" w:after="0" w:line="240" w:lineRule="auto"/>
              <w:jc w:val="both"/>
              <w:rPr>
                <w:color w:val="000000"/>
                <w:lang w:eastAsia="sk-SK"/>
              </w:rPr>
            </w:pPr>
            <w:r w:rsidRPr="00603CC4">
              <w:rPr>
                <w:color w:val="000000"/>
                <w:lang w:eastAsia="sk-SK"/>
              </w:rPr>
              <w:t>3. Členské štáty môžu existujúce stredne veľké spaľovacie zariadenia, ktorých prevádzka neprekračuje 500 prevádzkových hodín ročne, ako kĺzavý priemer počas obdobia piatich rokov, oslobodiť od požiadavky dodržiavať emisné limity stanovené v tabuľkách 1, 2 a 3 časti 1 prílohy II.</w:t>
            </w:r>
          </w:p>
          <w:p w:rsidR="00B20392" w:rsidRPr="00603CC4" w:rsidRDefault="00B20392" w:rsidP="00603CC4">
            <w:pPr>
              <w:spacing w:before="120" w:after="0" w:line="240" w:lineRule="auto"/>
              <w:jc w:val="both"/>
              <w:rPr>
                <w:color w:val="000000"/>
                <w:lang w:eastAsia="sk-SK"/>
              </w:rPr>
            </w:pPr>
            <w:r w:rsidRPr="00603CC4">
              <w:rPr>
                <w:color w:val="000000"/>
                <w:lang w:eastAsia="sk-SK"/>
              </w:rPr>
              <w:t xml:space="preserve">Členské štáty môžu obmedzenie uvedené v prvom </w:t>
            </w:r>
            <w:proofErr w:type="spellStart"/>
            <w:r w:rsidRPr="00603CC4">
              <w:rPr>
                <w:color w:val="000000"/>
                <w:lang w:eastAsia="sk-SK"/>
              </w:rPr>
              <w:t>pododseku</w:t>
            </w:r>
            <w:proofErr w:type="spellEnd"/>
            <w:r w:rsidRPr="00603CC4">
              <w:rPr>
                <w:color w:val="000000"/>
                <w:lang w:eastAsia="sk-SK"/>
              </w:rPr>
              <w:t xml:space="preserve"> predĺžiť na 1 000 prevádzkových hodín v týchto prípadoch núdze alebo mimoriadnych okolností:</w:t>
            </w:r>
          </w:p>
          <w:tbl>
            <w:tblPr>
              <w:tblW w:w="5000" w:type="pct"/>
              <w:tblCellSpacing w:w="0" w:type="dxa"/>
              <w:tblLayout w:type="fixed"/>
              <w:tblCellMar>
                <w:left w:w="0" w:type="dxa"/>
                <w:right w:w="0" w:type="dxa"/>
              </w:tblCellMar>
              <w:tblLook w:val="00A0" w:firstRow="1" w:lastRow="0" w:firstColumn="1" w:lastColumn="0" w:noHBand="0" w:noVBand="0"/>
            </w:tblPr>
            <w:tblGrid>
              <w:gridCol w:w="165"/>
              <w:gridCol w:w="5390"/>
            </w:tblGrid>
            <w:tr w:rsidR="00B20392" w:rsidRPr="00603CC4">
              <w:trPr>
                <w:tblCellSpacing w:w="0" w:type="dxa"/>
              </w:trPr>
              <w:tc>
                <w:tcPr>
                  <w:tcW w:w="200" w:type="dxa"/>
                </w:tcPr>
                <w:p w:rsidR="00B20392" w:rsidRPr="00603CC4" w:rsidRDefault="00B20392" w:rsidP="00A506EC">
                  <w:pPr>
                    <w:spacing w:before="120" w:after="0" w:line="240" w:lineRule="auto"/>
                    <w:jc w:val="both"/>
                    <w:rPr>
                      <w:color w:val="000000"/>
                      <w:lang w:eastAsia="sk-SK"/>
                    </w:rPr>
                  </w:pPr>
                  <w:r w:rsidRPr="00603CC4">
                    <w:rPr>
                      <w:color w:val="000000"/>
                      <w:lang w:eastAsia="sk-SK"/>
                    </w:rPr>
                    <w:t>—</w:t>
                  </w:r>
                </w:p>
              </w:tc>
              <w:tc>
                <w:tcPr>
                  <w:tcW w:w="6670" w:type="dxa"/>
                </w:tcPr>
                <w:p w:rsidR="00B20392" w:rsidRPr="00603CC4" w:rsidRDefault="00B20392" w:rsidP="00A506EC">
                  <w:pPr>
                    <w:spacing w:before="120" w:after="0" w:line="240" w:lineRule="auto"/>
                    <w:jc w:val="both"/>
                    <w:rPr>
                      <w:color w:val="000000"/>
                      <w:lang w:eastAsia="sk-SK"/>
                    </w:rPr>
                  </w:pPr>
                  <w:r w:rsidRPr="00603CC4">
                    <w:rPr>
                      <w:color w:val="000000"/>
                      <w:lang w:eastAsia="sk-SK"/>
                    </w:rPr>
                    <w:t xml:space="preserve">pre záložnú výrobu elektrickej energie na prepojených </w:t>
                  </w:r>
                  <w:r w:rsidRPr="00603CC4">
                    <w:rPr>
                      <w:color w:val="000000"/>
                      <w:lang w:eastAsia="sk-SK"/>
                    </w:rPr>
                    <w:lastRenderedPageBreak/>
                    <w:t>ostrovoch v prípade prerušenia hlavnej dodávky elektriny na ostrov,</w:t>
                  </w:r>
                </w:p>
              </w:tc>
            </w:tr>
          </w:tbl>
          <w:p w:rsidR="00B20392" w:rsidRPr="00603CC4" w:rsidRDefault="00B20392" w:rsidP="00603CC4">
            <w:pPr>
              <w:spacing w:after="0" w:line="240" w:lineRule="auto"/>
              <w:rPr>
                <w:vanish/>
                <w:color w:val="000000"/>
                <w:lang w:eastAsia="sk-SK"/>
              </w:rPr>
            </w:pPr>
          </w:p>
          <w:tbl>
            <w:tblPr>
              <w:tblW w:w="5000" w:type="pct"/>
              <w:tblCellSpacing w:w="0" w:type="dxa"/>
              <w:tblLayout w:type="fixed"/>
              <w:tblCellMar>
                <w:left w:w="0" w:type="dxa"/>
                <w:right w:w="0" w:type="dxa"/>
              </w:tblCellMar>
              <w:tblLook w:val="00A0" w:firstRow="1" w:lastRow="0" w:firstColumn="1" w:lastColumn="0" w:noHBand="0" w:noVBand="0"/>
            </w:tblPr>
            <w:tblGrid>
              <w:gridCol w:w="165"/>
              <w:gridCol w:w="5390"/>
            </w:tblGrid>
            <w:tr w:rsidR="00B20392" w:rsidRPr="00603CC4">
              <w:trPr>
                <w:tblCellSpacing w:w="0" w:type="dxa"/>
              </w:trPr>
              <w:tc>
                <w:tcPr>
                  <w:tcW w:w="200" w:type="dxa"/>
                </w:tcPr>
                <w:p w:rsidR="00B20392" w:rsidRPr="00603CC4" w:rsidRDefault="00B20392" w:rsidP="00A506EC">
                  <w:pPr>
                    <w:spacing w:before="120" w:after="0" w:line="240" w:lineRule="auto"/>
                    <w:jc w:val="both"/>
                    <w:rPr>
                      <w:color w:val="000000"/>
                      <w:lang w:eastAsia="sk-SK"/>
                    </w:rPr>
                  </w:pPr>
                  <w:r w:rsidRPr="00603CC4">
                    <w:rPr>
                      <w:color w:val="000000"/>
                      <w:lang w:eastAsia="sk-SK"/>
                    </w:rPr>
                    <w:t>—</w:t>
                  </w:r>
                </w:p>
              </w:tc>
              <w:tc>
                <w:tcPr>
                  <w:tcW w:w="6670" w:type="dxa"/>
                </w:tcPr>
                <w:p w:rsidR="00B20392" w:rsidRPr="00603CC4" w:rsidRDefault="00B20392" w:rsidP="00A506EC">
                  <w:pPr>
                    <w:spacing w:before="120" w:after="0" w:line="240" w:lineRule="auto"/>
                    <w:jc w:val="both"/>
                    <w:rPr>
                      <w:color w:val="000000"/>
                      <w:lang w:eastAsia="sk-SK"/>
                    </w:rPr>
                  </w:pPr>
                  <w:r w:rsidRPr="00603CC4">
                    <w:rPr>
                      <w:color w:val="000000"/>
                      <w:lang w:eastAsia="sk-SK"/>
                    </w:rPr>
                    <w:t>pre stredne veľké spaľovacie zariadenia používané na výrobu tepla v prípade výnimočne chladného počasia.</w:t>
                  </w:r>
                </w:p>
              </w:tc>
            </w:tr>
          </w:tbl>
          <w:p w:rsidR="00B20392" w:rsidRPr="00603CC4" w:rsidRDefault="00B20392" w:rsidP="00603CC4">
            <w:pPr>
              <w:spacing w:before="120" w:after="0" w:line="240" w:lineRule="auto"/>
              <w:jc w:val="both"/>
              <w:rPr>
                <w:color w:val="000000"/>
                <w:lang w:eastAsia="sk-SK"/>
              </w:rPr>
            </w:pPr>
            <w:r w:rsidRPr="00603CC4">
              <w:rPr>
                <w:color w:val="000000"/>
                <w:lang w:eastAsia="sk-SK"/>
              </w:rPr>
              <w:t>Vo všetkých prípadoch uvedených v tomto odseku sa na zariadenia spaľujúce tuhé palivá uplatňuje emisný limit pre prach 200 mg/Nm</w:t>
            </w:r>
            <w:r w:rsidRPr="00603CC4">
              <w:rPr>
                <w:color w:val="000000"/>
                <w:vertAlign w:val="superscript"/>
                <w:lang w:eastAsia="sk-SK"/>
              </w:rPr>
              <w:t>3</w:t>
            </w:r>
            <w:r w:rsidRPr="00603CC4">
              <w:rPr>
                <w:color w:val="000000"/>
                <w:lang w:eastAsia="sk-SK"/>
              </w:rPr>
              <w:t>.</w:t>
            </w:r>
          </w:p>
        </w:tc>
        <w:tc>
          <w:tcPr>
            <w:tcW w:w="397" w:type="dxa"/>
            <w:vAlign w:val="center"/>
          </w:tcPr>
          <w:p w:rsidR="00B20392" w:rsidRPr="00603CC4" w:rsidRDefault="00670CE1" w:rsidP="00603CC4">
            <w:pPr>
              <w:spacing w:after="0" w:line="240" w:lineRule="auto"/>
            </w:pPr>
            <w:r>
              <w:lastRenderedPageBreak/>
              <w:t>N</w:t>
            </w:r>
          </w:p>
        </w:tc>
        <w:tc>
          <w:tcPr>
            <w:tcW w:w="708" w:type="dxa"/>
            <w:vAlign w:val="center"/>
          </w:tcPr>
          <w:p w:rsidR="00B20392" w:rsidRPr="00603CC4" w:rsidRDefault="000C4B7B" w:rsidP="00603CC4">
            <w:pPr>
              <w:spacing w:after="0" w:line="240" w:lineRule="auto"/>
            </w:pPr>
            <w:r>
              <w:t>N410</w:t>
            </w:r>
          </w:p>
        </w:tc>
        <w:tc>
          <w:tcPr>
            <w:tcW w:w="596" w:type="dxa"/>
            <w:vAlign w:val="center"/>
          </w:tcPr>
          <w:p w:rsidR="00B20392" w:rsidRDefault="00B05545" w:rsidP="00FA5311">
            <w:pPr>
              <w:spacing w:after="0" w:line="240" w:lineRule="auto"/>
              <w:ind w:left="-108" w:right="-79"/>
            </w:pPr>
            <w:r>
              <w:t>§</w:t>
            </w:r>
            <w:r w:rsidR="006C2E31">
              <w:t>:17a</w:t>
            </w:r>
          </w:p>
          <w:p w:rsidR="006C2E31" w:rsidRDefault="006C2E31" w:rsidP="00603CC4">
            <w:pPr>
              <w:spacing w:after="0" w:line="240" w:lineRule="auto"/>
            </w:pPr>
            <w:r>
              <w:t>O:1</w:t>
            </w:r>
          </w:p>
          <w:p w:rsidR="006C2E31" w:rsidRDefault="00B05545" w:rsidP="00603CC4">
            <w:pPr>
              <w:spacing w:after="0" w:line="240" w:lineRule="auto"/>
            </w:pPr>
            <w:r>
              <w:t>P:</w:t>
            </w:r>
            <w:r w:rsidR="006C2E31">
              <w:t>a</w:t>
            </w:r>
          </w:p>
          <w:p w:rsidR="000C4B7B" w:rsidRDefault="000C4B7B" w:rsidP="00603CC4">
            <w:pPr>
              <w:spacing w:after="0" w:line="240" w:lineRule="auto"/>
            </w:pPr>
          </w:p>
          <w:p w:rsidR="006C2E31" w:rsidRPr="00603CC4" w:rsidRDefault="006C2E31" w:rsidP="00603CC4">
            <w:pPr>
              <w:spacing w:after="0" w:line="240" w:lineRule="auto"/>
            </w:pPr>
            <w:r>
              <w:t>O:2,3</w:t>
            </w:r>
          </w:p>
        </w:tc>
        <w:tc>
          <w:tcPr>
            <w:tcW w:w="6396" w:type="dxa"/>
            <w:vAlign w:val="center"/>
          </w:tcPr>
          <w:p w:rsidR="006C2E31" w:rsidRPr="00EF5876" w:rsidRDefault="006C2E31" w:rsidP="007D7E3B">
            <w:pPr>
              <w:spacing w:after="0"/>
              <w:jc w:val="center"/>
            </w:pPr>
            <w:r w:rsidRPr="00EF5876">
              <w:t>§ 17a</w:t>
            </w:r>
          </w:p>
          <w:p w:rsidR="006C2E31" w:rsidRPr="00EF5876" w:rsidRDefault="006C2E31" w:rsidP="007D7E3B">
            <w:pPr>
              <w:spacing w:after="0"/>
              <w:jc w:val="center"/>
            </w:pPr>
            <w:r w:rsidRPr="00EF5876">
              <w:t xml:space="preserve">Obmedzený prevádzkový režim pre stredne veľké spaľovacie zariadenia </w:t>
            </w:r>
          </w:p>
          <w:p w:rsidR="006C2E31" w:rsidRPr="00EF5876" w:rsidRDefault="006C2E31" w:rsidP="00215280">
            <w:pPr>
              <w:pStyle w:val="Odsekzoznamu"/>
              <w:keepNext w:val="0"/>
              <w:numPr>
                <w:ilvl w:val="0"/>
                <w:numId w:val="18"/>
              </w:numPr>
              <w:tabs>
                <w:tab w:val="left" w:pos="1134"/>
              </w:tabs>
              <w:spacing w:before="0" w:after="0"/>
              <w:ind w:left="0" w:firstLine="709"/>
              <w:contextualSpacing/>
              <w:rPr>
                <w:rFonts w:ascii="Calibri" w:eastAsia="Calibri" w:hAnsi="Calibri" w:cs="Calibri"/>
                <w:sz w:val="22"/>
                <w:szCs w:val="22"/>
              </w:rPr>
            </w:pPr>
            <w:r w:rsidRPr="00EF5876">
              <w:rPr>
                <w:rFonts w:ascii="Calibri" w:eastAsia="Calibri" w:hAnsi="Calibri" w:cs="Calibri"/>
                <w:sz w:val="22"/>
                <w:szCs w:val="22"/>
              </w:rPr>
              <w:t xml:space="preserve"> Do obmedzeného prevádzkového režimu možno zaradiť stredne veľké spaľovacie zariadenie s prevádzkou do 500 h ročne pričom, ak ide o</w:t>
            </w:r>
          </w:p>
          <w:p w:rsidR="006C2E31" w:rsidRPr="00EF5876" w:rsidRDefault="006C2E31" w:rsidP="00215280">
            <w:pPr>
              <w:pStyle w:val="Odsekzoznamu"/>
              <w:keepNext w:val="0"/>
              <w:numPr>
                <w:ilvl w:val="0"/>
                <w:numId w:val="19"/>
              </w:numPr>
              <w:spacing w:before="0" w:after="0"/>
              <w:ind w:left="284" w:hanging="284"/>
              <w:contextualSpacing/>
              <w:rPr>
                <w:rFonts w:ascii="Calibri" w:eastAsia="Calibri" w:hAnsi="Calibri" w:cs="Calibri"/>
                <w:sz w:val="22"/>
                <w:szCs w:val="22"/>
              </w:rPr>
            </w:pPr>
            <w:r w:rsidRPr="00EF5876">
              <w:rPr>
                <w:rFonts w:ascii="Calibri" w:eastAsia="Calibri" w:hAnsi="Calibri" w:cs="Calibri"/>
                <w:sz w:val="22"/>
                <w:szCs w:val="22"/>
              </w:rPr>
              <w:t xml:space="preserve">jestvujúce stredne veľké spaľovacie zariadenie, prevádzkové hodiny sa počítajú ako päťročný plávajúci priemer,  </w:t>
            </w:r>
          </w:p>
          <w:p w:rsidR="006C2E31" w:rsidRPr="00EF5876" w:rsidRDefault="006C2E31" w:rsidP="007D7E3B">
            <w:pPr>
              <w:spacing w:after="0"/>
              <w:ind w:firstLine="720"/>
              <w:jc w:val="both"/>
            </w:pPr>
            <w:r w:rsidRPr="00EF5876">
              <w:t xml:space="preserve">2) Pre jestvujúce stredne veľké spaľovacie zariadenia možno </w:t>
            </w:r>
            <w:r w:rsidRPr="00EF5876">
              <w:lastRenderedPageBreak/>
              <w:t>obmedzený prevádzkový režim predĺžiť na 1 000 hodín ročne, v prípade núdze a mimoriadnych okolností pre zariadenia  používané na výrobu tepla v prípade výnimočne chladného počasia.</w:t>
            </w:r>
          </w:p>
          <w:p w:rsidR="00B20392" w:rsidRPr="00EF5876" w:rsidRDefault="006C2E31" w:rsidP="00D5717F">
            <w:pPr>
              <w:ind w:firstLine="709"/>
              <w:jc w:val="both"/>
            </w:pPr>
            <w:r w:rsidRPr="00EF5876">
              <w:t>(3) Na zariadenia v obmedzenom prevádzkovom režime sa emisné limity neuplatňujú, okrem  emisného limitu pre TZL pri spaľovaní</w:t>
            </w:r>
            <w:r w:rsidR="00D5717F" w:rsidRPr="00EF5876">
              <w:t xml:space="preserve"> tuhých palív, vrátane biomasy.</w:t>
            </w:r>
          </w:p>
        </w:tc>
        <w:tc>
          <w:tcPr>
            <w:tcW w:w="508" w:type="dxa"/>
            <w:tcBorders>
              <w:top w:val="nil"/>
              <w:bottom w:val="nil"/>
            </w:tcBorders>
            <w:vAlign w:val="center"/>
          </w:tcPr>
          <w:p w:rsidR="00B20392" w:rsidRPr="00AF196A" w:rsidRDefault="00B20392" w:rsidP="00603CC4">
            <w:pPr>
              <w:spacing w:after="0" w:line="240" w:lineRule="auto"/>
              <w:rPr>
                <w:color w:val="000000"/>
              </w:rPr>
            </w:pPr>
          </w:p>
        </w:tc>
        <w:tc>
          <w:tcPr>
            <w:tcW w:w="508" w:type="dxa"/>
            <w:tcBorders>
              <w:top w:val="nil"/>
              <w:bottom w:val="nil"/>
            </w:tcBorders>
            <w:vAlign w:val="center"/>
          </w:tcPr>
          <w:p w:rsidR="00B20392" w:rsidRPr="00AF196A" w:rsidRDefault="00B20392" w:rsidP="00603CC4">
            <w:pPr>
              <w:spacing w:after="0" w:line="240" w:lineRule="auto"/>
              <w:rPr>
                <w:color w:val="000000"/>
              </w:rPr>
            </w:pPr>
          </w:p>
        </w:tc>
      </w:tr>
      <w:tr w:rsidR="00B20392" w:rsidRPr="00AF196A" w:rsidTr="00EF5876">
        <w:tc>
          <w:tcPr>
            <w:tcW w:w="709" w:type="dxa"/>
            <w:tcBorders>
              <w:top w:val="nil"/>
              <w:bottom w:val="nil"/>
            </w:tcBorders>
            <w:vAlign w:val="center"/>
          </w:tcPr>
          <w:p w:rsidR="00B20392" w:rsidRPr="00603CC4" w:rsidRDefault="00B20392" w:rsidP="00603CC4">
            <w:pPr>
              <w:spacing w:after="0" w:line="240" w:lineRule="auto"/>
            </w:pPr>
            <w:r w:rsidRPr="00603CC4">
              <w:lastRenderedPageBreak/>
              <w:t>O:4</w:t>
            </w:r>
          </w:p>
        </w:tc>
        <w:tc>
          <w:tcPr>
            <w:tcW w:w="5771" w:type="dxa"/>
            <w:vAlign w:val="center"/>
          </w:tcPr>
          <w:p w:rsidR="00B20392" w:rsidRPr="00603CC4" w:rsidRDefault="00B20392" w:rsidP="00603CC4">
            <w:pPr>
              <w:spacing w:before="120" w:after="0" w:line="240" w:lineRule="auto"/>
              <w:jc w:val="both"/>
              <w:rPr>
                <w:color w:val="000000"/>
                <w:lang w:eastAsia="sk-SK"/>
              </w:rPr>
            </w:pPr>
            <w:r w:rsidRPr="00603CC4">
              <w:rPr>
                <w:color w:val="000000"/>
              </w:rPr>
              <w:t>4. Existujúce stredne veľké spaľovacie zariadenia, ktoré sú súčasťou malej izolovanej sústavy (SIS) alebo izolovanej mikrosústavy (MIS) musia spĺňať emisné limity stanovené v tabuľkách 1, 2 a 3 časti 1 prílohy II od 1. januára 2030.</w:t>
            </w:r>
          </w:p>
        </w:tc>
        <w:tc>
          <w:tcPr>
            <w:tcW w:w="397" w:type="dxa"/>
            <w:vAlign w:val="center"/>
          </w:tcPr>
          <w:p w:rsidR="00B20392" w:rsidRPr="00603CC4" w:rsidRDefault="00670CE1" w:rsidP="00603CC4">
            <w:pPr>
              <w:spacing w:after="0" w:line="240" w:lineRule="auto"/>
            </w:pPr>
            <w:r>
              <w:t>D</w:t>
            </w:r>
          </w:p>
        </w:tc>
        <w:tc>
          <w:tcPr>
            <w:tcW w:w="708" w:type="dxa"/>
            <w:vAlign w:val="center"/>
          </w:tcPr>
          <w:p w:rsidR="00B20392" w:rsidRPr="00603CC4" w:rsidRDefault="00B20392" w:rsidP="00603CC4">
            <w:pPr>
              <w:spacing w:after="0" w:line="240" w:lineRule="auto"/>
            </w:pPr>
          </w:p>
        </w:tc>
        <w:tc>
          <w:tcPr>
            <w:tcW w:w="596" w:type="dxa"/>
            <w:vAlign w:val="center"/>
          </w:tcPr>
          <w:p w:rsidR="00B20392" w:rsidRPr="00603CC4" w:rsidRDefault="00B20392" w:rsidP="00603CC4">
            <w:pPr>
              <w:spacing w:after="0" w:line="240" w:lineRule="auto"/>
            </w:pPr>
          </w:p>
        </w:tc>
        <w:tc>
          <w:tcPr>
            <w:tcW w:w="6396" w:type="dxa"/>
            <w:vAlign w:val="center"/>
          </w:tcPr>
          <w:p w:rsidR="00B20392" w:rsidRPr="00EF5876" w:rsidRDefault="00D5717F" w:rsidP="00603CC4">
            <w:pPr>
              <w:spacing w:after="0" w:line="240" w:lineRule="auto"/>
            </w:pPr>
            <w:r w:rsidRPr="00EF5876">
              <w:t>-</w:t>
            </w:r>
            <w:r w:rsidR="000F5D9B" w:rsidRPr="00EF5876">
              <w:t xml:space="preserve">neaplikujeme </w:t>
            </w:r>
          </w:p>
        </w:tc>
        <w:tc>
          <w:tcPr>
            <w:tcW w:w="508" w:type="dxa"/>
            <w:tcBorders>
              <w:top w:val="nil"/>
              <w:bottom w:val="nil"/>
            </w:tcBorders>
            <w:vAlign w:val="center"/>
          </w:tcPr>
          <w:p w:rsidR="00B20392" w:rsidRPr="00AF196A" w:rsidRDefault="00B20392" w:rsidP="00603CC4">
            <w:pPr>
              <w:spacing w:after="0" w:line="240" w:lineRule="auto"/>
              <w:rPr>
                <w:color w:val="000000"/>
              </w:rPr>
            </w:pPr>
          </w:p>
        </w:tc>
        <w:tc>
          <w:tcPr>
            <w:tcW w:w="508" w:type="dxa"/>
            <w:tcBorders>
              <w:top w:val="nil"/>
              <w:bottom w:val="nil"/>
            </w:tcBorders>
            <w:vAlign w:val="center"/>
          </w:tcPr>
          <w:p w:rsidR="00B20392" w:rsidRPr="00AF196A" w:rsidRDefault="00B20392" w:rsidP="00603CC4">
            <w:pPr>
              <w:spacing w:after="0" w:line="240" w:lineRule="auto"/>
              <w:rPr>
                <w:color w:val="000000"/>
              </w:rPr>
            </w:pPr>
          </w:p>
        </w:tc>
      </w:tr>
      <w:tr w:rsidR="00B20392" w:rsidRPr="00AF196A" w:rsidTr="00EF5876">
        <w:tc>
          <w:tcPr>
            <w:tcW w:w="709" w:type="dxa"/>
            <w:tcBorders>
              <w:top w:val="nil"/>
              <w:bottom w:val="nil"/>
            </w:tcBorders>
            <w:vAlign w:val="center"/>
          </w:tcPr>
          <w:p w:rsidR="00B20392" w:rsidRPr="00603CC4" w:rsidRDefault="00B20392" w:rsidP="00603CC4">
            <w:pPr>
              <w:spacing w:after="0" w:line="240" w:lineRule="auto"/>
            </w:pPr>
            <w:r w:rsidRPr="00603CC4">
              <w:t>O:5</w:t>
            </w:r>
          </w:p>
        </w:tc>
        <w:tc>
          <w:tcPr>
            <w:tcW w:w="5771" w:type="dxa"/>
            <w:vAlign w:val="center"/>
          </w:tcPr>
          <w:p w:rsidR="00B20392" w:rsidRPr="00603CC4" w:rsidRDefault="00B20392" w:rsidP="00721F88">
            <w:pPr>
              <w:pStyle w:val="Normlny1"/>
              <w:rPr>
                <w:rFonts w:ascii="Calibri" w:hAnsi="Calibri" w:cs="Calibri"/>
                <w:color w:val="000000"/>
                <w:sz w:val="22"/>
                <w:szCs w:val="22"/>
              </w:rPr>
            </w:pPr>
            <w:r w:rsidRPr="00603CC4">
              <w:rPr>
                <w:rFonts w:ascii="Calibri" w:hAnsi="Calibri" w:cs="Calibri"/>
                <w:color w:val="000000"/>
                <w:sz w:val="22"/>
                <w:szCs w:val="22"/>
              </w:rPr>
              <w:t>5. Do 1. januára 2030 môžu členské štáty oslobodiť existujúce stredne veľké spaľovacie zariadenia s menovitým tepelným príkonom väčším ako 5 MW od povinnosti dodržiavať emisné limity stanovené v prílohe II za predpokladu, že sa najmenej 50 % výroby využiteľného tepla v zariadení ako kĺzavý priemer za päť rokov dodá vo forme pary alebo horúcej vody do verejnej siete na diaľkové vykurovanie. V prípade takéhoto oslobodenia emisné limity stanovené príslušným orgánom nesmú prekročiť 1 100 mg/Nm</w:t>
            </w:r>
            <w:r w:rsidRPr="00603CC4">
              <w:rPr>
                <w:rStyle w:val="super"/>
                <w:rFonts w:ascii="Calibri" w:hAnsi="Calibri" w:cs="Calibri"/>
                <w:color w:val="000000"/>
                <w:sz w:val="22"/>
                <w:szCs w:val="22"/>
              </w:rPr>
              <w:t>3</w:t>
            </w:r>
            <w:r w:rsidRPr="00603CC4">
              <w:rPr>
                <w:rFonts w:ascii="Calibri" w:hAnsi="Calibri" w:cs="Calibri"/>
                <w:color w:val="000000"/>
                <w:sz w:val="22"/>
                <w:szCs w:val="22"/>
              </w:rPr>
              <w:t xml:space="preserve"> pre SO</w:t>
            </w:r>
            <w:r w:rsidRPr="00603CC4">
              <w:rPr>
                <w:rStyle w:val="sub"/>
                <w:rFonts w:ascii="Calibri" w:hAnsi="Calibri" w:cs="Calibri"/>
                <w:color w:val="000000"/>
                <w:sz w:val="22"/>
                <w:szCs w:val="22"/>
              </w:rPr>
              <w:t>2</w:t>
            </w:r>
            <w:r w:rsidRPr="00603CC4">
              <w:rPr>
                <w:rFonts w:ascii="Calibri" w:hAnsi="Calibri" w:cs="Calibri"/>
                <w:color w:val="000000"/>
                <w:sz w:val="22"/>
                <w:szCs w:val="22"/>
              </w:rPr>
              <w:t xml:space="preserve"> a 150 mg/Nm</w:t>
            </w:r>
            <w:r w:rsidRPr="00603CC4">
              <w:rPr>
                <w:rStyle w:val="super"/>
                <w:rFonts w:ascii="Calibri" w:hAnsi="Calibri" w:cs="Calibri"/>
                <w:color w:val="000000"/>
                <w:sz w:val="22"/>
                <w:szCs w:val="22"/>
              </w:rPr>
              <w:t>3</w:t>
            </w:r>
            <w:r w:rsidRPr="00603CC4">
              <w:rPr>
                <w:rFonts w:ascii="Calibri" w:hAnsi="Calibri" w:cs="Calibri"/>
                <w:color w:val="000000"/>
                <w:sz w:val="22"/>
                <w:szCs w:val="22"/>
              </w:rPr>
              <w:t xml:space="preserve"> pre prach.</w:t>
            </w:r>
          </w:p>
          <w:p w:rsidR="00B20392" w:rsidRPr="00603CC4" w:rsidRDefault="00B20392" w:rsidP="00721F88">
            <w:pPr>
              <w:pStyle w:val="Normlny1"/>
              <w:rPr>
                <w:rFonts w:ascii="Calibri" w:hAnsi="Calibri" w:cs="Calibri"/>
                <w:color w:val="000000"/>
                <w:sz w:val="22"/>
                <w:szCs w:val="22"/>
              </w:rPr>
            </w:pPr>
            <w:r w:rsidRPr="00603CC4">
              <w:rPr>
                <w:rFonts w:ascii="Calibri" w:hAnsi="Calibri" w:cs="Calibri"/>
                <w:color w:val="000000"/>
                <w:sz w:val="22"/>
                <w:szCs w:val="22"/>
              </w:rPr>
              <w:t>Do 1. januára 2030 môžu členské štáty oslobodiť stredne veľké spaľovacie zariadenia spaľujúce tuhú biomasu ako hlavné palivo, ktoré sa nachádzajú v zónach, kde je podľa hodnotení na základe smernice 2008/50/ES zabezpečený súlad s limitnými hodnotami uvedenej smernice, od povinnosti dodržiavať emisné limity pre prach stanovené v prílohe II k tejto smernici. V prípade takéhoto oslobodenia emisné limity stanovené príslušným orgánom nesmú prekročiť 150 mg/Nm</w:t>
            </w:r>
            <w:r w:rsidRPr="00603CC4">
              <w:rPr>
                <w:rStyle w:val="super"/>
                <w:rFonts w:ascii="Calibri" w:hAnsi="Calibri" w:cs="Calibri"/>
                <w:color w:val="000000"/>
                <w:sz w:val="22"/>
                <w:szCs w:val="22"/>
              </w:rPr>
              <w:t>3</w:t>
            </w:r>
            <w:r w:rsidRPr="00603CC4">
              <w:rPr>
                <w:rFonts w:ascii="Calibri" w:hAnsi="Calibri" w:cs="Calibri"/>
                <w:color w:val="000000"/>
                <w:sz w:val="22"/>
                <w:szCs w:val="22"/>
              </w:rPr>
              <w:t xml:space="preserve"> pre prach.</w:t>
            </w:r>
          </w:p>
          <w:p w:rsidR="00B20392" w:rsidRPr="00603CC4" w:rsidRDefault="00B20392" w:rsidP="00721F88">
            <w:pPr>
              <w:pStyle w:val="Normlny1"/>
              <w:rPr>
                <w:rFonts w:ascii="Calibri" w:hAnsi="Calibri" w:cs="Calibri"/>
                <w:color w:val="000000"/>
                <w:sz w:val="22"/>
                <w:szCs w:val="22"/>
              </w:rPr>
            </w:pPr>
            <w:r w:rsidRPr="00603CC4">
              <w:rPr>
                <w:rFonts w:ascii="Calibri" w:hAnsi="Calibri" w:cs="Calibri"/>
                <w:color w:val="000000"/>
                <w:sz w:val="22"/>
                <w:szCs w:val="22"/>
              </w:rPr>
              <w:t xml:space="preserve">Príslušný orgán v každom prípade zabezpečí, aby nedošlo k spôsobeniu žiadneho významného znečistenia a bola dosiahnutá vysoká úroveň ochrany životného prostredia ako </w:t>
            </w:r>
            <w:r w:rsidRPr="00603CC4">
              <w:rPr>
                <w:rFonts w:ascii="Calibri" w:hAnsi="Calibri" w:cs="Calibri"/>
                <w:color w:val="000000"/>
                <w:sz w:val="22"/>
                <w:szCs w:val="22"/>
              </w:rPr>
              <w:lastRenderedPageBreak/>
              <w:t>celku.</w:t>
            </w:r>
          </w:p>
          <w:p w:rsidR="00B20392" w:rsidRPr="00603CC4" w:rsidRDefault="00B20392" w:rsidP="00603CC4">
            <w:pPr>
              <w:spacing w:before="120" w:after="0" w:line="240" w:lineRule="auto"/>
              <w:jc w:val="both"/>
              <w:rPr>
                <w:color w:val="000000"/>
                <w:lang w:eastAsia="sk-SK"/>
              </w:rPr>
            </w:pPr>
          </w:p>
        </w:tc>
        <w:tc>
          <w:tcPr>
            <w:tcW w:w="397" w:type="dxa"/>
            <w:vAlign w:val="center"/>
          </w:tcPr>
          <w:p w:rsidR="00B20392" w:rsidRPr="00603CC4" w:rsidRDefault="00670CE1" w:rsidP="00603CC4">
            <w:pPr>
              <w:spacing w:after="0" w:line="240" w:lineRule="auto"/>
            </w:pPr>
            <w:r>
              <w:lastRenderedPageBreak/>
              <w:t>N</w:t>
            </w:r>
          </w:p>
        </w:tc>
        <w:tc>
          <w:tcPr>
            <w:tcW w:w="708" w:type="dxa"/>
            <w:vAlign w:val="center"/>
          </w:tcPr>
          <w:p w:rsidR="00B20392" w:rsidRPr="00603CC4" w:rsidRDefault="000C4B7B" w:rsidP="00603CC4">
            <w:pPr>
              <w:spacing w:after="0" w:line="240" w:lineRule="auto"/>
            </w:pPr>
            <w:r>
              <w:t>NZ</w:t>
            </w:r>
          </w:p>
        </w:tc>
        <w:tc>
          <w:tcPr>
            <w:tcW w:w="596" w:type="dxa"/>
            <w:vAlign w:val="center"/>
          </w:tcPr>
          <w:p w:rsidR="00B20392" w:rsidRPr="00603CC4" w:rsidRDefault="000C4B7B" w:rsidP="00FA5311">
            <w:pPr>
              <w:spacing w:after="0" w:line="240" w:lineRule="auto"/>
              <w:ind w:left="-108" w:right="-79"/>
            </w:pPr>
            <w:r>
              <w:t>§:15b</w:t>
            </w:r>
          </w:p>
        </w:tc>
        <w:tc>
          <w:tcPr>
            <w:tcW w:w="6396" w:type="dxa"/>
            <w:vAlign w:val="center"/>
          </w:tcPr>
          <w:p w:rsidR="00984384" w:rsidRPr="00EF5876" w:rsidRDefault="00984384" w:rsidP="00984384">
            <w:pPr>
              <w:pStyle w:val="Odsekzoznamu"/>
              <w:spacing w:after="120"/>
              <w:ind w:left="283" w:right="90"/>
              <w:jc w:val="center"/>
              <w:rPr>
                <w:rFonts w:ascii="Calibri" w:eastAsia="Calibri" w:hAnsi="Calibri" w:cs="Calibri"/>
                <w:sz w:val="22"/>
                <w:szCs w:val="22"/>
              </w:rPr>
            </w:pPr>
            <w:r w:rsidRPr="00EF5876">
              <w:rPr>
                <w:rFonts w:ascii="Calibri" w:eastAsia="Calibri" w:hAnsi="Calibri" w:cs="Calibri"/>
                <w:sz w:val="22"/>
                <w:szCs w:val="22"/>
              </w:rPr>
              <w:t>§ 15b</w:t>
            </w:r>
          </w:p>
          <w:p w:rsidR="00984384" w:rsidRPr="00EF5876" w:rsidRDefault="00984384" w:rsidP="00984384">
            <w:pPr>
              <w:pStyle w:val="Odsekzoznamu"/>
              <w:spacing w:after="120"/>
              <w:ind w:left="283" w:right="90"/>
              <w:jc w:val="center"/>
              <w:rPr>
                <w:rFonts w:ascii="Calibri" w:eastAsia="Calibri" w:hAnsi="Calibri" w:cs="Calibri"/>
                <w:sz w:val="22"/>
                <w:szCs w:val="22"/>
              </w:rPr>
            </w:pPr>
            <w:r w:rsidRPr="00EF5876">
              <w:rPr>
                <w:rFonts w:ascii="Calibri" w:eastAsia="Calibri" w:hAnsi="Calibri" w:cs="Calibri"/>
                <w:sz w:val="22"/>
                <w:szCs w:val="22"/>
              </w:rPr>
              <w:t>Prechodné opatrenia pre stredne veľké spaľovacie zariadenia</w:t>
            </w:r>
          </w:p>
          <w:p w:rsidR="00984384" w:rsidRPr="00EF5876" w:rsidRDefault="00984384" w:rsidP="00215280">
            <w:pPr>
              <w:pStyle w:val="Odsekzoznamu"/>
              <w:keepNext w:val="0"/>
              <w:numPr>
                <w:ilvl w:val="0"/>
                <w:numId w:val="13"/>
              </w:numPr>
              <w:spacing w:before="0" w:after="0"/>
              <w:ind w:left="0" w:firstLine="284"/>
              <w:contextualSpacing/>
              <w:rPr>
                <w:rFonts w:ascii="Calibri" w:eastAsia="Calibri" w:hAnsi="Calibri" w:cs="Calibri"/>
                <w:sz w:val="22"/>
                <w:szCs w:val="22"/>
              </w:rPr>
            </w:pPr>
            <w:r w:rsidRPr="00EF5876">
              <w:rPr>
                <w:rFonts w:ascii="Calibri" w:eastAsia="Calibri" w:hAnsi="Calibri" w:cs="Calibri"/>
                <w:sz w:val="22"/>
                <w:szCs w:val="22"/>
              </w:rPr>
              <w:t xml:space="preserve">Pre stredne veľké spaľovacie zariadenia s celkovým menovitým tepelným príkonom 5 MW a viac, ktoré spĺňajú ustanovené podmienky (§ 33 písm. a), možno do 1. januára 2030 uplatniť tieto prechodné opatrenia, </w:t>
            </w:r>
          </w:p>
          <w:p w:rsidR="00984384" w:rsidRPr="00EF5876" w:rsidRDefault="00984384" w:rsidP="00215280">
            <w:pPr>
              <w:pStyle w:val="Odsekzoznamu"/>
              <w:keepNext w:val="0"/>
              <w:numPr>
                <w:ilvl w:val="0"/>
                <w:numId w:val="14"/>
              </w:numPr>
              <w:spacing w:before="0" w:after="0"/>
              <w:ind w:left="284" w:hanging="284"/>
              <w:contextualSpacing/>
              <w:rPr>
                <w:rFonts w:ascii="Calibri" w:eastAsia="Calibri" w:hAnsi="Calibri" w:cs="Calibri"/>
                <w:sz w:val="22"/>
                <w:szCs w:val="22"/>
              </w:rPr>
            </w:pPr>
            <w:r w:rsidRPr="00EF5876">
              <w:rPr>
                <w:rFonts w:ascii="Calibri" w:eastAsia="Calibri" w:hAnsi="Calibri" w:cs="Calibri"/>
                <w:sz w:val="22"/>
                <w:szCs w:val="22"/>
              </w:rPr>
              <w:t>zaradiť jestvujúce spaľovacie zariadenie do osobitného režimu pre zariadenia centrálneho zásobovania teplom,</w:t>
            </w:r>
          </w:p>
          <w:p w:rsidR="00984384" w:rsidRPr="00EF5876" w:rsidRDefault="00984384" w:rsidP="00215280">
            <w:pPr>
              <w:pStyle w:val="Odsekzoznamu"/>
              <w:keepNext w:val="0"/>
              <w:numPr>
                <w:ilvl w:val="0"/>
                <w:numId w:val="14"/>
              </w:numPr>
              <w:spacing w:before="0" w:after="0"/>
              <w:ind w:left="284" w:hanging="284"/>
              <w:contextualSpacing/>
              <w:rPr>
                <w:rFonts w:ascii="Calibri" w:eastAsia="Calibri" w:hAnsi="Calibri" w:cs="Calibri"/>
                <w:sz w:val="22"/>
                <w:szCs w:val="22"/>
              </w:rPr>
            </w:pPr>
            <w:r w:rsidRPr="00EF5876">
              <w:rPr>
                <w:rFonts w:ascii="Calibri" w:eastAsia="Calibri" w:hAnsi="Calibri" w:cs="Calibri"/>
                <w:sz w:val="22"/>
                <w:szCs w:val="22"/>
              </w:rPr>
              <w:t>ak ide o jestvujúce zariadenie, ktoré sa využíva na pohon kompresorových staníc potrebných na zaistenie  bezpečnosti vnútroštátnej plynárenskej prepravnej sústavy, určiť miernejší emisný limit pre oxidy dusíka v ustanovenom rozsahu,</w:t>
            </w:r>
          </w:p>
          <w:p w:rsidR="00984384" w:rsidRPr="00EF5876" w:rsidRDefault="00984384" w:rsidP="00215280">
            <w:pPr>
              <w:pStyle w:val="Odsekzoznamu"/>
              <w:keepNext w:val="0"/>
              <w:numPr>
                <w:ilvl w:val="0"/>
                <w:numId w:val="14"/>
              </w:numPr>
              <w:spacing w:before="0" w:after="120"/>
              <w:ind w:left="284" w:hanging="284"/>
              <w:contextualSpacing/>
              <w:rPr>
                <w:rFonts w:ascii="Calibri" w:eastAsia="Calibri" w:hAnsi="Calibri" w:cs="Calibri"/>
                <w:sz w:val="22"/>
                <w:szCs w:val="22"/>
              </w:rPr>
            </w:pPr>
            <w:r w:rsidRPr="00EF5876">
              <w:rPr>
                <w:rFonts w:ascii="Calibri" w:eastAsia="Calibri" w:hAnsi="Calibri" w:cs="Calibri"/>
                <w:sz w:val="22"/>
                <w:szCs w:val="22"/>
              </w:rPr>
              <w:t>ak ide o spaľovanie biomasy ako hlavného paliva, v zóne, kde je kvalita ovzdušia dobrá, určiť miernejší emisný limit pre tuhé znečisťujúce látky v ustanovenom rozsahu.</w:t>
            </w:r>
          </w:p>
          <w:p w:rsidR="00984384" w:rsidRPr="00EF5876" w:rsidRDefault="00984384" w:rsidP="00215280">
            <w:pPr>
              <w:pStyle w:val="Odsekzoznamu"/>
              <w:keepNext w:val="0"/>
              <w:numPr>
                <w:ilvl w:val="0"/>
                <w:numId w:val="13"/>
              </w:numPr>
              <w:spacing w:before="0" w:after="120"/>
              <w:ind w:left="0" w:right="90" w:firstLine="284"/>
              <w:contextualSpacing/>
              <w:rPr>
                <w:rFonts w:ascii="Calibri" w:eastAsia="Calibri" w:hAnsi="Calibri" w:cs="Calibri"/>
                <w:sz w:val="22"/>
                <w:szCs w:val="22"/>
              </w:rPr>
            </w:pPr>
            <w:r w:rsidRPr="00EF5876">
              <w:rPr>
                <w:rFonts w:ascii="Calibri" w:eastAsia="Calibri" w:hAnsi="Calibri" w:cs="Calibri"/>
                <w:sz w:val="22"/>
                <w:szCs w:val="22"/>
              </w:rPr>
              <w:t xml:space="preserve">Stredne veľké spaľovacie zariadenie možno zaradiť do obmedzeného prevádzkového režimu, ak sa prevádzkovateľ zaviaže neprekročiť ustanovený počet prevádzkových hodín (§ 33 písm. a).  </w:t>
            </w:r>
          </w:p>
          <w:p w:rsidR="00984384" w:rsidRPr="00EF5876" w:rsidRDefault="00984384" w:rsidP="00215280">
            <w:pPr>
              <w:pStyle w:val="Odsekzoznamu"/>
              <w:keepNext w:val="0"/>
              <w:numPr>
                <w:ilvl w:val="0"/>
                <w:numId w:val="13"/>
              </w:numPr>
              <w:spacing w:before="0" w:after="120"/>
              <w:ind w:left="0" w:right="90" w:firstLine="284"/>
              <w:contextualSpacing/>
              <w:rPr>
                <w:rFonts w:ascii="Calibri" w:eastAsia="Calibri" w:hAnsi="Calibri" w:cs="Calibri"/>
                <w:sz w:val="22"/>
                <w:szCs w:val="22"/>
              </w:rPr>
            </w:pPr>
            <w:r w:rsidRPr="00EF5876">
              <w:rPr>
                <w:rFonts w:ascii="Calibri" w:eastAsia="Calibri" w:hAnsi="Calibri" w:cs="Calibri"/>
                <w:sz w:val="22"/>
                <w:szCs w:val="22"/>
              </w:rPr>
              <w:t xml:space="preserve">Prevádzkovateľ stredne veľkého spaľovacieho zariadenia predkladá žiadosť orgánu ochrany ovzdušia  podľa odseku 1 alebo 2 o zaradenie do osobitného režimu centrálneho zásobovania teplom, uplatnenie miernejšieho emisného limitu alebo obmedzeného </w:t>
            </w:r>
            <w:r w:rsidRPr="00EF5876">
              <w:rPr>
                <w:rFonts w:ascii="Calibri" w:eastAsia="Calibri" w:hAnsi="Calibri" w:cs="Calibri"/>
                <w:sz w:val="22"/>
                <w:szCs w:val="22"/>
              </w:rPr>
              <w:lastRenderedPageBreak/>
              <w:t xml:space="preserve">prevádzkového režimu do 30. júna 2024. V žiadosti podľa odseku 1 písm. a) prevádzkovateľ je povinný preukázať splnenie ustanovených podmienok a predložiť čestné vyhlásenie, že zariadenie nebude v prevádzke dlhšie ako ustanovený počet hodín. </w:t>
            </w:r>
          </w:p>
          <w:p w:rsidR="00B20392" w:rsidRPr="00EF5876" w:rsidRDefault="00BE0C9E" w:rsidP="007368A9">
            <w:pPr>
              <w:spacing w:after="0"/>
              <w:ind w:firstLine="567"/>
              <w:jc w:val="both"/>
            </w:pPr>
            <w:r w:rsidRPr="00EF5876">
              <w:t>(6) Jestvujúce stredne veľké spaľovacie zariadenia s celkovým menovitým tepelným príkonom väčším ako 5 MW, ktoré používa ako hlavné palivo biomasu, možno do 1. januára 2030 uplatniť osobitný emisný limit pre TZL ustanovený v prílohe č. 4 štvrtej časti bode 2.2 tabuľke A, ak predmetné zariadenie je umiestnené v zóne, ktorá spĺňa limitné hodnoty určujúce dobrú kvalitu ovzdušia. Uplatnenie osobitného emisného limitu nesmie spôsobiť žiadne  významné znečistenie ovzdušia a musí byť dosiahnutá vysoká úroveň ochrany ž</w:t>
            </w:r>
            <w:r w:rsidR="007368A9">
              <w:t xml:space="preserve">ivotného prostredia ako celku. </w:t>
            </w:r>
          </w:p>
        </w:tc>
        <w:tc>
          <w:tcPr>
            <w:tcW w:w="508" w:type="dxa"/>
            <w:tcBorders>
              <w:top w:val="nil"/>
              <w:bottom w:val="nil"/>
            </w:tcBorders>
            <w:vAlign w:val="center"/>
          </w:tcPr>
          <w:p w:rsidR="00B20392" w:rsidRPr="00AF196A" w:rsidRDefault="00B20392" w:rsidP="00603CC4">
            <w:pPr>
              <w:spacing w:after="0" w:line="240" w:lineRule="auto"/>
              <w:rPr>
                <w:color w:val="000000"/>
              </w:rPr>
            </w:pPr>
          </w:p>
        </w:tc>
        <w:tc>
          <w:tcPr>
            <w:tcW w:w="508" w:type="dxa"/>
            <w:tcBorders>
              <w:top w:val="nil"/>
              <w:bottom w:val="nil"/>
            </w:tcBorders>
            <w:vAlign w:val="center"/>
          </w:tcPr>
          <w:p w:rsidR="00B20392" w:rsidRPr="00AF196A" w:rsidRDefault="00B20392" w:rsidP="00603CC4">
            <w:pPr>
              <w:spacing w:after="0" w:line="240" w:lineRule="auto"/>
              <w:rPr>
                <w:color w:val="000000"/>
              </w:rPr>
            </w:pPr>
          </w:p>
        </w:tc>
      </w:tr>
      <w:tr w:rsidR="00B20392" w:rsidRPr="00AF196A" w:rsidTr="00EF5876">
        <w:tc>
          <w:tcPr>
            <w:tcW w:w="709" w:type="dxa"/>
            <w:tcBorders>
              <w:top w:val="nil"/>
              <w:bottom w:val="nil"/>
            </w:tcBorders>
            <w:vAlign w:val="center"/>
          </w:tcPr>
          <w:p w:rsidR="00B20392" w:rsidRPr="00603CC4" w:rsidRDefault="00B20392" w:rsidP="00603CC4">
            <w:pPr>
              <w:spacing w:after="0" w:line="240" w:lineRule="auto"/>
            </w:pPr>
            <w:r w:rsidRPr="00603CC4">
              <w:lastRenderedPageBreak/>
              <w:t>O:6</w:t>
            </w:r>
          </w:p>
        </w:tc>
        <w:tc>
          <w:tcPr>
            <w:tcW w:w="5771" w:type="dxa"/>
            <w:vAlign w:val="center"/>
          </w:tcPr>
          <w:p w:rsidR="00B20392" w:rsidRPr="00603CC4" w:rsidRDefault="00B20392" w:rsidP="007368A9">
            <w:pPr>
              <w:spacing w:after="0" w:line="240" w:lineRule="auto"/>
              <w:jc w:val="both"/>
              <w:rPr>
                <w:color w:val="000000"/>
                <w:lang w:eastAsia="sk-SK"/>
              </w:rPr>
            </w:pPr>
            <w:r w:rsidRPr="00603CC4">
              <w:rPr>
                <w:color w:val="000000"/>
              </w:rPr>
              <w:t>6. Do 1. januára 2030 môžu členské štáty oslobodiť existujúce stredne veľké spaľovacie zariadenia s menovitým tepelným príkonom väčším ako 5 MW, ktoré sú využívané na pohon plynových kompresorových staníc potrebných na zaistenie bezpečnosti vnútroštátnych plynárenských prepravných sústav, od povinnosti dodržiavať emisné limity pre emisie NO</w:t>
            </w:r>
            <w:r w:rsidRPr="00603CC4">
              <w:rPr>
                <w:rStyle w:val="sub"/>
                <w:color w:val="000000"/>
                <w:sz w:val="22"/>
                <w:szCs w:val="22"/>
              </w:rPr>
              <w:t>x</w:t>
            </w:r>
            <w:r w:rsidRPr="00603CC4">
              <w:rPr>
                <w:color w:val="000000"/>
              </w:rPr>
              <w:t xml:space="preserve"> uvedené v tabuľke 3 časti 1 prílohy II.</w:t>
            </w:r>
          </w:p>
        </w:tc>
        <w:tc>
          <w:tcPr>
            <w:tcW w:w="397" w:type="dxa"/>
            <w:vAlign w:val="center"/>
          </w:tcPr>
          <w:p w:rsidR="00B20392" w:rsidRPr="00603CC4" w:rsidRDefault="00670CE1" w:rsidP="00603CC4">
            <w:pPr>
              <w:spacing w:after="0" w:line="240" w:lineRule="auto"/>
            </w:pPr>
            <w:r>
              <w:t>N</w:t>
            </w:r>
          </w:p>
        </w:tc>
        <w:tc>
          <w:tcPr>
            <w:tcW w:w="708" w:type="dxa"/>
            <w:vAlign w:val="center"/>
          </w:tcPr>
          <w:p w:rsidR="00B20392" w:rsidRPr="00603CC4" w:rsidRDefault="000C4B7B" w:rsidP="00603CC4">
            <w:pPr>
              <w:spacing w:after="0" w:line="240" w:lineRule="auto"/>
            </w:pPr>
            <w:r>
              <w:t>N410</w:t>
            </w:r>
          </w:p>
        </w:tc>
        <w:tc>
          <w:tcPr>
            <w:tcW w:w="596" w:type="dxa"/>
            <w:vAlign w:val="center"/>
          </w:tcPr>
          <w:p w:rsidR="00B20392" w:rsidRPr="00603CC4" w:rsidRDefault="00B05545" w:rsidP="00FA5311">
            <w:pPr>
              <w:spacing w:after="0" w:line="240" w:lineRule="auto"/>
              <w:ind w:left="-108" w:right="-79"/>
            </w:pPr>
            <w:r>
              <w:t>§</w:t>
            </w:r>
            <w:r w:rsidR="00BE0C9E">
              <w:t>:17b</w:t>
            </w:r>
          </w:p>
        </w:tc>
        <w:tc>
          <w:tcPr>
            <w:tcW w:w="6396" w:type="dxa"/>
            <w:vAlign w:val="center"/>
          </w:tcPr>
          <w:p w:rsidR="00B20392" w:rsidRPr="00EF5876" w:rsidRDefault="00BE0C9E" w:rsidP="007368A9">
            <w:pPr>
              <w:ind w:firstLine="567"/>
              <w:jc w:val="both"/>
            </w:pPr>
            <w:r w:rsidRPr="00EF5876">
              <w:t>(5) Jestvujúce stredne veľké spaľovacie zariadenia s celkovým menovitým tepelným príkonom väčším ako 5 MW, ktoré sú využívané na pohon plynových kompresorových staníc potrebných na zaistenie bezpečnosti vnútroštátnych  plynárenských prepravných  sústav,  možno do 1. januára 2030  uplatniť osobitný emisný limit</w:t>
            </w:r>
            <w:r w:rsidR="007368A9">
              <w:t xml:space="preserve"> pre NOx.  </w:t>
            </w:r>
          </w:p>
        </w:tc>
        <w:tc>
          <w:tcPr>
            <w:tcW w:w="508" w:type="dxa"/>
            <w:tcBorders>
              <w:top w:val="nil"/>
              <w:bottom w:val="nil"/>
            </w:tcBorders>
            <w:vAlign w:val="center"/>
          </w:tcPr>
          <w:p w:rsidR="00B20392" w:rsidRPr="00AF196A" w:rsidRDefault="00B20392" w:rsidP="00603CC4">
            <w:pPr>
              <w:spacing w:after="0" w:line="240" w:lineRule="auto"/>
              <w:rPr>
                <w:color w:val="000000"/>
              </w:rPr>
            </w:pPr>
          </w:p>
        </w:tc>
        <w:tc>
          <w:tcPr>
            <w:tcW w:w="508" w:type="dxa"/>
            <w:tcBorders>
              <w:top w:val="nil"/>
              <w:bottom w:val="nil"/>
            </w:tcBorders>
            <w:vAlign w:val="center"/>
          </w:tcPr>
          <w:p w:rsidR="00B20392" w:rsidRPr="00AF196A" w:rsidRDefault="00B20392" w:rsidP="00603CC4">
            <w:pPr>
              <w:spacing w:after="0" w:line="240" w:lineRule="auto"/>
              <w:rPr>
                <w:color w:val="000000"/>
              </w:rPr>
            </w:pPr>
          </w:p>
        </w:tc>
      </w:tr>
      <w:tr w:rsidR="00B20392" w:rsidRPr="00AF196A" w:rsidTr="00EF5876">
        <w:tc>
          <w:tcPr>
            <w:tcW w:w="709" w:type="dxa"/>
            <w:tcBorders>
              <w:top w:val="nil"/>
              <w:bottom w:val="nil"/>
            </w:tcBorders>
            <w:vAlign w:val="center"/>
          </w:tcPr>
          <w:p w:rsidR="00B20392" w:rsidRPr="00603CC4" w:rsidRDefault="00B20392" w:rsidP="00603CC4">
            <w:pPr>
              <w:spacing w:after="0" w:line="240" w:lineRule="auto"/>
            </w:pPr>
            <w:r w:rsidRPr="00603CC4">
              <w:t>O:7</w:t>
            </w:r>
          </w:p>
        </w:tc>
        <w:tc>
          <w:tcPr>
            <w:tcW w:w="5771" w:type="dxa"/>
            <w:vAlign w:val="center"/>
          </w:tcPr>
          <w:p w:rsidR="00B20392" w:rsidRPr="00603CC4" w:rsidRDefault="00B20392" w:rsidP="00603CC4">
            <w:pPr>
              <w:spacing w:before="120" w:after="0" w:line="240" w:lineRule="auto"/>
              <w:jc w:val="both"/>
              <w:rPr>
                <w:color w:val="000000"/>
                <w:lang w:eastAsia="sk-SK"/>
              </w:rPr>
            </w:pPr>
            <w:r w:rsidRPr="00603CC4">
              <w:rPr>
                <w:color w:val="000000"/>
              </w:rPr>
              <w:t>7. Od 20. decembra 2018 nesmú emisie SO</w:t>
            </w:r>
            <w:r w:rsidRPr="00603CC4">
              <w:rPr>
                <w:rStyle w:val="sub"/>
                <w:color w:val="000000"/>
                <w:sz w:val="22"/>
                <w:szCs w:val="22"/>
              </w:rPr>
              <w:t>2</w:t>
            </w:r>
            <w:r w:rsidRPr="00603CC4">
              <w:rPr>
                <w:color w:val="000000"/>
              </w:rPr>
              <w:t>, NO</w:t>
            </w:r>
            <w:r w:rsidRPr="00603CC4">
              <w:rPr>
                <w:rStyle w:val="sub"/>
                <w:color w:val="000000"/>
                <w:sz w:val="22"/>
                <w:szCs w:val="22"/>
              </w:rPr>
              <w:t>x</w:t>
            </w:r>
            <w:r w:rsidRPr="00603CC4">
              <w:rPr>
                <w:color w:val="000000"/>
              </w:rPr>
              <w:t xml:space="preserve"> a prachu do ovzdušia z nových stredne veľkých spaľovacích zariadení prekročiť emisné limity stanovené v časti 2 prílohy II.</w:t>
            </w:r>
          </w:p>
        </w:tc>
        <w:tc>
          <w:tcPr>
            <w:tcW w:w="397" w:type="dxa"/>
            <w:vAlign w:val="center"/>
          </w:tcPr>
          <w:p w:rsidR="00B20392" w:rsidRPr="00603CC4" w:rsidRDefault="00670CE1" w:rsidP="00603CC4">
            <w:pPr>
              <w:spacing w:after="0" w:line="240" w:lineRule="auto"/>
            </w:pPr>
            <w:r>
              <w:t>N</w:t>
            </w:r>
          </w:p>
        </w:tc>
        <w:tc>
          <w:tcPr>
            <w:tcW w:w="708" w:type="dxa"/>
            <w:vAlign w:val="center"/>
          </w:tcPr>
          <w:p w:rsidR="00B20392" w:rsidRPr="00603CC4" w:rsidRDefault="000C4B7B" w:rsidP="00603CC4">
            <w:pPr>
              <w:spacing w:after="0" w:line="240" w:lineRule="auto"/>
            </w:pPr>
            <w:r>
              <w:t xml:space="preserve">N410 </w:t>
            </w:r>
          </w:p>
        </w:tc>
        <w:tc>
          <w:tcPr>
            <w:tcW w:w="596" w:type="dxa"/>
            <w:vAlign w:val="center"/>
          </w:tcPr>
          <w:p w:rsidR="00B20392" w:rsidRDefault="00B05545" w:rsidP="00FA5311">
            <w:pPr>
              <w:spacing w:after="0" w:line="240" w:lineRule="auto"/>
              <w:ind w:right="-79"/>
            </w:pPr>
            <w:r>
              <w:t>§</w:t>
            </w:r>
            <w:r w:rsidR="00BE0C9E">
              <w:t>:17</w:t>
            </w:r>
          </w:p>
          <w:p w:rsidR="000C4B7B" w:rsidRPr="00603CC4" w:rsidRDefault="000C4B7B" w:rsidP="00603CC4">
            <w:pPr>
              <w:spacing w:after="0" w:line="240" w:lineRule="auto"/>
            </w:pPr>
            <w:r>
              <w:t>O.4</w:t>
            </w:r>
          </w:p>
        </w:tc>
        <w:tc>
          <w:tcPr>
            <w:tcW w:w="6396" w:type="dxa"/>
            <w:vAlign w:val="center"/>
          </w:tcPr>
          <w:p w:rsidR="00B20392" w:rsidRPr="007368A9" w:rsidRDefault="00BE0C9E" w:rsidP="00603CC4">
            <w:pPr>
              <w:pStyle w:val="Odsekzoznamu"/>
              <w:keepNext w:val="0"/>
              <w:numPr>
                <w:ilvl w:val="0"/>
                <w:numId w:val="22"/>
              </w:numPr>
              <w:spacing w:before="0" w:after="0"/>
              <w:ind w:left="317" w:hanging="141"/>
              <w:contextualSpacing/>
              <w:rPr>
                <w:rFonts w:ascii="Calibri" w:eastAsia="Calibri" w:hAnsi="Calibri" w:cs="Calibri"/>
                <w:sz w:val="22"/>
                <w:szCs w:val="22"/>
              </w:rPr>
            </w:pPr>
            <w:r w:rsidRPr="00EF5876">
              <w:rPr>
                <w:rFonts w:ascii="Calibri" w:eastAsia="Calibri" w:hAnsi="Calibri" w:cs="Calibri"/>
                <w:sz w:val="22"/>
                <w:szCs w:val="22"/>
              </w:rPr>
              <w:t xml:space="preserve">Pre stredne veľké spaľovacie zariadenia začlenené ako nové zariadenia platia emisné limity uvedené v </w:t>
            </w:r>
            <w:hyperlink r:id="rId13" w:anchor="prilohy.priloha-priloha_c_4_k_vyhlaske_c_410_2012_z_z.oznacenie" w:tooltip="Odkaz na predpis alebo ustanovenie" w:history="1">
              <w:r w:rsidRPr="00EF5876">
                <w:rPr>
                  <w:rFonts w:ascii="Calibri" w:eastAsia="Calibri" w:hAnsi="Calibri" w:cs="Calibri"/>
                  <w:sz w:val="22"/>
                  <w:szCs w:val="22"/>
                </w:rPr>
                <w:t>prílohe č. 4 štvrtej časti bodoch 2 až 4 tabuľkách B</w:t>
              </w:r>
            </w:hyperlink>
            <w:r w:rsidRPr="00EF5876">
              <w:rPr>
                <w:rFonts w:ascii="Calibri" w:eastAsia="Calibri" w:hAnsi="Calibri" w:cs="Calibri"/>
                <w:sz w:val="22"/>
                <w:szCs w:val="22"/>
              </w:rPr>
              <w:t xml:space="preserve">. </w:t>
            </w:r>
          </w:p>
        </w:tc>
        <w:tc>
          <w:tcPr>
            <w:tcW w:w="508" w:type="dxa"/>
            <w:tcBorders>
              <w:top w:val="nil"/>
              <w:bottom w:val="nil"/>
            </w:tcBorders>
            <w:vAlign w:val="center"/>
          </w:tcPr>
          <w:p w:rsidR="00B20392" w:rsidRPr="00AF196A" w:rsidRDefault="00B20392" w:rsidP="00603CC4">
            <w:pPr>
              <w:spacing w:after="0" w:line="240" w:lineRule="auto"/>
              <w:rPr>
                <w:color w:val="000000"/>
              </w:rPr>
            </w:pPr>
          </w:p>
        </w:tc>
        <w:tc>
          <w:tcPr>
            <w:tcW w:w="508" w:type="dxa"/>
            <w:tcBorders>
              <w:top w:val="nil"/>
              <w:bottom w:val="nil"/>
            </w:tcBorders>
            <w:vAlign w:val="center"/>
          </w:tcPr>
          <w:p w:rsidR="00B20392" w:rsidRPr="00AF196A" w:rsidRDefault="00B20392" w:rsidP="00603CC4">
            <w:pPr>
              <w:spacing w:after="0" w:line="240" w:lineRule="auto"/>
              <w:rPr>
                <w:color w:val="000000"/>
              </w:rPr>
            </w:pPr>
          </w:p>
        </w:tc>
      </w:tr>
      <w:tr w:rsidR="00B20392" w:rsidRPr="00AF196A" w:rsidTr="007D7E3B">
        <w:trPr>
          <w:trHeight w:val="474"/>
        </w:trPr>
        <w:tc>
          <w:tcPr>
            <w:tcW w:w="709" w:type="dxa"/>
            <w:tcBorders>
              <w:top w:val="nil"/>
              <w:bottom w:val="nil"/>
            </w:tcBorders>
            <w:vAlign w:val="center"/>
          </w:tcPr>
          <w:p w:rsidR="00B20392" w:rsidRPr="00603CC4" w:rsidRDefault="00B20392" w:rsidP="00603CC4">
            <w:pPr>
              <w:spacing w:after="0" w:line="240" w:lineRule="auto"/>
            </w:pPr>
            <w:r w:rsidRPr="00603CC4">
              <w:t>O:8</w:t>
            </w:r>
          </w:p>
        </w:tc>
        <w:tc>
          <w:tcPr>
            <w:tcW w:w="5771" w:type="dxa"/>
            <w:vAlign w:val="center"/>
          </w:tcPr>
          <w:p w:rsidR="00B20392" w:rsidRPr="00603CC4" w:rsidRDefault="00B20392" w:rsidP="00603CC4">
            <w:pPr>
              <w:spacing w:before="120" w:after="0" w:line="240" w:lineRule="auto"/>
              <w:jc w:val="both"/>
              <w:rPr>
                <w:color w:val="000000"/>
                <w:lang w:eastAsia="sk-SK"/>
              </w:rPr>
            </w:pPr>
            <w:r w:rsidRPr="00603CC4">
              <w:rPr>
                <w:color w:val="000000"/>
              </w:rPr>
              <w:t>8. Členské štáty môžu nové stredne veľké spaľovacie zariadenia, ktorých prevádzka neprekračuje 500 prevádzkových hodín ročne, ako kĺzavý priemer počas obdobia troch rokov, oslobodiť od požiadavky dodržiavať emisné limity stanovené v časti 2 prílohy II. V prípade takéhoto oslobodenia sa na zariadenia spaľujúce tuhé palivá uplatňuje emisný limit pre prach 100 mg/Nm</w:t>
            </w:r>
            <w:r w:rsidRPr="00603CC4">
              <w:rPr>
                <w:rStyle w:val="super"/>
                <w:color w:val="000000"/>
                <w:sz w:val="22"/>
                <w:szCs w:val="22"/>
              </w:rPr>
              <w:t>3</w:t>
            </w:r>
            <w:r w:rsidRPr="00603CC4">
              <w:rPr>
                <w:color w:val="000000"/>
              </w:rPr>
              <w:t>.</w:t>
            </w:r>
          </w:p>
        </w:tc>
        <w:tc>
          <w:tcPr>
            <w:tcW w:w="397" w:type="dxa"/>
            <w:vAlign w:val="center"/>
          </w:tcPr>
          <w:p w:rsidR="00B20392" w:rsidRPr="00603CC4" w:rsidRDefault="00670CE1" w:rsidP="00603CC4">
            <w:pPr>
              <w:spacing w:after="0" w:line="240" w:lineRule="auto"/>
            </w:pPr>
            <w:r>
              <w:t>N</w:t>
            </w:r>
          </w:p>
        </w:tc>
        <w:tc>
          <w:tcPr>
            <w:tcW w:w="708" w:type="dxa"/>
            <w:vAlign w:val="center"/>
          </w:tcPr>
          <w:p w:rsidR="00B20392" w:rsidRPr="00603CC4" w:rsidRDefault="007368A9" w:rsidP="00603CC4">
            <w:pPr>
              <w:spacing w:after="0" w:line="240" w:lineRule="auto"/>
            </w:pPr>
            <w:r>
              <w:t>N410</w:t>
            </w:r>
          </w:p>
        </w:tc>
        <w:tc>
          <w:tcPr>
            <w:tcW w:w="596" w:type="dxa"/>
            <w:vAlign w:val="center"/>
          </w:tcPr>
          <w:p w:rsidR="00B05545" w:rsidRDefault="00B05545" w:rsidP="00603CC4">
            <w:pPr>
              <w:spacing w:after="0" w:line="240" w:lineRule="auto"/>
            </w:pPr>
          </w:p>
          <w:p w:rsidR="00B05545" w:rsidRDefault="00B05545" w:rsidP="00603CC4">
            <w:pPr>
              <w:spacing w:after="0" w:line="240" w:lineRule="auto"/>
            </w:pPr>
          </w:p>
          <w:p w:rsidR="00B05545" w:rsidRDefault="00B05545" w:rsidP="00603CC4">
            <w:pPr>
              <w:spacing w:after="0" w:line="240" w:lineRule="auto"/>
            </w:pPr>
          </w:p>
          <w:p w:rsidR="00B20392" w:rsidRDefault="00B05545" w:rsidP="00FA5311">
            <w:pPr>
              <w:spacing w:after="0" w:line="240" w:lineRule="auto"/>
              <w:ind w:left="-108" w:right="-79"/>
            </w:pPr>
            <w:r>
              <w:t>§</w:t>
            </w:r>
            <w:r w:rsidR="006C2E31">
              <w:t>: 17a</w:t>
            </w:r>
          </w:p>
          <w:p w:rsidR="00B05545" w:rsidRDefault="006C2E31" w:rsidP="00B05545">
            <w:pPr>
              <w:spacing w:after="0" w:line="240" w:lineRule="auto"/>
            </w:pPr>
            <w:r>
              <w:t>O:1</w:t>
            </w:r>
          </w:p>
          <w:p w:rsidR="00B05545" w:rsidRDefault="00B05545" w:rsidP="00B05545">
            <w:pPr>
              <w:spacing w:after="0" w:line="240" w:lineRule="auto"/>
            </w:pPr>
            <w:r>
              <w:t>P:</w:t>
            </w:r>
            <w:r w:rsidR="006C2E31">
              <w:t>b</w:t>
            </w:r>
          </w:p>
          <w:p w:rsidR="00B05545" w:rsidRDefault="00B05545" w:rsidP="00B05545">
            <w:pPr>
              <w:spacing w:after="0" w:line="240" w:lineRule="auto"/>
            </w:pPr>
          </w:p>
          <w:p w:rsidR="00B05545" w:rsidRDefault="00B05545" w:rsidP="00B05545">
            <w:pPr>
              <w:spacing w:after="0" w:line="240" w:lineRule="auto"/>
            </w:pPr>
          </w:p>
          <w:p w:rsidR="006C2E31" w:rsidRPr="00603CC4" w:rsidRDefault="006C2E31" w:rsidP="00B05545">
            <w:pPr>
              <w:spacing w:after="0" w:line="240" w:lineRule="auto"/>
            </w:pPr>
            <w:r>
              <w:t>O:3</w:t>
            </w:r>
          </w:p>
        </w:tc>
        <w:tc>
          <w:tcPr>
            <w:tcW w:w="6396" w:type="dxa"/>
            <w:vAlign w:val="center"/>
          </w:tcPr>
          <w:p w:rsidR="006C2E31" w:rsidRPr="00EF5876" w:rsidRDefault="006C2E31" w:rsidP="007368A9">
            <w:pPr>
              <w:spacing w:after="0"/>
              <w:jc w:val="center"/>
            </w:pPr>
            <w:r w:rsidRPr="00EF5876">
              <w:t>§ 17a</w:t>
            </w:r>
          </w:p>
          <w:p w:rsidR="006C2E31" w:rsidRPr="00EF5876" w:rsidRDefault="006C2E31" w:rsidP="007368A9">
            <w:pPr>
              <w:spacing w:after="0"/>
              <w:jc w:val="center"/>
            </w:pPr>
            <w:r w:rsidRPr="00EF5876">
              <w:t xml:space="preserve">Obmedzený prevádzkový režim pre stredne veľké spaľovacie zariadenia </w:t>
            </w:r>
          </w:p>
          <w:p w:rsidR="006C2E31" w:rsidRPr="00EF5876" w:rsidRDefault="006C2E31" w:rsidP="003A1682">
            <w:pPr>
              <w:pStyle w:val="Odsekzoznamu"/>
              <w:keepNext w:val="0"/>
              <w:numPr>
                <w:ilvl w:val="0"/>
                <w:numId w:val="46"/>
              </w:numPr>
              <w:tabs>
                <w:tab w:val="left" w:pos="289"/>
                <w:tab w:val="left" w:pos="883"/>
              </w:tabs>
              <w:spacing w:before="0" w:after="0"/>
              <w:ind w:left="289" w:firstLine="420"/>
              <w:contextualSpacing/>
              <w:rPr>
                <w:rFonts w:ascii="Calibri" w:eastAsia="Calibri" w:hAnsi="Calibri" w:cs="Calibri"/>
                <w:sz w:val="22"/>
                <w:szCs w:val="22"/>
              </w:rPr>
            </w:pPr>
            <w:r w:rsidRPr="00EF5876">
              <w:rPr>
                <w:rFonts w:ascii="Calibri" w:eastAsia="Calibri" w:hAnsi="Calibri" w:cs="Calibri"/>
                <w:sz w:val="22"/>
                <w:szCs w:val="22"/>
              </w:rPr>
              <w:t>Do obmedzeného prevádzkového režimu možno zaradiť stredne veľké spaľovacie zariadenie s prevádzkou do 500 h ročne pričom, ak ide o</w:t>
            </w:r>
          </w:p>
          <w:p w:rsidR="006C2E31" w:rsidRPr="00EF5876" w:rsidRDefault="006C2E31" w:rsidP="00215280">
            <w:pPr>
              <w:pStyle w:val="Odsekzoznamu"/>
              <w:keepNext w:val="0"/>
              <w:numPr>
                <w:ilvl w:val="0"/>
                <w:numId w:val="19"/>
              </w:numPr>
              <w:spacing w:before="0" w:after="0"/>
              <w:ind w:left="284" w:hanging="284"/>
              <w:contextualSpacing/>
              <w:rPr>
                <w:rFonts w:ascii="Calibri" w:eastAsia="Calibri" w:hAnsi="Calibri" w:cs="Calibri"/>
                <w:sz w:val="22"/>
                <w:szCs w:val="22"/>
              </w:rPr>
            </w:pPr>
            <w:r w:rsidRPr="00EF5876">
              <w:rPr>
                <w:rFonts w:ascii="Calibri" w:eastAsia="Calibri" w:hAnsi="Calibri" w:cs="Calibri"/>
                <w:sz w:val="22"/>
                <w:szCs w:val="22"/>
              </w:rPr>
              <w:t xml:space="preserve">nové stredne veľké spaľovacie zariadenie, prevádzkové hodiny sa počítajú ako trojročný plávajúci priemer.  </w:t>
            </w:r>
          </w:p>
          <w:p w:rsidR="00B20392" w:rsidRPr="00EF5876" w:rsidRDefault="006C2E31" w:rsidP="003A1682">
            <w:pPr>
              <w:ind w:firstLine="709"/>
              <w:jc w:val="both"/>
            </w:pPr>
            <w:r w:rsidRPr="00EF5876">
              <w:t xml:space="preserve">(3) Na zariadenia v obmedzenom prevádzkovom režime sa </w:t>
            </w:r>
            <w:r w:rsidRPr="00EF5876">
              <w:lastRenderedPageBreak/>
              <w:t>emisné limity neuplatňujú, okrem  emisného limitu pre TZL pri spaľovaní</w:t>
            </w:r>
            <w:r w:rsidR="003A1682" w:rsidRPr="00EF5876">
              <w:t xml:space="preserve"> tuhých palív, vrátane biomasy</w:t>
            </w:r>
            <w:r w:rsidR="00BA0058" w:rsidRPr="00EF5876">
              <w:t>.</w:t>
            </w:r>
          </w:p>
        </w:tc>
        <w:tc>
          <w:tcPr>
            <w:tcW w:w="508" w:type="dxa"/>
            <w:tcBorders>
              <w:top w:val="nil"/>
              <w:bottom w:val="nil"/>
            </w:tcBorders>
            <w:vAlign w:val="center"/>
          </w:tcPr>
          <w:p w:rsidR="00B20392" w:rsidRPr="00AF196A" w:rsidRDefault="00B20392" w:rsidP="00603CC4">
            <w:pPr>
              <w:spacing w:after="0" w:line="240" w:lineRule="auto"/>
              <w:rPr>
                <w:color w:val="000000"/>
              </w:rPr>
            </w:pPr>
          </w:p>
        </w:tc>
        <w:tc>
          <w:tcPr>
            <w:tcW w:w="508" w:type="dxa"/>
            <w:tcBorders>
              <w:top w:val="nil"/>
              <w:bottom w:val="nil"/>
            </w:tcBorders>
            <w:vAlign w:val="center"/>
          </w:tcPr>
          <w:p w:rsidR="00B20392" w:rsidRPr="00AF196A" w:rsidRDefault="00B20392" w:rsidP="00603CC4">
            <w:pPr>
              <w:spacing w:after="0" w:line="240" w:lineRule="auto"/>
              <w:rPr>
                <w:color w:val="000000"/>
              </w:rPr>
            </w:pPr>
          </w:p>
        </w:tc>
      </w:tr>
      <w:tr w:rsidR="00B20392" w:rsidRPr="00AF196A" w:rsidTr="00EF5876">
        <w:trPr>
          <w:trHeight w:val="77"/>
        </w:trPr>
        <w:tc>
          <w:tcPr>
            <w:tcW w:w="709" w:type="dxa"/>
            <w:tcBorders>
              <w:top w:val="nil"/>
              <w:bottom w:val="nil"/>
            </w:tcBorders>
            <w:vAlign w:val="center"/>
          </w:tcPr>
          <w:p w:rsidR="00BA0058" w:rsidRDefault="00B20392" w:rsidP="00603CC4">
            <w:pPr>
              <w:spacing w:after="0" w:line="240" w:lineRule="auto"/>
            </w:pPr>
            <w:r w:rsidRPr="00603CC4">
              <w:lastRenderedPageBreak/>
              <w:t>O:9</w:t>
            </w:r>
            <w:r w:rsidR="00BA0058" w:rsidRPr="00603CC4">
              <w:t xml:space="preserve"> </w:t>
            </w:r>
          </w:p>
          <w:p w:rsidR="00BA0058" w:rsidRDefault="00BA0058" w:rsidP="00603CC4">
            <w:pPr>
              <w:spacing w:after="0" w:line="240" w:lineRule="auto"/>
            </w:pPr>
          </w:p>
          <w:p w:rsidR="00BA0058" w:rsidRDefault="00BA0058" w:rsidP="00603CC4">
            <w:pPr>
              <w:spacing w:after="0" w:line="240" w:lineRule="auto"/>
            </w:pPr>
          </w:p>
          <w:p w:rsidR="00BA0058" w:rsidRDefault="00BA0058" w:rsidP="00603CC4">
            <w:pPr>
              <w:spacing w:after="0" w:line="240" w:lineRule="auto"/>
            </w:pPr>
          </w:p>
          <w:p w:rsidR="00BA0058" w:rsidRDefault="00BA0058" w:rsidP="00603CC4">
            <w:pPr>
              <w:spacing w:after="0" w:line="240" w:lineRule="auto"/>
            </w:pPr>
          </w:p>
          <w:p w:rsidR="00BA0058" w:rsidRDefault="00BA0058" w:rsidP="00603CC4">
            <w:pPr>
              <w:spacing w:after="0" w:line="240" w:lineRule="auto"/>
            </w:pPr>
          </w:p>
          <w:p w:rsidR="00BA0058" w:rsidRDefault="00BA0058" w:rsidP="00603CC4">
            <w:pPr>
              <w:spacing w:after="0" w:line="240" w:lineRule="auto"/>
            </w:pPr>
          </w:p>
          <w:p w:rsidR="00B20392" w:rsidRPr="00603CC4" w:rsidRDefault="00BA0058" w:rsidP="00603CC4">
            <w:pPr>
              <w:spacing w:after="0" w:line="240" w:lineRule="auto"/>
            </w:pPr>
            <w:r w:rsidRPr="00603CC4">
              <w:t>O:10</w:t>
            </w:r>
          </w:p>
        </w:tc>
        <w:tc>
          <w:tcPr>
            <w:tcW w:w="5771" w:type="dxa"/>
            <w:vAlign w:val="center"/>
          </w:tcPr>
          <w:p w:rsidR="00BA0058" w:rsidRDefault="00B20392" w:rsidP="00BA0058">
            <w:pPr>
              <w:pStyle w:val="Normlny1"/>
              <w:rPr>
                <w:rFonts w:ascii="Calibri" w:hAnsi="Calibri" w:cs="Calibri"/>
                <w:color w:val="000000"/>
                <w:sz w:val="22"/>
                <w:szCs w:val="22"/>
              </w:rPr>
            </w:pPr>
            <w:r w:rsidRPr="00603CC4">
              <w:rPr>
                <w:color w:val="000000"/>
              </w:rPr>
              <w:t>9</w:t>
            </w:r>
            <w:r w:rsidRPr="007368A9">
              <w:rPr>
                <w:rFonts w:ascii="Calibri" w:hAnsi="Calibri" w:cs="Calibri"/>
                <w:color w:val="000000"/>
                <w:sz w:val="22"/>
                <w:szCs w:val="22"/>
              </w:rPr>
              <w:t>. V zónach alebo častiach zón, ktoré nespĺňajú limitné hodnoty týkajúce sa kvality ovzdušia stanovené v smernici 2008/50/ES, členské štáty pri jednotlivých stredne veľkých spaľovacích zariadeniach v týchto zónach posúdia v rámci vypracúvania plánov kvality ovzdušia uvedených v článku 23 smernice 2008/50/ES potrebu uplatniť prísnejšie emisné limity, ako sú stanovené v tejto smernici, pričom zohľadnia výsledky výmeny informácií uvedené v odseku 10 tohto článku, za predpokladu, že použitie takýchto hodnôt emisných limitov by účinne prispelo k zjavnému zlepšeniu kvality ovzdušia.</w:t>
            </w:r>
            <w:r w:rsidR="00BA0058" w:rsidRPr="00603CC4">
              <w:rPr>
                <w:rFonts w:ascii="Calibri" w:hAnsi="Calibri" w:cs="Calibri"/>
                <w:color w:val="000000"/>
                <w:sz w:val="22"/>
                <w:szCs w:val="22"/>
              </w:rPr>
              <w:t xml:space="preserve"> </w:t>
            </w:r>
          </w:p>
          <w:p w:rsidR="00BA0058" w:rsidRPr="00603CC4" w:rsidRDefault="00BA0058" w:rsidP="00BA0058">
            <w:pPr>
              <w:pStyle w:val="Normlny1"/>
              <w:rPr>
                <w:rFonts w:ascii="Calibri" w:hAnsi="Calibri" w:cs="Calibri"/>
                <w:color w:val="000000"/>
                <w:sz w:val="22"/>
                <w:szCs w:val="22"/>
              </w:rPr>
            </w:pPr>
            <w:r w:rsidRPr="00603CC4">
              <w:rPr>
                <w:rFonts w:ascii="Calibri" w:hAnsi="Calibri" w:cs="Calibri"/>
                <w:color w:val="000000"/>
                <w:sz w:val="22"/>
                <w:szCs w:val="22"/>
              </w:rPr>
              <w:t>10. Komisia zorganizuje výmenu informácií s členskými štátmi, dotknutými odvetviami a mimovládnymi organizáciami o úrovniach emisií, ktoré sú dosiahnuteľné za pomoci najlepších dostupných a vznikajúcich technológií, a o súvisiacich nákladoch.</w:t>
            </w:r>
          </w:p>
          <w:p w:rsidR="00B20392" w:rsidRPr="00603CC4" w:rsidRDefault="00BA0058" w:rsidP="007368A9">
            <w:pPr>
              <w:spacing w:after="0" w:line="240" w:lineRule="auto"/>
              <w:jc w:val="both"/>
              <w:rPr>
                <w:color w:val="000000"/>
                <w:lang w:eastAsia="sk-SK"/>
              </w:rPr>
            </w:pPr>
            <w:r w:rsidRPr="00603CC4">
              <w:rPr>
                <w:color w:val="000000"/>
              </w:rPr>
              <w:t>Komisia zverejní výsledky výmeny informácií.</w:t>
            </w:r>
          </w:p>
        </w:tc>
        <w:tc>
          <w:tcPr>
            <w:tcW w:w="397" w:type="dxa"/>
            <w:vAlign w:val="center"/>
          </w:tcPr>
          <w:p w:rsidR="00B20392" w:rsidRPr="00603CC4" w:rsidRDefault="00670CE1" w:rsidP="00603CC4">
            <w:pPr>
              <w:spacing w:after="0" w:line="240" w:lineRule="auto"/>
            </w:pPr>
            <w:r>
              <w:t>N</w:t>
            </w:r>
          </w:p>
        </w:tc>
        <w:tc>
          <w:tcPr>
            <w:tcW w:w="708" w:type="dxa"/>
            <w:vAlign w:val="center"/>
          </w:tcPr>
          <w:p w:rsidR="00B20392" w:rsidRPr="00603CC4" w:rsidRDefault="001F0389" w:rsidP="00603CC4">
            <w:pPr>
              <w:spacing w:after="0" w:line="240" w:lineRule="auto"/>
            </w:pPr>
            <w:r>
              <w:t>NZ</w:t>
            </w:r>
          </w:p>
        </w:tc>
        <w:tc>
          <w:tcPr>
            <w:tcW w:w="596" w:type="dxa"/>
            <w:vAlign w:val="center"/>
          </w:tcPr>
          <w:p w:rsidR="00B05545" w:rsidRDefault="00B05545" w:rsidP="00B05545">
            <w:pPr>
              <w:spacing w:after="0" w:line="240" w:lineRule="auto"/>
            </w:pPr>
            <w:r>
              <w:t>§:9 O:1 P:</w:t>
            </w:r>
            <w:r w:rsidR="00BA0058">
              <w:t>a</w:t>
            </w:r>
          </w:p>
          <w:p w:rsidR="00B20392" w:rsidRPr="00603CC4" w:rsidRDefault="00BA0058" w:rsidP="00B05545">
            <w:pPr>
              <w:spacing w:after="0" w:line="240" w:lineRule="auto"/>
            </w:pPr>
            <w:r>
              <w:t>B: 2</w:t>
            </w:r>
            <w:r w:rsidR="001F0389">
              <w:t xml:space="preserve"> </w:t>
            </w:r>
          </w:p>
        </w:tc>
        <w:tc>
          <w:tcPr>
            <w:tcW w:w="6396" w:type="dxa"/>
            <w:vAlign w:val="center"/>
          </w:tcPr>
          <w:p w:rsidR="001F0389" w:rsidRPr="00EF5876" w:rsidRDefault="001F0389" w:rsidP="007368A9">
            <w:pPr>
              <w:spacing w:after="0" w:line="240" w:lineRule="auto"/>
              <w:ind w:right="57" w:hanging="11"/>
              <w:jc w:val="center"/>
              <w:rPr>
                <w:rFonts w:asciiTheme="minorHAnsi" w:hAnsiTheme="minorHAnsi" w:cs="Times New Roman"/>
                <w:szCs w:val="20"/>
                <w:lang w:eastAsia="sk-SK"/>
              </w:rPr>
            </w:pPr>
            <w:r w:rsidRPr="00EF5876">
              <w:rPr>
                <w:rFonts w:asciiTheme="minorHAnsi" w:hAnsiTheme="minorHAnsi" w:cs="Times New Roman"/>
                <w:szCs w:val="20"/>
              </w:rPr>
              <w:t>§ 9</w:t>
            </w:r>
          </w:p>
          <w:p w:rsidR="001F0389" w:rsidRPr="00EF5876" w:rsidRDefault="001F0389" w:rsidP="001F0389">
            <w:pPr>
              <w:spacing w:after="120" w:line="240" w:lineRule="auto"/>
              <w:ind w:right="56"/>
              <w:jc w:val="center"/>
              <w:rPr>
                <w:rFonts w:asciiTheme="minorHAnsi" w:hAnsiTheme="minorHAnsi" w:cs="Times New Roman"/>
                <w:b/>
                <w:szCs w:val="20"/>
              </w:rPr>
            </w:pPr>
            <w:r w:rsidRPr="00EF5876">
              <w:rPr>
                <w:rFonts w:asciiTheme="minorHAnsi" w:hAnsiTheme="minorHAnsi" w:cs="Times New Roman"/>
                <w:b/>
                <w:szCs w:val="20"/>
              </w:rPr>
              <w:t xml:space="preserve">Opatrenia na obmedzenie znečisťovania ovzdušia na dosiahnutia dobrej kvality ovzdušia </w:t>
            </w:r>
          </w:p>
          <w:p w:rsidR="001F0389" w:rsidRPr="00EF5876" w:rsidRDefault="001F0389" w:rsidP="00215280">
            <w:pPr>
              <w:numPr>
                <w:ilvl w:val="3"/>
                <w:numId w:val="24"/>
              </w:numPr>
              <w:tabs>
                <w:tab w:val="left" w:pos="993"/>
                <w:tab w:val="left" w:pos="1134"/>
              </w:tabs>
              <w:spacing w:before="60" w:after="0" w:line="240" w:lineRule="auto"/>
              <w:ind w:left="0" w:right="57" w:firstLine="851"/>
              <w:jc w:val="both"/>
              <w:rPr>
                <w:rFonts w:asciiTheme="minorHAnsi" w:hAnsiTheme="minorHAnsi" w:cs="Times New Roman"/>
                <w:szCs w:val="20"/>
              </w:rPr>
            </w:pPr>
            <w:r w:rsidRPr="00EF5876">
              <w:rPr>
                <w:rFonts w:asciiTheme="minorHAnsi" w:hAnsiTheme="minorHAnsi" w:cs="Times New Roman"/>
                <w:szCs w:val="20"/>
              </w:rPr>
              <w:t xml:space="preserve"> Okresný úrad v záujme dosiahnutia dobrej kvality ovzdušia a čo najnižšieho znečisťovania ovzdušia môže </w:t>
            </w:r>
          </w:p>
          <w:p w:rsidR="001F0389" w:rsidRPr="00EF5876" w:rsidRDefault="001F0389" w:rsidP="00215280">
            <w:pPr>
              <w:pStyle w:val="Odsekzoznamu"/>
              <w:keepNext w:val="0"/>
              <w:numPr>
                <w:ilvl w:val="0"/>
                <w:numId w:val="25"/>
              </w:numPr>
              <w:spacing w:before="0" w:after="0"/>
              <w:ind w:left="284" w:right="57" w:hanging="284"/>
              <w:contextualSpacing/>
              <w:rPr>
                <w:rFonts w:asciiTheme="minorHAnsi" w:hAnsiTheme="minorHAnsi"/>
                <w:szCs w:val="20"/>
              </w:rPr>
            </w:pPr>
            <w:r w:rsidRPr="00EF5876">
              <w:rPr>
                <w:rFonts w:asciiTheme="minorHAnsi" w:hAnsiTheme="minorHAnsi"/>
                <w:szCs w:val="20"/>
              </w:rPr>
              <w:t xml:space="preserve">v súhlasoch podľa </w:t>
            </w:r>
            <w:hyperlink r:id="rId14" w:anchor="paragraf-17.odsek-1" w:tooltip="Odkaz na predpis alebo ustanovenie" w:history="1">
              <w:r w:rsidRPr="00EF5876">
                <w:rPr>
                  <w:rStyle w:val="Hypertextovprepojenie"/>
                  <w:rFonts w:asciiTheme="minorHAnsi" w:hAnsiTheme="minorHAnsi"/>
                  <w:color w:val="auto"/>
                  <w:szCs w:val="20"/>
                </w:rPr>
                <w:t>§ 17 ods. 1</w:t>
              </w:r>
            </w:hyperlink>
            <w:r w:rsidRPr="00EF5876">
              <w:rPr>
                <w:rFonts w:asciiTheme="minorHAnsi" w:hAnsiTheme="minorHAnsi"/>
                <w:szCs w:val="20"/>
              </w:rPr>
              <w:t xml:space="preserve"> a </w:t>
            </w:r>
            <w:hyperlink r:id="rId15" w:anchor="paragraf-18.odsek-1" w:tooltip="Odkaz na predpis alebo ustanovenie" w:history="1">
              <w:r w:rsidRPr="00EF5876">
                <w:rPr>
                  <w:rStyle w:val="Hypertextovprepojenie"/>
                  <w:rFonts w:asciiTheme="minorHAnsi" w:hAnsiTheme="minorHAnsi"/>
                  <w:color w:val="auto"/>
                  <w:szCs w:val="20"/>
                </w:rPr>
                <w:t>§ 18 ods. 1</w:t>
              </w:r>
            </w:hyperlink>
            <w:r w:rsidRPr="00EF5876">
              <w:rPr>
                <w:rFonts w:asciiTheme="minorHAnsi" w:hAnsiTheme="minorHAnsi"/>
                <w:szCs w:val="20"/>
              </w:rPr>
              <w:t xml:space="preserve"> a v rozhodnutiach podľa </w:t>
            </w:r>
            <w:hyperlink r:id="rId16" w:anchor="paragraf-18.odsek-9" w:tooltip="Odkaz na predpis alebo ustanovenie" w:history="1">
              <w:r w:rsidRPr="00EF5876">
                <w:rPr>
                  <w:rStyle w:val="Hypertextovprepojenie"/>
                  <w:rFonts w:asciiTheme="minorHAnsi" w:hAnsiTheme="minorHAnsi"/>
                  <w:color w:val="auto"/>
                  <w:szCs w:val="20"/>
                </w:rPr>
                <w:t>§ 18 ods. 9</w:t>
              </w:r>
            </w:hyperlink>
            <w:r w:rsidRPr="00EF5876">
              <w:rPr>
                <w:rFonts w:asciiTheme="minorHAnsi" w:hAnsiTheme="minorHAnsi"/>
                <w:szCs w:val="20"/>
              </w:rPr>
              <w:t xml:space="preserve"> a </w:t>
            </w:r>
            <w:hyperlink r:id="rId17" w:anchor="paragraf-31.odsek-2" w:tooltip="Odkaz na predpis alebo ustanovenie" w:history="1">
              <w:r w:rsidRPr="00EF5876">
                <w:rPr>
                  <w:rStyle w:val="Hypertextovprepojenie"/>
                  <w:rFonts w:asciiTheme="minorHAnsi" w:hAnsiTheme="minorHAnsi"/>
                  <w:color w:val="auto"/>
                  <w:szCs w:val="20"/>
                </w:rPr>
                <w:t>§ 31 ods. 2</w:t>
              </w:r>
            </w:hyperlink>
            <w:r w:rsidRPr="00EF5876">
              <w:rPr>
                <w:rFonts w:asciiTheme="minorHAnsi" w:hAnsiTheme="minorHAnsi"/>
                <w:szCs w:val="20"/>
              </w:rPr>
              <w:t>, určiť prísnejšie emisné limity</w:t>
            </w:r>
          </w:p>
          <w:p w:rsidR="001F0389" w:rsidRPr="00EF5876" w:rsidRDefault="001F0389" w:rsidP="001F0389">
            <w:pPr>
              <w:tabs>
                <w:tab w:val="left" w:pos="284"/>
              </w:tabs>
              <w:spacing w:after="0"/>
              <w:ind w:right="57"/>
              <w:contextualSpacing/>
              <w:rPr>
                <w:rFonts w:asciiTheme="minorHAnsi" w:hAnsiTheme="minorHAnsi"/>
                <w:szCs w:val="20"/>
              </w:rPr>
            </w:pPr>
            <w:r w:rsidRPr="00EF5876">
              <w:rPr>
                <w:rFonts w:asciiTheme="minorHAnsi" w:hAnsiTheme="minorHAnsi"/>
                <w:szCs w:val="20"/>
              </w:rPr>
              <w:t xml:space="preserve">2.pre stredne veľké spaľovacie zariadenia, v porovnaní s ustanovenými  emisnými limitmi, ak sa  preukáže, že v konkrétnej oblasti riadenia kvality ovzdušia by uplatnenie prísnejších emisných limitov na tento druh zariadení významne prispelo k zlepšeniu kvality ovzdušia; pri tom sa zohľadnia výsledky výmeny informácii zverejnené Komisiou, </w:t>
            </w:r>
          </w:p>
          <w:p w:rsidR="00B20392" w:rsidRPr="00EF5876" w:rsidRDefault="00B20392" w:rsidP="00603CC4">
            <w:pPr>
              <w:spacing w:after="0" w:line="240" w:lineRule="auto"/>
            </w:pPr>
          </w:p>
        </w:tc>
        <w:tc>
          <w:tcPr>
            <w:tcW w:w="508" w:type="dxa"/>
            <w:tcBorders>
              <w:top w:val="nil"/>
              <w:bottom w:val="nil"/>
            </w:tcBorders>
            <w:vAlign w:val="center"/>
          </w:tcPr>
          <w:p w:rsidR="00B20392" w:rsidRPr="00AF196A" w:rsidRDefault="00B20392" w:rsidP="00603CC4">
            <w:pPr>
              <w:spacing w:after="0" w:line="240" w:lineRule="auto"/>
              <w:rPr>
                <w:color w:val="000000"/>
              </w:rPr>
            </w:pPr>
          </w:p>
        </w:tc>
        <w:tc>
          <w:tcPr>
            <w:tcW w:w="508" w:type="dxa"/>
            <w:tcBorders>
              <w:top w:val="nil"/>
              <w:bottom w:val="nil"/>
            </w:tcBorders>
            <w:vAlign w:val="center"/>
          </w:tcPr>
          <w:p w:rsidR="00B20392" w:rsidRPr="00AF196A" w:rsidRDefault="00B20392" w:rsidP="00603CC4">
            <w:pPr>
              <w:spacing w:after="0" w:line="240" w:lineRule="auto"/>
              <w:rPr>
                <w:color w:val="000000"/>
              </w:rPr>
            </w:pPr>
          </w:p>
        </w:tc>
      </w:tr>
      <w:tr w:rsidR="00B20392" w:rsidRPr="00603CC4" w:rsidTr="00EF5876">
        <w:tc>
          <w:tcPr>
            <w:tcW w:w="709" w:type="dxa"/>
            <w:tcBorders>
              <w:top w:val="nil"/>
              <w:bottom w:val="nil"/>
            </w:tcBorders>
            <w:vAlign w:val="center"/>
          </w:tcPr>
          <w:p w:rsidR="00B20392" w:rsidRDefault="00B20392" w:rsidP="00603CC4">
            <w:pPr>
              <w:spacing w:after="0" w:line="240" w:lineRule="auto"/>
            </w:pPr>
            <w:r w:rsidRPr="00603CC4">
              <w:t>O:11</w:t>
            </w:r>
          </w:p>
          <w:p w:rsidR="001F0389" w:rsidRDefault="001F0389" w:rsidP="00603CC4">
            <w:pPr>
              <w:spacing w:after="0" w:line="240" w:lineRule="auto"/>
            </w:pPr>
          </w:p>
          <w:p w:rsidR="001F0389" w:rsidRDefault="001F0389" w:rsidP="00603CC4">
            <w:pPr>
              <w:spacing w:after="0" w:line="240" w:lineRule="auto"/>
            </w:pPr>
          </w:p>
          <w:p w:rsidR="001F0389" w:rsidRDefault="001F0389" w:rsidP="00603CC4">
            <w:pPr>
              <w:spacing w:after="0" w:line="240" w:lineRule="auto"/>
            </w:pPr>
          </w:p>
          <w:p w:rsidR="001F0389" w:rsidRDefault="001F0389" w:rsidP="00603CC4">
            <w:pPr>
              <w:spacing w:after="0" w:line="240" w:lineRule="auto"/>
            </w:pPr>
          </w:p>
          <w:p w:rsidR="001F0389" w:rsidRDefault="001F0389" w:rsidP="00603CC4">
            <w:pPr>
              <w:spacing w:after="0" w:line="240" w:lineRule="auto"/>
            </w:pPr>
          </w:p>
          <w:p w:rsidR="001F0389" w:rsidRDefault="001F0389" w:rsidP="00603CC4">
            <w:pPr>
              <w:spacing w:after="0" w:line="240" w:lineRule="auto"/>
            </w:pPr>
          </w:p>
          <w:p w:rsidR="001F0389" w:rsidRDefault="001F0389" w:rsidP="00603CC4">
            <w:pPr>
              <w:spacing w:after="0" w:line="240" w:lineRule="auto"/>
            </w:pPr>
          </w:p>
          <w:p w:rsidR="001F0389" w:rsidRDefault="001F0389" w:rsidP="00603CC4">
            <w:pPr>
              <w:spacing w:after="0" w:line="240" w:lineRule="auto"/>
            </w:pPr>
          </w:p>
          <w:p w:rsidR="001F0389" w:rsidRDefault="001F0389" w:rsidP="00603CC4">
            <w:pPr>
              <w:spacing w:after="0" w:line="240" w:lineRule="auto"/>
            </w:pPr>
          </w:p>
          <w:p w:rsidR="001F0389" w:rsidRDefault="001F0389" w:rsidP="00603CC4">
            <w:pPr>
              <w:spacing w:after="0" w:line="240" w:lineRule="auto"/>
            </w:pPr>
          </w:p>
          <w:p w:rsidR="001F0389" w:rsidRDefault="001F0389" w:rsidP="00603CC4">
            <w:pPr>
              <w:spacing w:after="0" w:line="240" w:lineRule="auto"/>
            </w:pPr>
          </w:p>
          <w:p w:rsidR="001F0389" w:rsidRDefault="001F0389" w:rsidP="00603CC4">
            <w:pPr>
              <w:spacing w:after="0" w:line="240" w:lineRule="auto"/>
            </w:pPr>
          </w:p>
          <w:p w:rsidR="001F0389" w:rsidRPr="00603CC4" w:rsidRDefault="001F0389" w:rsidP="00603CC4">
            <w:pPr>
              <w:spacing w:after="0" w:line="240" w:lineRule="auto"/>
            </w:pPr>
            <w:r>
              <w:t>O:12</w:t>
            </w:r>
          </w:p>
        </w:tc>
        <w:tc>
          <w:tcPr>
            <w:tcW w:w="5771" w:type="dxa"/>
            <w:vAlign w:val="center"/>
          </w:tcPr>
          <w:p w:rsidR="00B20392" w:rsidRPr="00603CC4" w:rsidRDefault="00B20392" w:rsidP="00721F88">
            <w:pPr>
              <w:pStyle w:val="Normlny1"/>
              <w:rPr>
                <w:rFonts w:ascii="Calibri" w:hAnsi="Calibri" w:cs="Calibri"/>
                <w:color w:val="000000"/>
                <w:sz w:val="22"/>
                <w:szCs w:val="22"/>
              </w:rPr>
            </w:pPr>
            <w:r w:rsidRPr="00603CC4">
              <w:rPr>
                <w:rFonts w:ascii="Calibri" w:hAnsi="Calibri" w:cs="Calibri"/>
                <w:color w:val="000000"/>
                <w:sz w:val="22"/>
                <w:szCs w:val="22"/>
              </w:rPr>
              <w:t>11. Príslušný orgán môže najviac na obdobie šiestich mesiacov udeliť výnimku z povinnosti dodržiavať emisné limity podľa odsekov 2 a 7 pre SO</w:t>
            </w:r>
            <w:r w:rsidRPr="00603CC4">
              <w:rPr>
                <w:rStyle w:val="sub"/>
                <w:rFonts w:ascii="Calibri" w:hAnsi="Calibri" w:cs="Calibri"/>
                <w:color w:val="000000"/>
                <w:sz w:val="22"/>
                <w:szCs w:val="22"/>
              </w:rPr>
              <w:t>2</w:t>
            </w:r>
            <w:r w:rsidRPr="00603CC4">
              <w:rPr>
                <w:rFonts w:ascii="Calibri" w:hAnsi="Calibri" w:cs="Calibri"/>
                <w:color w:val="000000"/>
                <w:sz w:val="22"/>
                <w:szCs w:val="22"/>
              </w:rPr>
              <w:t>, ak ide o stredne veľké spaľovacie zariadenie, ktoré na tento účel za bežnej prevádzky používa palivo s nízkym obsahom síry, v prípadoch, keď prevádzkovateľ nedokáže tieto emisné limity dodržať z dôvodu prerušeniu dodávky paliva s nízkym obsahom síry v dôsledku závažného nedostatku daného paliva.</w:t>
            </w:r>
          </w:p>
          <w:p w:rsidR="001F0389" w:rsidRDefault="00B20392" w:rsidP="00B8015E">
            <w:pPr>
              <w:pStyle w:val="Normlny1"/>
              <w:rPr>
                <w:rFonts w:ascii="Calibri" w:hAnsi="Calibri" w:cs="Calibri"/>
                <w:color w:val="000000"/>
                <w:sz w:val="22"/>
                <w:szCs w:val="22"/>
              </w:rPr>
            </w:pPr>
            <w:r w:rsidRPr="00603CC4">
              <w:rPr>
                <w:rFonts w:ascii="Calibri" w:hAnsi="Calibri" w:cs="Calibri"/>
                <w:color w:val="000000"/>
                <w:sz w:val="22"/>
                <w:szCs w:val="22"/>
              </w:rPr>
              <w:t xml:space="preserve">Členské štáty informujú Komisiu v lehote jedného mesiaca o akejkoľvek výnimke udelenej na základe prvého </w:t>
            </w:r>
            <w:proofErr w:type="spellStart"/>
            <w:r w:rsidRPr="00603CC4">
              <w:rPr>
                <w:rFonts w:ascii="Calibri" w:hAnsi="Calibri" w:cs="Calibri"/>
                <w:color w:val="000000"/>
                <w:sz w:val="22"/>
                <w:szCs w:val="22"/>
              </w:rPr>
              <w:t>pododseku</w:t>
            </w:r>
            <w:proofErr w:type="spellEnd"/>
            <w:r w:rsidRPr="00603CC4">
              <w:rPr>
                <w:rFonts w:ascii="Calibri" w:hAnsi="Calibri" w:cs="Calibri"/>
                <w:color w:val="000000"/>
                <w:sz w:val="22"/>
                <w:szCs w:val="22"/>
              </w:rPr>
              <w:t>.</w:t>
            </w:r>
          </w:p>
          <w:p w:rsidR="001F0389" w:rsidRDefault="001F0389" w:rsidP="001F0389">
            <w:pPr>
              <w:rPr>
                <w:lang w:eastAsia="sk-SK"/>
              </w:rPr>
            </w:pPr>
          </w:p>
          <w:p w:rsidR="001F0389" w:rsidRPr="00603CC4" w:rsidRDefault="001F0389" w:rsidP="001F0389">
            <w:pPr>
              <w:pStyle w:val="Normlny1"/>
              <w:rPr>
                <w:rFonts w:ascii="Calibri" w:hAnsi="Calibri" w:cs="Calibri"/>
                <w:color w:val="000000"/>
                <w:sz w:val="22"/>
                <w:szCs w:val="22"/>
              </w:rPr>
            </w:pPr>
            <w:r w:rsidRPr="00603CC4">
              <w:rPr>
                <w:rFonts w:ascii="Calibri" w:hAnsi="Calibri" w:cs="Calibri"/>
                <w:color w:val="000000"/>
                <w:sz w:val="22"/>
                <w:szCs w:val="22"/>
              </w:rPr>
              <w:t xml:space="preserve">12. Príslušný orgán môže udeliť výnimku z povinnosti </w:t>
            </w:r>
            <w:r w:rsidRPr="00603CC4">
              <w:rPr>
                <w:rFonts w:ascii="Calibri" w:hAnsi="Calibri" w:cs="Calibri"/>
                <w:color w:val="000000"/>
                <w:sz w:val="22"/>
                <w:szCs w:val="22"/>
              </w:rPr>
              <w:lastRenderedPageBreak/>
              <w:t>dodržiavať emisné limity v zmysle odsekov 2 a 7 v prípadoch, keď sa stredne veľké spaľovacie zariadenie, kde sa používa výlučne plynné palivo, musí výnimočne uchýliť k používaniu iných palív z dôvodu náhleho prerušenia dodávky plynu a z tohto dôvodu musí byť vybavené sekundárnym zariadením na znižovanie emisií. Obdobie, na ktoré sa udelí takáto výnimka, nesmie prekročiť desať dní okrem prípadov, keď prevádzkovateľ príslušnému orgánu preukáže odôvodnenosť dlhšieho obdobia.</w:t>
            </w:r>
          </w:p>
          <w:p w:rsidR="00B20392" w:rsidRPr="001F0389" w:rsidRDefault="001F0389" w:rsidP="001F0389">
            <w:pPr>
              <w:rPr>
                <w:lang w:eastAsia="sk-SK"/>
              </w:rPr>
            </w:pPr>
            <w:r w:rsidRPr="008F374E">
              <w:rPr>
                <w:color w:val="000000"/>
              </w:rPr>
              <w:t>Členské štáty informujú Komisiu</w:t>
            </w:r>
            <w:r w:rsidRPr="00603CC4">
              <w:rPr>
                <w:color w:val="000000"/>
              </w:rPr>
              <w:t xml:space="preserve"> v lehote jedného mesiaca o akejkoľvek výnimke udelenej na základe prvého </w:t>
            </w:r>
            <w:proofErr w:type="spellStart"/>
            <w:r w:rsidRPr="00603CC4">
              <w:rPr>
                <w:color w:val="000000"/>
              </w:rPr>
              <w:t>pododseku</w:t>
            </w:r>
            <w:proofErr w:type="spellEnd"/>
            <w:r w:rsidRPr="00603CC4">
              <w:rPr>
                <w:color w:val="000000"/>
              </w:rPr>
              <w:t>.</w:t>
            </w:r>
          </w:p>
        </w:tc>
        <w:tc>
          <w:tcPr>
            <w:tcW w:w="397" w:type="dxa"/>
            <w:vAlign w:val="center"/>
          </w:tcPr>
          <w:p w:rsidR="00B20392" w:rsidRDefault="00670CE1" w:rsidP="00603CC4">
            <w:pPr>
              <w:spacing w:after="0" w:line="240" w:lineRule="auto"/>
            </w:pPr>
            <w:r>
              <w:lastRenderedPageBreak/>
              <w:t>N</w:t>
            </w:r>
          </w:p>
          <w:p w:rsidR="00670CE1" w:rsidRDefault="00670CE1" w:rsidP="00603CC4">
            <w:pPr>
              <w:spacing w:after="0" w:line="240" w:lineRule="auto"/>
            </w:pPr>
          </w:p>
          <w:p w:rsidR="00670CE1" w:rsidRDefault="00670CE1" w:rsidP="00603CC4">
            <w:pPr>
              <w:spacing w:after="0" w:line="240" w:lineRule="auto"/>
            </w:pPr>
          </w:p>
          <w:p w:rsidR="00670CE1" w:rsidRDefault="00670CE1" w:rsidP="00603CC4">
            <w:pPr>
              <w:spacing w:after="0" w:line="240" w:lineRule="auto"/>
            </w:pPr>
          </w:p>
          <w:p w:rsidR="00670CE1" w:rsidRDefault="00670CE1" w:rsidP="00603CC4">
            <w:pPr>
              <w:spacing w:after="0" w:line="240" w:lineRule="auto"/>
            </w:pPr>
          </w:p>
          <w:p w:rsidR="00670CE1" w:rsidRDefault="00670CE1" w:rsidP="00603CC4">
            <w:pPr>
              <w:spacing w:after="0" w:line="240" w:lineRule="auto"/>
            </w:pPr>
          </w:p>
          <w:p w:rsidR="00670CE1" w:rsidRDefault="00670CE1" w:rsidP="00603CC4">
            <w:pPr>
              <w:spacing w:after="0" w:line="240" w:lineRule="auto"/>
            </w:pPr>
          </w:p>
          <w:p w:rsidR="00670CE1" w:rsidRDefault="00670CE1" w:rsidP="00603CC4">
            <w:pPr>
              <w:spacing w:after="0" w:line="240" w:lineRule="auto"/>
            </w:pPr>
          </w:p>
          <w:p w:rsidR="00670CE1" w:rsidRDefault="00670CE1" w:rsidP="00603CC4">
            <w:pPr>
              <w:spacing w:after="0" w:line="240" w:lineRule="auto"/>
            </w:pPr>
          </w:p>
          <w:p w:rsidR="00670CE1" w:rsidRDefault="00670CE1" w:rsidP="00603CC4">
            <w:pPr>
              <w:spacing w:after="0" w:line="240" w:lineRule="auto"/>
            </w:pPr>
          </w:p>
          <w:p w:rsidR="00670CE1" w:rsidRDefault="00670CE1" w:rsidP="00603CC4">
            <w:pPr>
              <w:spacing w:after="0" w:line="240" w:lineRule="auto"/>
            </w:pPr>
          </w:p>
          <w:p w:rsidR="00670CE1" w:rsidRDefault="00670CE1" w:rsidP="00603CC4">
            <w:pPr>
              <w:spacing w:after="0" w:line="240" w:lineRule="auto"/>
            </w:pPr>
          </w:p>
          <w:p w:rsidR="00670CE1" w:rsidRDefault="00670CE1" w:rsidP="00603CC4">
            <w:pPr>
              <w:spacing w:after="0" w:line="240" w:lineRule="auto"/>
            </w:pPr>
          </w:p>
          <w:p w:rsidR="00670CE1" w:rsidRDefault="00670CE1" w:rsidP="00603CC4">
            <w:pPr>
              <w:spacing w:after="0" w:line="240" w:lineRule="auto"/>
            </w:pPr>
          </w:p>
          <w:p w:rsidR="00670CE1" w:rsidRDefault="00670CE1" w:rsidP="00603CC4">
            <w:pPr>
              <w:spacing w:after="0" w:line="240" w:lineRule="auto"/>
            </w:pPr>
          </w:p>
          <w:p w:rsidR="00670CE1" w:rsidRPr="00603CC4" w:rsidRDefault="00670CE1" w:rsidP="00603CC4">
            <w:pPr>
              <w:spacing w:after="0" w:line="240" w:lineRule="auto"/>
            </w:pPr>
            <w:r>
              <w:t>N</w:t>
            </w:r>
          </w:p>
        </w:tc>
        <w:tc>
          <w:tcPr>
            <w:tcW w:w="708" w:type="dxa"/>
            <w:vAlign w:val="center"/>
          </w:tcPr>
          <w:p w:rsidR="00B20392" w:rsidRDefault="009545A5" w:rsidP="00603CC4">
            <w:pPr>
              <w:spacing w:after="0" w:line="240" w:lineRule="auto"/>
            </w:pPr>
            <w:r>
              <w:lastRenderedPageBreak/>
              <w:t>V</w:t>
            </w:r>
            <w:r w:rsidR="007368A9">
              <w:t>410</w:t>
            </w:r>
          </w:p>
          <w:p w:rsidR="0021001A" w:rsidRDefault="0021001A" w:rsidP="00603CC4">
            <w:pPr>
              <w:spacing w:after="0" w:line="240" w:lineRule="auto"/>
            </w:pPr>
          </w:p>
          <w:p w:rsidR="0021001A" w:rsidRDefault="0021001A" w:rsidP="00603CC4">
            <w:pPr>
              <w:spacing w:after="0" w:line="240" w:lineRule="auto"/>
            </w:pPr>
          </w:p>
          <w:p w:rsidR="0021001A" w:rsidRDefault="0021001A" w:rsidP="00603CC4">
            <w:pPr>
              <w:spacing w:after="0" w:line="240" w:lineRule="auto"/>
            </w:pPr>
          </w:p>
          <w:p w:rsidR="0021001A" w:rsidRDefault="0021001A" w:rsidP="00603CC4">
            <w:pPr>
              <w:spacing w:after="0" w:line="240" w:lineRule="auto"/>
            </w:pPr>
          </w:p>
          <w:p w:rsidR="0021001A" w:rsidRDefault="0021001A" w:rsidP="00603CC4">
            <w:pPr>
              <w:spacing w:after="0" w:line="240" w:lineRule="auto"/>
            </w:pPr>
          </w:p>
          <w:p w:rsidR="0021001A" w:rsidRDefault="0021001A" w:rsidP="00603CC4">
            <w:pPr>
              <w:spacing w:after="0" w:line="240" w:lineRule="auto"/>
            </w:pPr>
          </w:p>
          <w:p w:rsidR="0021001A" w:rsidRDefault="0021001A" w:rsidP="00603CC4">
            <w:pPr>
              <w:spacing w:after="0" w:line="240" w:lineRule="auto"/>
            </w:pPr>
          </w:p>
          <w:p w:rsidR="0021001A" w:rsidRDefault="0021001A" w:rsidP="00603CC4">
            <w:pPr>
              <w:spacing w:after="0" w:line="240" w:lineRule="auto"/>
            </w:pPr>
          </w:p>
          <w:p w:rsidR="0021001A" w:rsidRDefault="0021001A" w:rsidP="00603CC4">
            <w:pPr>
              <w:spacing w:after="0" w:line="240" w:lineRule="auto"/>
            </w:pPr>
          </w:p>
          <w:p w:rsidR="0021001A" w:rsidRDefault="0021001A" w:rsidP="00603CC4">
            <w:pPr>
              <w:spacing w:after="0" w:line="240" w:lineRule="auto"/>
            </w:pPr>
          </w:p>
          <w:p w:rsidR="0021001A" w:rsidRDefault="0021001A" w:rsidP="00603CC4">
            <w:pPr>
              <w:spacing w:after="0" w:line="240" w:lineRule="auto"/>
            </w:pPr>
          </w:p>
          <w:p w:rsidR="0021001A" w:rsidRDefault="0021001A" w:rsidP="00603CC4">
            <w:pPr>
              <w:spacing w:after="0" w:line="240" w:lineRule="auto"/>
            </w:pPr>
          </w:p>
          <w:p w:rsidR="0021001A" w:rsidRDefault="0021001A" w:rsidP="00603CC4">
            <w:pPr>
              <w:spacing w:after="0" w:line="240" w:lineRule="auto"/>
            </w:pPr>
          </w:p>
          <w:p w:rsidR="0021001A" w:rsidRDefault="0021001A" w:rsidP="00603CC4">
            <w:pPr>
              <w:spacing w:after="0" w:line="240" w:lineRule="auto"/>
            </w:pPr>
          </w:p>
          <w:p w:rsidR="0021001A" w:rsidRDefault="0021001A" w:rsidP="00603CC4">
            <w:pPr>
              <w:spacing w:after="0" w:line="240" w:lineRule="auto"/>
            </w:pPr>
          </w:p>
          <w:p w:rsidR="0021001A" w:rsidRDefault="0021001A" w:rsidP="00603CC4">
            <w:pPr>
              <w:spacing w:after="0" w:line="240" w:lineRule="auto"/>
            </w:pPr>
          </w:p>
          <w:p w:rsidR="0021001A" w:rsidRDefault="009171C4" w:rsidP="00603CC4">
            <w:pPr>
              <w:spacing w:after="0" w:line="240" w:lineRule="auto"/>
            </w:pPr>
            <w:r>
              <w:t>N</w:t>
            </w:r>
            <w:r w:rsidR="0021001A">
              <w:t>Z</w:t>
            </w:r>
          </w:p>
          <w:p w:rsidR="009171C4" w:rsidRDefault="009171C4" w:rsidP="00603CC4">
            <w:pPr>
              <w:spacing w:after="0" w:line="240" w:lineRule="auto"/>
            </w:pPr>
          </w:p>
          <w:p w:rsidR="009171C4" w:rsidRDefault="009171C4" w:rsidP="00603CC4">
            <w:pPr>
              <w:spacing w:after="0" w:line="240" w:lineRule="auto"/>
            </w:pPr>
          </w:p>
          <w:p w:rsidR="009171C4" w:rsidRDefault="009171C4" w:rsidP="00603CC4">
            <w:pPr>
              <w:spacing w:after="0" w:line="240" w:lineRule="auto"/>
            </w:pPr>
          </w:p>
          <w:p w:rsidR="009171C4" w:rsidRDefault="009171C4" w:rsidP="00603CC4">
            <w:pPr>
              <w:spacing w:after="0" w:line="240" w:lineRule="auto"/>
            </w:pPr>
          </w:p>
          <w:p w:rsidR="009171C4" w:rsidRDefault="009171C4" w:rsidP="00603CC4">
            <w:pPr>
              <w:spacing w:after="0" w:line="240" w:lineRule="auto"/>
            </w:pPr>
          </w:p>
          <w:p w:rsidR="009171C4" w:rsidRPr="00603CC4" w:rsidRDefault="009171C4" w:rsidP="00603CC4">
            <w:pPr>
              <w:spacing w:after="0" w:line="240" w:lineRule="auto"/>
            </w:pPr>
            <w:r>
              <w:t>V231</w:t>
            </w:r>
          </w:p>
        </w:tc>
        <w:tc>
          <w:tcPr>
            <w:tcW w:w="596" w:type="dxa"/>
            <w:vAlign w:val="center"/>
          </w:tcPr>
          <w:p w:rsidR="00B20392" w:rsidRDefault="00B05545" w:rsidP="00FA5311">
            <w:pPr>
              <w:spacing w:after="0" w:line="240" w:lineRule="auto"/>
              <w:ind w:right="-79"/>
            </w:pPr>
            <w:r>
              <w:lastRenderedPageBreak/>
              <w:t>§</w:t>
            </w:r>
            <w:r w:rsidR="009545A5">
              <w:t>:16 O: 1</w:t>
            </w:r>
            <w:r w:rsidR="0021001A">
              <w:t>,2</w:t>
            </w:r>
          </w:p>
          <w:p w:rsidR="001F0389" w:rsidRDefault="001F0389" w:rsidP="00603CC4">
            <w:pPr>
              <w:spacing w:after="0" w:line="240" w:lineRule="auto"/>
            </w:pPr>
          </w:p>
          <w:p w:rsidR="001F0389" w:rsidRDefault="001F0389" w:rsidP="00603CC4">
            <w:pPr>
              <w:spacing w:after="0" w:line="240" w:lineRule="auto"/>
            </w:pPr>
          </w:p>
          <w:p w:rsidR="001F0389" w:rsidRDefault="001F0389" w:rsidP="00603CC4">
            <w:pPr>
              <w:spacing w:after="0" w:line="240" w:lineRule="auto"/>
            </w:pPr>
          </w:p>
          <w:p w:rsidR="001F0389" w:rsidRDefault="001F0389" w:rsidP="00603CC4">
            <w:pPr>
              <w:spacing w:after="0" w:line="240" w:lineRule="auto"/>
            </w:pPr>
          </w:p>
          <w:p w:rsidR="001F0389" w:rsidRDefault="001F0389" w:rsidP="00603CC4">
            <w:pPr>
              <w:spacing w:after="0" w:line="240" w:lineRule="auto"/>
            </w:pPr>
          </w:p>
          <w:p w:rsidR="001F0389" w:rsidRDefault="001F0389" w:rsidP="00603CC4">
            <w:pPr>
              <w:spacing w:after="0" w:line="240" w:lineRule="auto"/>
            </w:pPr>
          </w:p>
          <w:p w:rsidR="001F0389" w:rsidRDefault="001F0389" w:rsidP="00603CC4">
            <w:pPr>
              <w:spacing w:after="0" w:line="240" w:lineRule="auto"/>
            </w:pPr>
          </w:p>
          <w:p w:rsidR="001F0389" w:rsidRDefault="001F0389" w:rsidP="00603CC4">
            <w:pPr>
              <w:spacing w:after="0" w:line="240" w:lineRule="auto"/>
            </w:pPr>
          </w:p>
          <w:p w:rsidR="001F0389" w:rsidRDefault="001F0389" w:rsidP="00603CC4">
            <w:pPr>
              <w:spacing w:after="0" w:line="240" w:lineRule="auto"/>
            </w:pPr>
          </w:p>
          <w:p w:rsidR="001F0389" w:rsidRDefault="001F0389" w:rsidP="00603CC4">
            <w:pPr>
              <w:spacing w:after="0" w:line="240" w:lineRule="auto"/>
            </w:pPr>
          </w:p>
          <w:p w:rsidR="001F0389" w:rsidRDefault="001F0389" w:rsidP="00603CC4">
            <w:pPr>
              <w:spacing w:after="0" w:line="240" w:lineRule="auto"/>
            </w:pPr>
          </w:p>
          <w:p w:rsidR="001F0389" w:rsidRDefault="001F0389" w:rsidP="00603CC4">
            <w:pPr>
              <w:spacing w:after="0" w:line="240" w:lineRule="auto"/>
            </w:pPr>
          </w:p>
          <w:p w:rsidR="001F0389" w:rsidRDefault="001F0389" w:rsidP="00603CC4">
            <w:pPr>
              <w:spacing w:after="0" w:line="240" w:lineRule="auto"/>
            </w:pPr>
          </w:p>
          <w:p w:rsidR="001F0389" w:rsidRDefault="001F0389" w:rsidP="00603CC4">
            <w:pPr>
              <w:spacing w:after="0" w:line="240" w:lineRule="auto"/>
            </w:pPr>
          </w:p>
          <w:p w:rsidR="009171C4" w:rsidRDefault="00B05545" w:rsidP="00FA5311">
            <w:pPr>
              <w:spacing w:after="0" w:line="240" w:lineRule="auto"/>
              <w:ind w:right="-79"/>
            </w:pPr>
            <w:r>
              <w:t>§</w:t>
            </w:r>
            <w:r w:rsidR="001F0389">
              <w:t xml:space="preserve">:15 O:1 </w:t>
            </w:r>
            <w:r>
              <w:t>P:</w:t>
            </w:r>
            <w:r w:rsidR="001F0389">
              <w:t>ae</w:t>
            </w:r>
          </w:p>
          <w:p w:rsidR="009171C4" w:rsidRDefault="009171C4" w:rsidP="00B05545">
            <w:pPr>
              <w:spacing w:after="0" w:line="240" w:lineRule="auto"/>
            </w:pPr>
          </w:p>
          <w:p w:rsidR="001F0389" w:rsidRDefault="009171C4" w:rsidP="009171C4">
            <w:pPr>
              <w:spacing w:after="0" w:line="240" w:lineRule="auto"/>
              <w:ind w:right="-221"/>
            </w:pPr>
            <w:r>
              <w:t>Pr. 1</w:t>
            </w:r>
          </w:p>
          <w:p w:rsidR="009171C4" w:rsidRPr="00603CC4" w:rsidRDefault="009171C4" w:rsidP="009171C4">
            <w:pPr>
              <w:spacing w:after="0" w:line="240" w:lineRule="auto"/>
              <w:ind w:right="-221"/>
            </w:pPr>
            <w:r>
              <w:t>B:9</w:t>
            </w:r>
          </w:p>
        </w:tc>
        <w:tc>
          <w:tcPr>
            <w:tcW w:w="6396" w:type="dxa"/>
            <w:vAlign w:val="center"/>
          </w:tcPr>
          <w:p w:rsidR="009545A5" w:rsidRPr="00EF5876" w:rsidRDefault="009545A5" w:rsidP="008F374E">
            <w:pPr>
              <w:spacing w:after="0"/>
              <w:jc w:val="center"/>
              <w:rPr>
                <w:b/>
              </w:rPr>
            </w:pPr>
            <w:r w:rsidRPr="00EF5876">
              <w:rPr>
                <w:b/>
              </w:rPr>
              <w:lastRenderedPageBreak/>
              <w:t>§ 16</w:t>
            </w:r>
          </w:p>
          <w:p w:rsidR="009545A5" w:rsidRPr="00EF5876" w:rsidRDefault="009545A5" w:rsidP="009545A5">
            <w:pPr>
              <w:jc w:val="center"/>
              <w:rPr>
                <w:b/>
              </w:rPr>
            </w:pPr>
            <w:r w:rsidRPr="00EF5876">
              <w:rPr>
                <w:b/>
              </w:rPr>
              <w:t>Výnimky počas prerušenia dodávky riadneho paliva</w:t>
            </w:r>
          </w:p>
          <w:p w:rsidR="009545A5" w:rsidRPr="00EF5876" w:rsidRDefault="009545A5" w:rsidP="00215280">
            <w:pPr>
              <w:pStyle w:val="Odsekzoznamu"/>
              <w:keepNext w:val="0"/>
              <w:numPr>
                <w:ilvl w:val="0"/>
                <w:numId w:val="23"/>
              </w:numPr>
              <w:spacing w:before="0" w:after="0"/>
              <w:ind w:left="0" w:firstLine="34"/>
              <w:contextualSpacing/>
              <w:rPr>
                <w:rFonts w:ascii="Calibri" w:eastAsia="Calibri" w:hAnsi="Calibri" w:cs="Calibri"/>
                <w:sz w:val="22"/>
                <w:szCs w:val="22"/>
              </w:rPr>
            </w:pPr>
            <w:r w:rsidRPr="00EF5876">
              <w:rPr>
                <w:rFonts w:ascii="Calibri" w:eastAsia="Calibri" w:hAnsi="Calibri" w:cs="Calibri"/>
                <w:sz w:val="22"/>
                <w:szCs w:val="22"/>
              </w:rPr>
              <w:t xml:space="preserve">Z dôvodu prerušenia dodávky </w:t>
            </w:r>
            <w:proofErr w:type="spellStart"/>
            <w:r w:rsidRPr="00EF5876">
              <w:rPr>
                <w:rFonts w:ascii="Calibri" w:eastAsia="Calibri" w:hAnsi="Calibri" w:cs="Calibri"/>
                <w:sz w:val="22"/>
                <w:szCs w:val="22"/>
              </w:rPr>
              <w:t>nízkosírneho</w:t>
            </w:r>
            <w:proofErr w:type="spellEnd"/>
            <w:r w:rsidRPr="00EF5876">
              <w:rPr>
                <w:rFonts w:ascii="Calibri" w:eastAsia="Calibri" w:hAnsi="Calibri" w:cs="Calibri"/>
                <w:sz w:val="22"/>
                <w:szCs w:val="22"/>
              </w:rPr>
              <w:t xml:space="preserve"> paliva pre jeho vážny nedostatok, možno pre spaľovacie zariadenie, ktoré spaľuje palivo s nízkym obsahom síry, povoliť na obmedzený čas, najviac však na šesť mesiacov, vyššie emisie SO2, ako sú ustanovené emisné limity. </w:t>
            </w:r>
          </w:p>
          <w:p w:rsidR="001F0389" w:rsidRPr="00EF5876" w:rsidRDefault="001F0389" w:rsidP="001F0389">
            <w:pPr>
              <w:spacing w:after="0"/>
              <w:ind w:left="34"/>
              <w:contextualSpacing/>
            </w:pPr>
            <w:r w:rsidRPr="00EF5876">
              <w:t>(2)Z dôvodu náhleho výpadku dodávky plynu a stavu núdze podľa osobitného predpisu</w:t>
            </w:r>
            <w:hyperlink r:id="rId18" w:anchor="poznamky.poznamka-4a" w:tooltip="Odkaz na predpis alebo ustanovenie" w:history="1">
              <w:r w:rsidRPr="00EF5876">
                <w:rPr>
                  <w:u w:val="single"/>
                  <w:vertAlign w:val="superscript"/>
                </w:rPr>
                <w:t>4a</w:t>
              </w:r>
              <w:r w:rsidRPr="00EF5876">
                <w:rPr>
                  <w:u w:val="single"/>
                </w:rPr>
                <w:t>)</w:t>
              </w:r>
            </w:hyperlink>
            <w:r w:rsidRPr="00EF5876">
              <w:t xml:space="preserve"> možno pre spaľovacie zariadenie, ktoré spaľuje len plynné palivo, povoliť na obmedzený čas používanie iných palív, ktoré vyžadujú odlučovanie, a povoliť vyššie emisie znečisťujúcich látok ako ustanovené emisné limity, najviac však na </w:t>
            </w:r>
            <w:r w:rsidRPr="00EF5876">
              <w:lastRenderedPageBreak/>
              <w:t xml:space="preserve">desať dní. Tento čas môže byť prekročený, ak z dôvodu potreby prednostnej dodávky energie je nutné spaľovať iné palivo, ktoré si na dodržanie emisných limitov vyžaduje odlučovanie. </w:t>
            </w:r>
          </w:p>
          <w:p w:rsidR="001F0389" w:rsidRPr="00EF5876" w:rsidRDefault="001F0389" w:rsidP="001F0389">
            <w:pPr>
              <w:spacing w:after="0"/>
              <w:ind w:left="284" w:hanging="295"/>
              <w:rPr>
                <w:rFonts w:asciiTheme="minorHAnsi" w:hAnsiTheme="minorHAnsi" w:cs="Times New Roman"/>
                <w:szCs w:val="20"/>
              </w:rPr>
            </w:pPr>
            <w:proofErr w:type="spellStart"/>
            <w:r w:rsidRPr="00EF5876">
              <w:rPr>
                <w:rFonts w:asciiTheme="minorHAnsi" w:hAnsiTheme="minorHAnsi" w:cs="Times New Roman"/>
                <w:szCs w:val="20"/>
              </w:rPr>
              <w:t>ae</w:t>
            </w:r>
            <w:proofErr w:type="spellEnd"/>
            <w:r w:rsidRPr="00EF5876">
              <w:rPr>
                <w:rFonts w:asciiTheme="minorHAnsi" w:hAnsiTheme="minorHAnsi" w:cs="Times New Roman"/>
                <w:szCs w:val="20"/>
              </w:rPr>
              <w:t>) ak ide o stredne veľké spaľovacie zariadenie, oznámiť bezodkladne orgánu ochrany ovzdušia prerušenie dodávky paliva s nízkym obsahom síry z dôvodu vážneho nedostatku paliva alebo prerušenie dodávky plynu  a prevádzkovať toto zariadenie v súlade s ustanovenou lehotou,</w:t>
            </w:r>
          </w:p>
          <w:p w:rsidR="009171C4" w:rsidRPr="00EF5876" w:rsidRDefault="009171C4" w:rsidP="009171C4">
            <w:pPr>
              <w:pStyle w:val="Odsekzoznamu"/>
              <w:keepNext w:val="0"/>
              <w:spacing w:before="0" w:after="0" w:line="276" w:lineRule="auto"/>
              <w:ind w:left="284"/>
              <w:rPr>
                <w:rFonts w:ascii="Calibri" w:hAnsi="Calibri" w:cs="Calibri"/>
                <w:b/>
                <w:bCs/>
                <w:sz w:val="22"/>
                <w:szCs w:val="22"/>
              </w:rPr>
            </w:pPr>
            <w:r w:rsidRPr="00EF5876">
              <w:rPr>
                <w:rFonts w:ascii="Calibri" w:hAnsi="Calibri" w:cs="Calibri"/>
                <w:b/>
                <w:bCs/>
                <w:sz w:val="22"/>
                <w:szCs w:val="22"/>
              </w:rPr>
              <w:t>9.  STRED</w:t>
            </w:r>
            <w:r>
              <w:rPr>
                <w:rFonts w:ascii="Calibri" w:hAnsi="Calibri" w:cs="Calibri"/>
                <w:b/>
                <w:bCs/>
                <w:sz w:val="22"/>
                <w:szCs w:val="22"/>
              </w:rPr>
              <w:t>NE VEĽKÉ SPAĽOVACIE ZARIADENIA</w:t>
            </w:r>
          </w:p>
          <w:tbl>
            <w:tblPr>
              <w:tblW w:w="90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7"/>
              <w:gridCol w:w="4647"/>
              <w:gridCol w:w="1950"/>
            </w:tblGrid>
            <w:tr w:rsidR="009171C4" w:rsidRPr="00EF5876" w:rsidTr="009171C4">
              <w:trPr>
                <w:trHeight w:val="335"/>
              </w:trPr>
              <w:tc>
                <w:tcPr>
                  <w:tcW w:w="2407" w:type="dxa"/>
                  <w:tcBorders>
                    <w:top w:val="single" w:sz="4" w:space="0" w:color="auto"/>
                    <w:left w:val="single" w:sz="4" w:space="0" w:color="auto"/>
                    <w:bottom w:val="single" w:sz="4" w:space="0" w:color="auto"/>
                    <w:right w:val="single" w:sz="4" w:space="0" w:color="auto"/>
                  </w:tcBorders>
                </w:tcPr>
                <w:p w:rsidR="009171C4" w:rsidRPr="00EF5876" w:rsidRDefault="009171C4" w:rsidP="009171C4">
                  <w:pPr>
                    <w:pStyle w:val="Odsekzoznamu"/>
                    <w:keepNext w:val="0"/>
                    <w:spacing w:before="0" w:after="0" w:line="276" w:lineRule="auto"/>
                    <w:ind w:left="0"/>
                    <w:jc w:val="left"/>
                    <w:rPr>
                      <w:rFonts w:ascii="Calibri" w:hAnsi="Calibri" w:cs="Calibri"/>
                      <w:b/>
                      <w:bCs/>
                      <w:sz w:val="22"/>
                      <w:szCs w:val="22"/>
                    </w:rPr>
                  </w:pPr>
                  <w:r w:rsidRPr="00EF5876">
                    <w:rPr>
                      <w:rFonts w:ascii="Calibri" w:hAnsi="Calibri" w:cs="Calibri"/>
                      <w:b/>
                      <w:bCs/>
                      <w:sz w:val="22"/>
                      <w:szCs w:val="22"/>
                    </w:rPr>
                    <w:t>Predmet správy, oznámenia</w:t>
                  </w:r>
                </w:p>
              </w:tc>
              <w:tc>
                <w:tcPr>
                  <w:tcW w:w="4647" w:type="dxa"/>
                  <w:tcBorders>
                    <w:top w:val="single" w:sz="4" w:space="0" w:color="auto"/>
                    <w:left w:val="single" w:sz="4" w:space="0" w:color="auto"/>
                    <w:bottom w:val="single" w:sz="4" w:space="0" w:color="auto"/>
                    <w:right w:val="single" w:sz="4" w:space="0" w:color="auto"/>
                  </w:tcBorders>
                </w:tcPr>
                <w:p w:rsidR="009171C4" w:rsidRPr="00EF5876" w:rsidRDefault="009171C4" w:rsidP="009171C4">
                  <w:pPr>
                    <w:pStyle w:val="Odsekzoznamu"/>
                    <w:keepNext w:val="0"/>
                    <w:spacing w:before="0" w:after="0" w:line="276" w:lineRule="auto"/>
                    <w:ind w:left="0"/>
                    <w:jc w:val="left"/>
                    <w:rPr>
                      <w:rFonts w:ascii="Calibri" w:hAnsi="Calibri" w:cs="Calibri"/>
                      <w:b/>
                      <w:bCs/>
                      <w:sz w:val="22"/>
                      <w:szCs w:val="22"/>
                    </w:rPr>
                  </w:pPr>
                  <w:r w:rsidRPr="00EF5876">
                    <w:rPr>
                      <w:rFonts w:ascii="Calibri" w:hAnsi="Calibri" w:cs="Calibri"/>
                      <w:b/>
                      <w:bCs/>
                      <w:sz w:val="22"/>
                      <w:szCs w:val="22"/>
                    </w:rPr>
                    <w:t>Údaje, ktoré treba oznamovať</w:t>
                  </w:r>
                </w:p>
              </w:tc>
              <w:tc>
                <w:tcPr>
                  <w:tcW w:w="1950" w:type="dxa"/>
                  <w:tcBorders>
                    <w:top w:val="single" w:sz="4" w:space="0" w:color="auto"/>
                    <w:left w:val="single" w:sz="4" w:space="0" w:color="auto"/>
                    <w:bottom w:val="single" w:sz="4" w:space="0" w:color="auto"/>
                    <w:right w:val="single" w:sz="4" w:space="0" w:color="auto"/>
                  </w:tcBorders>
                </w:tcPr>
                <w:p w:rsidR="009171C4" w:rsidRPr="00EF5876" w:rsidRDefault="009171C4" w:rsidP="009171C4">
                  <w:pPr>
                    <w:pStyle w:val="Odsekzoznamu"/>
                    <w:keepNext w:val="0"/>
                    <w:spacing w:before="0" w:after="200" w:line="276" w:lineRule="auto"/>
                    <w:ind w:left="0"/>
                    <w:rPr>
                      <w:rFonts w:ascii="Calibri" w:hAnsi="Calibri" w:cs="Calibri"/>
                      <w:b/>
                      <w:bCs/>
                      <w:sz w:val="22"/>
                      <w:szCs w:val="22"/>
                    </w:rPr>
                  </w:pPr>
                  <w:r w:rsidRPr="00EF5876">
                    <w:rPr>
                      <w:rFonts w:ascii="Calibri" w:hAnsi="Calibri" w:cs="Calibri"/>
                      <w:b/>
                      <w:bCs/>
                      <w:sz w:val="22"/>
                      <w:szCs w:val="22"/>
                    </w:rPr>
                    <w:t>Lehoty, termíny</w:t>
                  </w:r>
                </w:p>
              </w:tc>
            </w:tr>
            <w:tr w:rsidR="009171C4" w:rsidRPr="00EF5876" w:rsidTr="009171C4">
              <w:tc>
                <w:tcPr>
                  <w:tcW w:w="2407" w:type="dxa"/>
                  <w:vMerge w:val="restart"/>
                  <w:tcBorders>
                    <w:top w:val="single" w:sz="4" w:space="0" w:color="auto"/>
                    <w:left w:val="single" w:sz="4" w:space="0" w:color="auto"/>
                    <w:bottom w:val="single" w:sz="4" w:space="0" w:color="auto"/>
                    <w:right w:val="single" w:sz="4" w:space="0" w:color="auto"/>
                  </w:tcBorders>
                  <w:vAlign w:val="center"/>
                </w:tcPr>
                <w:p w:rsidR="009171C4" w:rsidRPr="00EF5876" w:rsidRDefault="009171C4" w:rsidP="009171C4">
                  <w:pPr>
                    <w:pStyle w:val="Odsekzoznamu"/>
                    <w:keepNext w:val="0"/>
                    <w:spacing w:before="0" w:after="0" w:line="276" w:lineRule="auto"/>
                    <w:ind w:left="0"/>
                    <w:jc w:val="left"/>
                    <w:rPr>
                      <w:rFonts w:ascii="Calibri" w:hAnsi="Calibri" w:cs="Calibri"/>
                      <w:sz w:val="22"/>
                      <w:szCs w:val="22"/>
                    </w:rPr>
                  </w:pPr>
                  <w:r w:rsidRPr="00EF5876">
                    <w:rPr>
                      <w:rFonts w:ascii="Calibri" w:hAnsi="Calibri" w:cs="Calibri"/>
                      <w:sz w:val="22"/>
                      <w:szCs w:val="22"/>
                    </w:rPr>
                    <w:t xml:space="preserve">Oznámenie o uplatnení výnimky z emisných limitov </w:t>
                  </w:r>
                </w:p>
              </w:tc>
              <w:tc>
                <w:tcPr>
                  <w:tcW w:w="4647" w:type="dxa"/>
                  <w:tcBorders>
                    <w:top w:val="single" w:sz="4" w:space="0" w:color="auto"/>
                    <w:left w:val="single" w:sz="4" w:space="0" w:color="auto"/>
                    <w:bottom w:val="single" w:sz="4" w:space="0" w:color="auto"/>
                    <w:right w:val="single" w:sz="4" w:space="0" w:color="auto"/>
                  </w:tcBorders>
                  <w:vAlign w:val="center"/>
                </w:tcPr>
                <w:p w:rsidR="009171C4" w:rsidRPr="00EF5876" w:rsidRDefault="009171C4" w:rsidP="009171C4">
                  <w:pPr>
                    <w:pStyle w:val="Odsekzoznamu"/>
                    <w:keepNext w:val="0"/>
                    <w:spacing w:before="0" w:after="0" w:line="276" w:lineRule="auto"/>
                    <w:ind w:left="0"/>
                    <w:jc w:val="left"/>
                    <w:rPr>
                      <w:rFonts w:ascii="Calibri" w:hAnsi="Calibri" w:cs="Calibri"/>
                      <w:sz w:val="22"/>
                      <w:szCs w:val="22"/>
                    </w:rPr>
                  </w:pPr>
                  <w:r w:rsidRPr="00EF5876">
                    <w:rPr>
                      <w:rFonts w:ascii="Calibri" w:hAnsi="Calibri" w:cs="Calibri"/>
                      <w:sz w:val="22"/>
                      <w:szCs w:val="22"/>
                    </w:rPr>
                    <w:t xml:space="preserve">Pre nedostatok </w:t>
                  </w:r>
                  <w:proofErr w:type="spellStart"/>
                  <w:r w:rsidRPr="00EF5876">
                    <w:rPr>
                      <w:rFonts w:ascii="Calibri" w:hAnsi="Calibri" w:cs="Calibri"/>
                      <w:sz w:val="22"/>
                      <w:szCs w:val="22"/>
                    </w:rPr>
                    <w:t>nízkosírneho</w:t>
                  </w:r>
                  <w:proofErr w:type="spellEnd"/>
                  <w:r w:rsidRPr="00EF5876">
                    <w:rPr>
                      <w:rFonts w:ascii="Calibri" w:hAnsi="Calibri" w:cs="Calibri"/>
                      <w:sz w:val="22"/>
                      <w:szCs w:val="22"/>
                    </w:rPr>
                    <w:t xml:space="preserve"> paliva</w:t>
                  </w:r>
                </w:p>
              </w:tc>
              <w:tc>
                <w:tcPr>
                  <w:tcW w:w="1950" w:type="dxa"/>
                  <w:tcBorders>
                    <w:top w:val="single" w:sz="4" w:space="0" w:color="auto"/>
                    <w:left w:val="single" w:sz="4" w:space="0" w:color="auto"/>
                    <w:bottom w:val="single" w:sz="4" w:space="0" w:color="auto"/>
                    <w:right w:val="single" w:sz="4" w:space="0" w:color="auto"/>
                  </w:tcBorders>
                  <w:vAlign w:val="center"/>
                </w:tcPr>
                <w:p w:rsidR="009171C4" w:rsidRPr="00EF5876" w:rsidRDefault="009171C4" w:rsidP="009171C4">
                  <w:pPr>
                    <w:pStyle w:val="Odsekzoznamu"/>
                    <w:keepNext w:val="0"/>
                    <w:spacing w:before="0" w:after="0" w:line="276" w:lineRule="auto"/>
                    <w:ind w:left="0"/>
                    <w:jc w:val="left"/>
                    <w:rPr>
                      <w:rFonts w:ascii="Calibri" w:hAnsi="Calibri" w:cs="Calibri"/>
                      <w:sz w:val="22"/>
                      <w:szCs w:val="22"/>
                    </w:rPr>
                  </w:pPr>
                  <w:r w:rsidRPr="00EF5876">
                    <w:rPr>
                      <w:rFonts w:ascii="Calibri" w:hAnsi="Calibri" w:cs="Calibri"/>
                      <w:sz w:val="22"/>
                      <w:szCs w:val="22"/>
                    </w:rPr>
                    <w:t>Do 1 mesiaca</w:t>
                  </w:r>
                </w:p>
              </w:tc>
            </w:tr>
            <w:tr w:rsidR="009171C4" w:rsidRPr="00EF5876" w:rsidTr="009171C4">
              <w:tc>
                <w:tcPr>
                  <w:tcW w:w="2407" w:type="dxa"/>
                  <w:vMerge/>
                  <w:tcBorders>
                    <w:top w:val="single" w:sz="4" w:space="0" w:color="auto"/>
                    <w:left w:val="single" w:sz="4" w:space="0" w:color="auto"/>
                    <w:bottom w:val="single" w:sz="4" w:space="0" w:color="auto"/>
                    <w:right w:val="single" w:sz="4" w:space="0" w:color="auto"/>
                  </w:tcBorders>
                  <w:vAlign w:val="center"/>
                </w:tcPr>
                <w:p w:rsidR="009171C4" w:rsidRPr="00EF5876" w:rsidRDefault="009171C4" w:rsidP="009171C4">
                  <w:pPr>
                    <w:pStyle w:val="Odsekzoznamu"/>
                    <w:keepNext w:val="0"/>
                    <w:spacing w:before="0" w:after="0" w:line="276" w:lineRule="auto"/>
                    <w:ind w:left="0"/>
                    <w:jc w:val="left"/>
                    <w:rPr>
                      <w:rFonts w:ascii="Calibri" w:hAnsi="Calibri" w:cs="Calibri"/>
                      <w:sz w:val="22"/>
                      <w:szCs w:val="22"/>
                    </w:rPr>
                  </w:pPr>
                </w:p>
              </w:tc>
              <w:tc>
                <w:tcPr>
                  <w:tcW w:w="4647" w:type="dxa"/>
                  <w:tcBorders>
                    <w:top w:val="single" w:sz="4" w:space="0" w:color="auto"/>
                    <w:left w:val="single" w:sz="4" w:space="0" w:color="auto"/>
                    <w:bottom w:val="single" w:sz="4" w:space="0" w:color="auto"/>
                    <w:right w:val="single" w:sz="4" w:space="0" w:color="auto"/>
                  </w:tcBorders>
                  <w:vAlign w:val="center"/>
                </w:tcPr>
                <w:p w:rsidR="009171C4" w:rsidRPr="00EF5876" w:rsidRDefault="009171C4" w:rsidP="009171C4">
                  <w:pPr>
                    <w:pStyle w:val="Odsekzoznamu"/>
                    <w:keepNext w:val="0"/>
                    <w:spacing w:before="0" w:after="0" w:line="276" w:lineRule="auto"/>
                    <w:ind w:left="0"/>
                    <w:jc w:val="left"/>
                    <w:rPr>
                      <w:rFonts w:ascii="Calibri" w:hAnsi="Calibri" w:cs="Calibri"/>
                      <w:sz w:val="22"/>
                      <w:szCs w:val="22"/>
                    </w:rPr>
                  </w:pPr>
                  <w:r w:rsidRPr="00EF5876">
                    <w:rPr>
                      <w:rFonts w:ascii="Calibri" w:hAnsi="Calibri" w:cs="Calibri"/>
                      <w:sz w:val="22"/>
                      <w:szCs w:val="22"/>
                    </w:rPr>
                    <w:t xml:space="preserve">Pri prerušení dodávky plynu, ak ide o zariadenie, ktoré používa v riadnej prevádzke len plynné palivá. </w:t>
                  </w:r>
                </w:p>
              </w:tc>
              <w:tc>
                <w:tcPr>
                  <w:tcW w:w="1950" w:type="dxa"/>
                  <w:tcBorders>
                    <w:top w:val="single" w:sz="4" w:space="0" w:color="auto"/>
                    <w:left w:val="single" w:sz="4" w:space="0" w:color="auto"/>
                    <w:bottom w:val="single" w:sz="4" w:space="0" w:color="auto"/>
                    <w:right w:val="single" w:sz="4" w:space="0" w:color="auto"/>
                  </w:tcBorders>
                  <w:vAlign w:val="center"/>
                </w:tcPr>
                <w:p w:rsidR="009171C4" w:rsidRPr="00EF5876" w:rsidRDefault="009171C4" w:rsidP="009171C4">
                  <w:pPr>
                    <w:pStyle w:val="Odsekzoznamu"/>
                    <w:keepNext w:val="0"/>
                    <w:spacing w:before="0" w:after="200" w:line="276" w:lineRule="auto"/>
                    <w:ind w:left="0"/>
                    <w:jc w:val="left"/>
                    <w:rPr>
                      <w:rFonts w:ascii="Calibri" w:hAnsi="Calibri" w:cs="Calibri"/>
                      <w:sz w:val="22"/>
                      <w:szCs w:val="22"/>
                    </w:rPr>
                  </w:pPr>
                  <w:r w:rsidRPr="00EF5876">
                    <w:rPr>
                      <w:rFonts w:ascii="Calibri" w:hAnsi="Calibri" w:cs="Calibri"/>
                      <w:sz w:val="22"/>
                      <w:szCs w:val="22"/>
                    </w:rPr>
                    <w:t>Do 1 mesiaca</w:t>
                  </w:r>
                </w:p>
              </w:tc>
            </w:tr>
          </w:tbl>
          <w:p w:rsidR="00B20392" w:rsidRPr="00EF5876" w:rsidRDefault="00B20392" w:rsidP="009545A5">
            <w:pPr>
              <w:spacing w:after="0"/>
              <w:contextualSpacing/>
            </w:pP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tcBorders>
            <w:vAlign w:val="center"/>
          </w:tcPr>
          <w:p w:rsidR="00B20392" w:rsidRPr="00603CC4" w:rsidRDefault="00B20392" w:rsidP="00603CC4">
            <w:pPr>
              <w:spacing w:after="0" w:line="240" w:lineRule="auto"/>
            </w:pPr>
            <w:r w:rsidRPr="00603CC4">
              <w:lastRenderedPageBreak/>
              <w:t>O:13</w:t>
            </w:r>
          </w:p>
        </w:tc>
        <w:tc>
          <w:tcPr>
            <w:tcW w:w="5771" w:type="dxa"/>
            <w:vAlign w:val="center"/>
          </w:tcPr>
          <w:p w:rsidR="00B20392" w:rsidRPr="00603CC4" w:rsidRDefault="00B20392" w:rsidP="00603CC4">
            <w:pPr>
              <w:spacing w:before="120" w:after="0" w:line="240" w:lineRule="auto"/>
              <w:jc w:val="both"/>
              <w:rPr>
                <w:color w:val="000000"/>
                <w:lang w:eastAsia="sk-SK"/>
              </w:rPr>
            </w:pPr>
            <w:r w:rsidRPr="00603CC4">
              <w:rPr>
                <w:color w:val="000000"/>
                <w:lang w:eastAsia="sk-SK"/>
              </w:rPr>
              <w:t>13. Keď sa v stredne veľkom spaľovacom zariadení používajú súčasne dve alebo viac palív, emisný limit sa pre každú znečisťujúcu látku vypočíta takto:</w:t>
            </w:r>
          </w:p>
          <w:tbl>
            <w:tblPr>
              <w:tblW w:w="5000" w:type="pct"/>
              <w:tblCellSpacing w:w="0" w:type="dxa"/>
              <w:tblLayout w:type="fixed"/>
              <w:tblCellMar>
                <w:left w:w="0" w:type="dxa"/>
                <w:right w:w="0" w:type="dxa"/>
              </w:tblCellMar>
              <w:tblLook w:val="00A0" w:firstRow="1" w:lastRow="0" w:firstColumn="1" w:lastColumn="0" w:noHBand="0" w:noVBand="0"/>
            </w:tblPr>
            <w:tblGrid>
              <w:gridCol w:w="144"/>
              <w:gridCol w:w="5411"/>
            </w:tblGrid>
            <w:tr w:rsidR="00B20392" w:rsidRPr="00603CC4">
              <w:trPr>
                <w:tblCellSpacing w:w="0" w:type="dxa"/>
              </w:trPr>
              <w:tc>
                <w:tcPr>
                  <w:tcW w:w="173" w:type="dxa"/>
                </w:tcPr>
                <w:p w:rsidR="00B20392" w:rsidRPr="00603CC4" w:rsidRDefault="00B20392" w:rsidP="00EE10DB">
                  <w:pPr>
                    <w:spacing w:before="120" w:after="0" w:line="240" w:lineRule="auto"/>
                    <w:jc w:val="both"/>
                    <w:rPr>
                      <w:color w:val="000000"/>
                      <w:lang w:eastAsia="sk-SK"/>
                    </w:rPr>
                  </w:pPr>
                  <w:r w:rsidRPr="00603CC4">
                    <w:rPr>
                      <w:color w:val="000000"/>
                      <w:lang w:eastAsia="sk-SK"/>
                    </w:rPr>
                    <w:t>a</w:t>
                  </w:r>
                </w:p>
              </w:tc>
              <w:tc>
                <w:tcPr>
                  <w:tcW w:w="6697" w:type="dxa"/>
                </w:tcPr>
                <w:p w:rsidR="00B20392" w:rsidRPr="00603CC4" w:rsidRDefault="00EE10DB" w:rsidP="00721F88">
                  <w:pPr>
                    <w:spacing w:before="120" w:after="0" w:line="240" w:lineRule="auto"/>
                    <w:jc w:val="both"/>
                    <w:rPr>
                      <w:color w:val="000000"/>
                      <w:lang w:eastAsia="sk-SK"/>
                    </w:rPr>
                  </w:pPr>
                  <w:r>
                    <w:rPr>
                      <w:color w:val="000000"/>
                      <w:lang w:eastAsia="sk-SK"/>
                    </w:rPr>
                    <w:t>)</w:t>
                  </w:r>
                  <w:r w:rsidR="00B20392" w:rsidRPr="00603CC4">
                    <w:rPr>
                      <w:color w:val="000000"/>
                      <w:lang w:eastAsia="sk-SK"/>
                    </w:rPr>
                    <w:t>každému jednotlivému pal</w:t>
                  </w:r>
                  <w:r>
                    <w:rPr>
                      <w:color w:val="000000"/>
                      <w:lang w:eastAsia="sk-SK"/>
                    </w:rPr>
                    <w:t xml:space="preserve">ivu sa priradí príslušný emisný </w:t>
                  </w:r>
                  <w:r w:rsidR="00B20392" w:rsidRPr="00603CC4">
                    <w:rPr>
                      <w:color w:val="000000"/>
                      <w:lang w:eastAsia="sk-SK"/>
                    </w:rPr>
                    <w:t>limit, ako je stanovený v prílohe II;</w:t>
                  </w:r>
                </w:p>
              </w:tc>
            </w:tr>
          </w:tbl>
          <w:p w:rsidR="00B20392" w:rsidRPr="00603CC4" w:rsidRDefault="00B20392" w:rsidP="00603CC4">
            <w:pPr>
              <w:spacing w:after="0" w:line="240" w:lineRule="auto"/>
              <w:rPr>
                <w:vanish/>
                <w:color w:val="000000"/>
                <w:lang w:eastAsia="sk-SK"/>
              </w:rPr>
            </w:pPr>
          </w:p>
          <w:tbl>
            <w:tblPr>
              <w:tblW w:w="5000" w:type="pct"/>
              <w:tblCellSpacing w:w="0" w:type="dxa"/>
              <w:tblLayout w:type="fixed"/>
              <w:tblCellMar>
                <w:left w:w="0" w:type="dxa"/>
                <w:right w:w="0" w:type="dxa"/>
              </w:tblCellMar>
              <w:tblLook w:val="00A0" w:firstRow="1" w:lastRow="0" w:firstColumn="1" w:lastColumn="0" w:noHBand="0" w:noVBand="0"/>
            </w:tblPr>
            <w:tblGrid>
              <w:gridCol w:w="152"/>
              <w:gridCol w:w="5403"/>
            </w:tblGrid>
            <w:tr w:rsidR="00B20392" w:rsidRPr="00603CC4">
              <w:trPr>
                <w:tblCellSpacing w:w="0" w:type="dxa"/>
              </w:trPr>
              <w:tc>
                <w:tcPr>
                  <w:tcW w:w="183" w:type="dxa"/>
                </w:tcPr>
                <w:p w:rsidR="00B20392" w:rsidRPr="00603CC4" w:rsidRDefault="00B20392" w:rsidP="00EE10DB">
                  <w:pPr>
                    <w:spacing w:before="120" w:after="0" w:line="240" w:lineRule="auto"/>
                    <w:jc w:val="both"/>
                    <w:rPr>
                      <w:color w:val="000000"/>
                      <w:lang w:eastAsia="sk-SK"/>
                    </w:rPr>
                  </w:pPr>
                  <w:r w:rsidRPr="00603CC4">
                    <w:rPr>
                      <w:color w:val="000000"/>
                      <w:lang w:eastAsia="sk-SK"/>
                    </w:rPr>
                    <w:t>b</w:t>
                  </w:r>
                </w:p>
              </w:tc>
              <w:tc>
                <w:tcPr>
                  <w:tcW w:w="6687" w:type="dxa"/>
                </w:tcPr>
                <w:p w:rsidR="00043B7A" w:rsidRDefault="00EE10DB" w:rsidP="00043B7A">
                  <w:pPr>
                    <w:spacing w:before="120" w:after="0" w:line="240" w:lineRule="auto"/>
                    <w:jc w:val="both"/>
                    <w:rPr>
                      <w:color w:val="000000"/>
                      <w:lang w:eastAsia="sk-SK"/>
                    </w:rPr>
                  </w:pPr>
                  <w:r>
                    <w:rPr>
                      <w:color w:val="000000"/>
                      <w:lang w:eastAsia="sk-SK"/>
                    </w:rPr>
                    <w:t>)</w:t>
                  </w:r>
                  <w:r w:rsidR="00B20392" w:rsidRPr="00603CC4">
                    <w:rPr>
                      <w:color w:val="000000"/>
                      <w:lang w:eastAsia="sk-SK"/>
                    </w:rPr>
                    <w:t xml:space="preserve">určia sa vážené emisné limity jednotlivých palív, ktoré sa získajú vynásobením jednotlivých emisných limitov uvedených v písmene a) tepelným príkonom dodaným každým palivom a následným vydelením výsledku súčtom tepelných </w:t>
                  </w:r>
                </w:p>
                <w:p w:rsidR="00B20392" w:rsidRPr="00603CC4" w:rsidRDefault="00B20392" w:rsidP="00043B7A">
                  <w:pPr>
                    <w:spacing w:before="120" w:after="0" w:line="240" w:lineRule="auto"/>
                    <w:jc w:val="both"/>
                    <w:rPr>
                      <w:color w:val="000000"/>
                      <w:lang w:eastAsia="sk-SK"/>
                    </w:rPr>
                  </w:pPr>
                  <w:r w:rsidRPr="00603CC4">
                    <w:rPr>
                      <w:color w:val="000000"/>
                      <w:lang w:eastAsia="sk-SK"/>
                    </w:rPr>
                    <w:t>dodaných všetkými palivami, a</w:t>
                  </w:r>
                </w:p>
              </w:tc>
            </w:tr>
          </w:tbl>
          <w:p w:rsidR="00B20392" w:rsidRPr="00603CC4" w:rsidRDefault="00B20392" w:rsidP="00603CC4">
            <w:pPr>
              <w:spacing w:after="0" w:line="240" w:lineRule="auto"/>
              <w:rPr>
                <w:vanish/>
                <w:color w:val="000000"/>
                <w:lang w:eastAsia="sk-SK"/>
              </w:rPr>
            </w:pPr>
          </w:p>
          <w:tbl>
            <w:tblPr>
              <w:tblW w:w="5000" w:type="pct"/>
              <w:tblCellSpacing w:w="0" w:type="dxa"/>
              <w:tblLayout w:type="fixed"/>
              <w:tblCellMar>
                <w:left w:w="0" w:type="dxa"/>
                <w:right w:w="0" w:type="dxa"/>
              </w:tblCellMar>
              <w:tblLook w:val="00A0" w:firstRow="1" w:lastRow="0" w:firstColumn="1" w:lastColumn="0" w:noHBand="0" w:noVBand="0"/>
            </w:tblPr>
            <w:tblGrid>
              <w:gridCol w:w="160"/>
              <w:gridCol w:w="5395"/>
            </w:tblGrid>
            <w:tr w:rsidR="00B20392" w:rsidRPr="00603CC4">
              <w:trPr>
                <w:tblCellSpacing w:w="0" w:type="dxa"/>
              </w:trPr>
              <w:tc>
                <w:tcPr>
                  <w:tcW w:w="194" w:type="dxa"/>
                </w:tcPr>
                <w:p w:rsidR="00B20392" w:rsidRPr="00603CC4" w:rsidRDefault="00B20392" w:rsidP="00721F88">
                  <w:pPr>
                    <w:spacing w:before="120" w:after="0" w:line="240" w:lineRule="auto"/>
                    <w:jc w:val="both"/>
                    <w:rPr>
                      <w:color w:val="000000"/>
                      <w:lang w:eastAsia="sk-SK"/>
                    </w:rPr>
                  </w:pPr>
                  <w:r w:rsidRPr="00603CC4">
                    <w:rPr>
                      <w:color w:val="000000"/>
                      <w:lang w:eastAsia="sk-SK"/>
                    </w:rPr>
                    <w:t>c)</w:t>
                  </w:r>
                </w:p>
              </w:tc>
              <w:tc>
                <w:tcPr>
                  <w:tcW w:w="6676" w:type="dxa"/>
                </w:tcPr>
                <w:p w:rsidR="00B20392" w:rsidRPr="00603CC4" w:rsidRDefault="00B20392" w:rsidP="00721F88">
                  <w:pPr>
                    <w:spacing w:before="120" w:after="0" w:line="240" w:lineRule="auto"/>
                    <w:jc w:val="both"/>
                    <w:rPr>
                      <w:color w:val="000000"/>
                      <w:lang w:eastAsia="sk-SK"/>
                    </w:rPr>
                  </w:pPr>
                  <w:r w:rsidRPr="00603CC4">
                    <w:rPr>
                      <w:color w:val="000000"/>
                      <w:lang w:eastAsia="sk-SK"/>
                    </w:rPr>
                    <w:t>vytvorí sa súhrn vážených emisných limitov jednotlivých palív.</w:t>
                  </w:r>
                </w:p>
              </w:tc>
            </w:tr>
          </w:tbl>
          <w:p w:rsidR="00B20392" w:rsidRPr="00603CC4" w:rsidRDefault="00B20392" w:rsidP="00603CC4">
            <w:pPr>
              <w:spacing w:before="120" w:after="0" w:line="240" w:lineRule="auto"/>
              <w:jc w:val="both"/>
              <w:rPr>
                <w:color w:val="000000"/>
              </w:rPr>
            </w:pPr>
          </w:p>
        </w:tc>
        <w:tc>
          <w:tcPr>
            <w:tcW w:w="397" w:type="dxa"/>
            <w:vAlign w:val="center"/>
          </w:tcPr>
          <w:p w:rsidR="00B20392" w:rsidRPr="00603CC4" w:rsidRDefault="00670CE1" w:rsidP="00603CC4">
            <w:pPr>
              <w:spacing w:after="0" w:line="240" w:lineRule="auto"/>
            </w:pPr>
            <w:r>
              <w:t>N</w:t>
            </w:r>
          </w:p>
        </w:tc>
        <w:tc>
          <w:tcPr>
            <w:tcW w:w="708" w:type="dxa"/>
            <w:vAlign w:val="center"/>
          </w:tcPr>
          <w:p w:rsidR="0021001A" w:rsidRPr="00603CC4" w:rsidRDefault="00043B7A" w:rsidP="007368A9">
            <w:pPr>
              <w:spacing w:after="0" w:line="240" w:lineRule="auto"/>
            </w:pPr>
            <w:r>
              <w:t>V</w:t>
            </w:r>
            <w:r w:rsidR="0021001A">
              <w:t>410</w:t>
            </w:r>
          </w:p>
        </w:tc>
        <w:tc>
          <w:tcPr>
            <w:tcW w:w="596" w:type="dxa"/>
            <w:vAlign w:val="center"/>
          </w:tcPr>
          <w:p w:rsidR="00B20392" w:rsidRPr="00603CC4" w:rsidRDefault="00043B7A" w:rsidP="00FA5311">
            <w:pPr>
              <w:spacing w:after="0" w:line="240" w:lineRule="auto"/>
              <w:ind w:right="-79"/>
            </w:pPr>
            <w:r>
              <w:t>Pr. 4 časť IV  B1</w:t>
            </w:r>
          </w:p>
        </w:tc>
        <w:tc>
          <w:tcPr>
            <w:tcW w:w="6396" w:type="dxa"/>
            <w:vAlign w:val="center"/>
          </w:tcPr>
          <w:p w:rsidR="00043B7A" w:rsidRPr="00EF5876" w:rsidRDefault="00043B7A" w:rsidP="009171C4">
            <w:pPr>
              <w:spacing w:after="0"/>
              <w:jc w:val="both"/>
              <w:rPr>
                <w:b/>
              </w:rPr>
            </w:pPr>
            <w:r w:rsidRPr="00EF5876">
              <w:t>1.3  Emisný limit vyjadrený ako modifikovaný vážený priemer sa určí takto:</w:t>
            </w:r>
          </w:p>
          <w:p w:rsidR="00043B7A" w:rsidRPr="00EF5876" w:rsidRDefault="00043B7A" w:rsidP="009171C4">
            <w:pPr>
              <w:spacing w:after="0"/>
              <w:ind w:left="709" w:hanging="283"/>
              <w:jc w:val="both"/>
            </w:pPr>
            <w:r w:rsidRPr="00EF5876">
              <w:t>1. pre každé palivo a časť zariadenia, ktorá uplatňuje rovnaký emisný limit pre danú znečisťujúcu látku sa určí emisný limit zodpovedajúci celkovému MTP,</w:t>
            </w:r>
          </w:p>
          <w:p w:rsidR="00043B7A" w:rsidRPr="00EF5876" w:rsidRDefault="00043B7A" w:rsidP="009171C4">
            <w:pPr>
              <w:spacing w:after="0"/>
              <w:ind w:left="709" w:hanging="283"/>
              <w:jc w:val="both"/>
            </w:pPr>
            <w:r w:rsidRPr="00EF5876">
              <w:t xml:space="preserve">2. vypočíta sa vážený podiel emisných limitov pre jednotlivé palivá a časti zariadenia; tieto hodnoty sa získajú vynásobením hodnoty emisného limitu platného pre uvedené palivo tepelným vstupom dodaným týmto palivom a tento súčin sa vydelí súčtom tepelných vstupov dodaných všetkými palivami; za časť zariadenia sa považujú všetky spaľovacie jednotky, na ktoré sa uplatňuje rovnaký emisný limit </w:t>
            </w:r>
            <w:proofErr w:type="spellStart"/>
            <w:r w:rsidRPr="00EF5876">
              <w:t>EL</w:t>
            </w:r>
            <w:r w:rsidRPr="00EF5876">
              <w:rPr>
                <w:vertAlign w:val="subscript"/>
              </w:rPr>
              <w:t>i</w:t>
            </w:r>
            <w:proofErr w:type="spellEnd"/>
            <w:r w:rsidRPr="00EF5876">
              <w:rPr>
                <w:vertAlign w:val="subscript"/>
              </w:rPr>
              <w:t>,</w:t>
            </w:r>
          </w:p>
          <w:p w:rsidR="00B20392" w:rsidRPr="00EF5876" w:rsidRDefault="00043B7A" w:rsidP="009171C4">
            <w:pPr>
              <w:spacing w:after="0"/>
              <w:ind w:left="709" w:hanging="283"/>
              <w:jc w:val="both"/>
            </w:pPr>
            <w:r w:rsidRPr="00EF5876">
              <w:t xml:space="preserve">3. modifikovaný vážený priemer emisných limitov sa určí ako súčet vážených podielov emisných limitov jednotlivých palív </w:t>
            </w:r>
            <w:r w:rsidRPr="00EF5876">
              <w:lastRenderedPageBreak/>
              <w:t>po prepočte na O</w:t>
            </w:r>
            <w:r w:rsidRPr="00EF5876">
              <w:rPr>
                <w:vertAlign w:val="subscript"/>
              </w:rPr>
              <w:t xml:space="preserve">2 </w:t>
            </w:r>
            <w:proofErr w:type="spellStart"/>
            <w:r w:rsidRPr="00EF5876">
              <w:rPr>
                <w:vertAlign w:val="subscript"/>
              </w:rPr>
              <w:t>ref</w:t>
            </w:r>
            <w:proofErr w:type="spellEnd"/>
            <w:r w:rsidR="00670CE1" w:rsidRPr="00EF5876">
              <w:t>.</w:t>
            </w:r>
          </w:p>
        </w:tc>
        <w:tc>
          <w:tcPr>
            <w:tcW w:w="508" w:type="dxa"/>
            <w:tcBorders>
              <w:top w:val="nil"/>
            </w:tcBorders>
            <w:vAlign w:val="center"/>
          </w:tcPr>
          <w:p w:rsidR="00B20392" w:rsidRPr="00603CC4" w:rsidRDefault="00B20392" w:rsidP="00603CC4">
            <w:pPr>
              <w:spacing w:after="0" w:line="240" w:lineRule="auto"/>
            </w:pPr>
          </w:p>
        </w:tc>
        <w:tc>
          <w:tcPr>
            <w:tcW w:w="508" w:type="dxa"/>
            <w:tcBorders>
              <w:top w:val="nil"/>
            </w:tcBorders>
            <w:vAlign w:val="center"/>
          </w:tcPr>
          <w:p w:rsidR="00B20392" w:rsidRPr="00603CC4" w:rsidRDefault="00B20392" w:rsidP="00603CC4">
            <w:pPr>
              <w:spacing w:after="0" w:line="240" w:lineRule="auto"/>
            </w:pPr>
          </w:p>
        </w:tc>
      </w:tr>
      <w:tr w:rsidR="00B20392" w:rsidRPr="00603CC4" w:rsidTr="00EF5876">
        <w:tc>
          <w:tcPr>
            <w:tcW w:w="709" w:type="dxa"/>
            <w:tcBorders>
              <w:bottom w:val="nil"/>
            </w:tcBorders>
            <w:vAlign w:val="center"/>
          </w:tcPr>
          <w:p w:rsidR="00B20392" w:rsidRPr="00603CC4" w:rsidRDefault="00B20392" w:rsidP="00603CC4">
            <w:pPr>
              <w:spacing w:after="0" w:line="240" w:lineRule="auto"/>
            </w:pPr>
            <w:r w:rsidRPr="00603CC4">
              <w:lastRenderedPageBreak/>
              <w:t>Č:7</w:t>
            </w:r>
          </w:p>
        </w:tc>
        <w:tc>
          <w:tcPr>
            <w:tcW w:w="5771" w:type="dxa"/>
            <w:vAlign w:val="center"/>
          </w:tcPr>
          <w:p w:rsidR="00B20392" w:rsidRPr="00603CC4" w:rsidRDefault="00B20392" w:rsidP="00603CC4">
            <w:pPr>
              <w:spacing w:before="120" w:after="0" w:line="240" w:lineRule="auto"/>
              <w:jc w:val="both"/>
              <w:rPr>
                <w:color w:val="000000"/>
              </w:rPr>
            </w:pPr>
            <w:r w:rsidRPr="00603CC4">
              <w:rPr>
                <w:color w:val="000000"/>
              </w:rPr>
              <w:t>Povinnosti prevádzkovateľa</w:t>
            </w:r>
          </w:p>
        </w:tc>
        <w:tc>
          <w:tcPr>
            <w:tcW w:w="397" w:type="dxa"/>
            <w:vAlign w:val="center"/>
          </w:tcPr>
          <w:p w:rsidR="00B20392" w:rsidRPr="00603CC4" w:rsidRDefault="00B20392" w:rsidP="00603CC4">
            <w:pPr>
              <w:spacing w:after="0" w:line="240" w:lineRule="auto"/>
            </w:pPr>
          </w:p>
        </w:tc>
        <w:tc>
          <w:tcPr>
            <w:tcW w:w="708" w:type="dxa"/>
            <w:vAlign w:val="center"/>
          </w:tcPr>
          <w:p w:rsidR="00B20392" w:rsidRPr="00603CC4" w:rsidRDefault="00B20392" w:rsidP="00603CC4">
            <w:pPr>
              <w:spacing w:after="0" w:line="240" w:lineRule="auto"/>
            </w:pPr>
          </w:p>
        </w:tc>
        <w:tc>
          <w:tcPr>
            <w:tcW w:w="596" w:type="dxa"/>
            <w:vAlign w:val="center"/>
          </w:tcPr>
          <w:p w:rsidR="00B20392" w:rsidRPr="00603CC4" w:rsidRDefault="00B20392" w:rsidP="00603CC4">
            <w:pPr>
              <w:spacing w:after="0" w:line="240" w:lineRule="auto"/>
            </w:pPr>
          </w:p>
        </w:tc>
        <w:tc>
          <w:tcPr>
            <w:tcW w:w="6396" w:type="dxa"/>
            <w:vAlign w:val="center"/>
          </w:tcPr>
          <w:p w:rsidR="00B20392" w:rsidRPr="00EF5876" w:rsidRDefault="00B20392" w:rsidP="00603CC4">
            <w:pPr>
              <w:spacing w:after="0" w:line="240" w:lineRule="auto"/>
            </w:pPr>
          </w:p>
        </w:tc>
        <w:tc>
          <w:tcPr>
            <w:tcW w:w="508" w:type="dxa"/>
            <w:tcBorders>
              <w:bottom w:val="nil"/>
            </w:tcBorders>
            <w:vAlign w:val="center"/>
          </w:tcPr>
          <w:p w:rsidR="00B20392" w:rsidRPr="00603CC4" w:rsidRDefault="00B20392" w:rsidP="00603CC4">
            <w:pPr>
              <w:spacing w:after="0" w:line="240" w:lineRule="auto"/>
            </w:pPr>
          </w:p>
        </w:tc>
        <w:tc>
          <w:tcPr>
            <w:tcW w:w="508" w:type="dxa"/>
            <w:tcBorders>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pPr>
            <w:r w:rsidRPr="00603CC4">
              <w:t>O:1</w:t>
            </w:r>
          </w:p>
        </w:tc>
        <w:tc>
          <w:tcPr>
            <w:tcW w:w="5771" w:type="dxa"/>
            <w:shd w:val="clear" w:color="auto" w:fill="F2F2F2"/>
            <w:vAlign w:val="center"/>
          </w:tcPr>
          <w:p w:rsidR="00B20392" w:rsidRPr="00603CC4" w:rsidRDefault="00B20392" w:rsidP="00603CC4">
            <w:pPr>
              <w:spacing w:before="120" w:after="0" w:line="240" w:lineRule="auto"/>
              <w:jc w:val="both"/>
              <w:rPr>
                <w:color w:val="000000"/>
              </w:rPr>
            </w:pPr>
            <w:r w:rsidRPr="00603CC4">
              <w:rPr>
                <w:color w:val="000000"/>
              </w:rPr>
              <w:t>1. Členské štáty zabezpečia, aby prevádzkovatelia vykonávali monitorovanie emisií prinajmenšom v súlade s časťou 1 prílohy III.</w:t>
            </w:r>
          </w:p>
        </w:tc>
        <w:tc>
          <w:tcPr>
            <w:tcW w:w="397" w:type="dxa"/>
            <w:shd w:val="clear" w:color="auto" w:fill="F2F2F2"/>
            <w:vAlign w:val="center"/>
          </w:tcPr>
          <w:p w:rsidR="00B20392" w:rsidRPr="00603CC4" w:rsidRDefault="00B20392" w:rsidP="00603CC4">
            <w:pPr>
              <w:spacing w:after="0" w:line="240" w:lineRule="auto"/>
            </w:pPr>
            <w:r>
              <w:t>N</w:t>
            </w:r>
          </w:p>
        </w:tc>
        <w:tc>
          <w:tcPr>
            <w:tcW w:w="708" w:type="dxa"/>
            <w:shd w:val="clear" w:color="auto" w:fill="F2F2F2"/>
            <w:vAlign w:val="center"/>
          </w:tcPr>
          <w:p w:rsidR="00B20392" w:rsidRPr="00603CC4" w:rsidRDefault="00B20392" w:rsidP="00603CC4">
            <w:pPr>
              <w:spacing w:after="0" w:line="240" w:lineRule="auto"/>
            </w:pPr>
            <w:r w:rsidRPr="00603CC4">
              <w:t>Z</w:t>
            </w:r>
          </w:p>
        </w:tc>
        <w:tc>
          <w:tcPr>
            <w:tcW w:w="596" w:type="dxa"/>
            <w:shd w:val="clear" w:color="auto" w:fill="F2F2F2"/>
            <w:vAlign w:val="center"/>
          </w:tcPr>
          <w:p w:rsidR="00B20392" w:rsidRPr="00603CC4" w:rsidRDefault="00B20392" w:rsidP="00FA5311">
            <w:pPr>
              <w:spacing w:after="0" w:line="240" w:lineRule="auto"/>
              <w:ind w:right="-79"/>
            </w:pPr>
            <w:r w:rsidRPr="00603CC4">
              <w:t>§</w:t>
            </w:r>
            <w:r w:rsidR="00B05545">
              <w:t>:</w:t>
            </w:r>
            <w:r w:rsidRPr="00603CC4">
              <w:t>15</w:t>
            </w:r>
          </w:p>
          <w:p w:rsidR="00B20392" w:rsidRPr="00603CC4" w:rsidRDefault="00B20392" w:rsidP="00603CC4">
            <w:pPr>
              <w:spacing w:after="0" w:line="240" w:lineRule="auto"/>
            </w:pPr>
            <w:r w:rsidRPr="00603CC4">
              <w:t>O</w:t>
            </w:r>
            <w:r w:rsidR="00B05545">
              <w:t>:</w:t>
            </w:r>
            <w:r w:rsidRPr="00603CC4">
              <w:t>1</w:t>
            </w:r>
          </w:p>
          <w:p w:rsidR="00B20392" w:rsidRPr="00603CC4" w:rsidRDefault="00B20392" w:rsidP="00603CC4">
            <w:pPr>
              <w:spacing w:after="0" w:line="240" w:lineRule="auto"/>
            </w:pPr>
            <w:r w:rsidRPr="00603CC4">
              <w:t>P</w:t>
            </w:r>
            <w:r w:rsidR="00B05545">
              <w:t>:</w:t>
            </w:r>
            <w:r w:rsidRPr="00603CC4">
              <w:t>q</w:t>
            </w:r>
          </w:p>
        </w:tc>
        <w:tc>
          <w:tcPr>
            <w:tcW w:w="6396" w:type="dxa"/>
            <w:shd w:val="clear" w:color="auto" w:fill="F2F2F2"/>
            <w:vAlign w:val="center"/>
          </w:tcPr>
          <w:p w:rsidR="00B20392" w:rsidRPr="00EF5876" w:rsidRDefault="00B20392" w:rsidP="00603CC4">
            <w:pPr>
              <w:spacing w:after="0" w:line="240" w:lineRule="auto"/>
            </w:pPr>
            <w:r w:rsidRPr="00EF5876">
              <w:t>(1) Prevádzkovatelia veľkých zdrojov a prevádzkovatelia stredných zdrojov sú povinní</w:t>
            </w:r>
          </w:p>
          <w:p w:rsidR="00B20392" w:rsidRPr="00EF5876" w:rsidRDefault="00B20392" w:rsidP="00603CC4">
            <w:pPr>
              <w:spacing w:after="0" w:line="240" w:lineRule="auto"/>
              <w:ind w:left="168" w:hanging="168"/>
            </w:pPr>
            <w:r w:rsidRPr="00EF5876">
              <w:t>q) </w:t>
            </w:r>
            <w:r w:rsidRPr="00EF5876">
              <w:rPr>
                <w:u w:val="single"/>
              </w:rPr>
              <w:t>monitorovať a preukazovať dodržiavanie emisných limitov</w:t>
            </w:r>
            <w:r w:rsidRPr="00EF5876">
              <w:t xml:space="preserve">, technických požiadaviek a podmienok prevádzkovania, ktoré sa vzťahujú na stacionárny zdroj, a plniť požiadavky na automatizované meracie systémy emisií a na monitorovanie kvality ovzdušia </w:t>
            </w:r>
            <w:r w:rsidRPr="00EF5876">
              <w:rPr>
                <w:u w:val="single"/>
              </w:rPr>
              <w:t>ustanoveným spôsobom, v ustanovených lehotách*</w:t>
            </w:r>
            <w:r w:rsidRPr="00EF5876">
              <w:t xml:space="preserve"> a v súlade s dokumentáciou a s podmienkami určenými okresným úradom podľa tohto zákona alebo s podmienkami určenými správnym orgánom v integrovanom povoľovaní;</w:t>
            </w:r>
          </w:p>
          <w:p w:rsidR="00B20392" w:rsidRPr="00EF5876" w:rsidRDefault="00B20392" w:rsidP="00603CC4">
            <w:pPr>
              <w:spacing w:after="0" w:line="240" w:lineRule="auto"/>
              <w:ind w:left="168" w:hanging="168"/>
            </w:pPr>
            <w:r w:rsidRPr="00EF5876">
              <w:t xml:space="preserve">* </w:t>
            </w:r>
            <w:r w:rsidRPr="00EF5876">
              <w:rPr>
                <w:i/>
                <w:iCs/>
              </w:rPr>
              <w:t>Povinnosť monitorovať je riešená jednotne</w:t>
            </w:r>
            <w:r w:rsidR="00BD232C" w:rsidRPr="00EF5876">
              <w:rPr>
                <w:i/>
                <w:iCs/>
              </w:rPr>
              <w:t xml:space="preserve"> </w:t>
            </w:r>
            <w:r w:rsidRPr="00EF5876">
              <w:rPr>
                <w:i/>
                <w:iCs/>
              </w:rPr>
              <w:t>pre všetky veľké zdroje a stredné zdroje, to zn. vrátane stredne veľkých spaľovacích zariadení. Súlad s „časťou 1 prílohy smernice“ je riešený v novelizovaných ustanoveniach vyhlášky č. 411/2012 Z. z. – viď. šedo vyznačené riadky</w:t>
            </w:r>
          </w:p>
        </w:tc>
        <w:tc>
          <w:tcPr>
            <w:tcW w:w="508" w:type="dxa"/>
            <w:tcBorders>
              <w:top w:val="nil"/>
              <w:bottom w:val="nil"/>
            </w:tcBorders>
            <w:vAlign w:val="center"/>
          </w:tcPr>
          <w:p w:rsidR="00B20392" w:rsidRPr="00603CC4" w:rsidRDefault="00B20392" w:rsidP="00603CC4">
            <w:pPr>
              <w:spacing w:after="0" w:line="240" w:lineRule="auto"/>
            </w:pPr>
            <w:r>
              <w:t>Ú</w:t>
            </w: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pPr>
            <w:r w:rsidRPr="00603CC4">
              <w:t>O:2</w:t>
            </w:r>
          </w:p>
        </w:tc>
        <w:tc>
          <w:tcPr>
            <w:tcW w:w="5771" w:type="dxa"/>
            <w:shd w:val="clear" w:color="auto" w:fill="F2F2F2"/>
            <w:noWrap/>
            <w:vAlign w:val="center"/>
          </w:tcPr>
          <w:p w:rsidR="00B20392" w:rsidRPr="00603CC4" w:rsidRDefault="00B20392" w:rsidP="00603CC4">
            <w:pPr>
              <w:spacing w:before="120" w:after="0" w:line="240" w:lineRule="auto"/>
              <w:jc w:val="both"/>
              <w:rPr>
                <w:color w:val="000000"/>
              </w:rPr>
            </w:pPr>
            <w:r w:rsidRPr="00603CC4">
              <w:rPr>
                <w:color w:val="000000"/>
              </w:rPr>
              <w:t>2. V prípade stredne veľkých spaľovacích zariadení používajúcich viaceré palivá sa monitorovanie emisií vykonáva pri spaľovaní paliva alebo zmesi palív, ktoré pravdepodobne dosiahne najvyššiu úroveň emisií a v čase, ktorý zodpovedá normálnym prevádzkovým podmienkam.</w:t>
            </w:r>
          </w:p>
        </w:tc>
        <w:tc>
          <w:tcPr>
            <w:tcW w:w="397" w:type="dxa"/>
            <w:shd w:val="clear" w:color="auto" w:fill="F2F2F2"/>
            <w:noWrap/>
            <w:vAlign w:val="center"/>
          </w:tcPr>
          <w:p w:rsidR="00B20392" w:rsidRPr="00603CC4" w:rsidRDefault="00B20392" w:rsidP="00603CC4">
            <w:pPr>
              <w:spacing w:after="0" w:line="240" w:lineRule="auto"/>
            </w:pPr>
            <w:r>
              <w:t>N</w:t>
            </w:r>
          </w:p>
        </w:tc>
        <w:tc>
          <w:tcPr>
            <w:tcW w:w="708" w:type="dxa"/>
            <w:shd w:val="clear" w:color="auto" w:fill="F2F2F2"/>
            <w:noWrap/>
            <w:vAlign w:val="center"/>
          </w:tcPr>
          <w:p w:rsidR="00B20392" w:rsidRPr="00603CC4" w:rsidRDefault="00B20392" w:rsidP="00603CC4">
            <w:pPr>
              <w:spacing w:after="0" w:line="240" w:lineRule="auto"/>
            </w:pPr>
            <w:r w:rsidRPr="00603CC4">
              <w:t>N411</w:t>
            </w:r>
          </w:p>
        </w:tc>
        <w:tc>
          <w:tcPr>
            <w:tcW w:w="596" w:type="dxa"/>
            <w:shd w:val="clear" w:color="auto" w:fill="F2F2F2"/>
            <w:noWrap/>
            <w:vAlign w:val="center"/>
          </w:tcPr>
          <w:p w:rsidR="00B20392" w:rsidRPr="00603CC4" w:rsidRDefault="00B20392" w:rsidP="00603CC4">
            <w:pPr>
              <w:spacing w:after="0" w:line="240" w:lineRule="auto"/>
            </w:pPr>
            <w:r w:rsidRPr="00603CC4">
              <w:t>§</w:t>
            </w:r>
            <w:r w:rsidR="00350F06">
              <w:t>:</w:t>
            </w:r>
            <w:r w:rsidRPr="00603CC4">
              <w:t>9</w:t>
            </w:r>
          </w:p>
          <w:p w:rsidR="00B20392" w:rsidRDefault="00B20392" w:rsidP="00FA5311">
            <w:pPr>
              <w:spacing w:after="0" w:line="240" w:lineRule="auto"/>
              <w:ind w:left="-108"/>
            </w:pPr>
            <w:r w:rsidRPr="00603CC4">
              <w:t>O</w:t>
            </w:r>
            <w:r w:rsidR="00350F06">
              <w:t>:</w:t>
            </w:r>
            <w:r w:rsidRPr="00603CC4">
              <w:t>12</w:t>
            </w:r>
          </w:p>
          <w:p w:rsidR="00B20392" w:rsidRPr="00603CC4" w:rsidRDefault="00B20392" w:rsidP="00603CC4">
            <w:pPr>
              <w:spacing w:after="0" w:line="240" w:lineRule="auto"/>
            </w:pPr>
            <w:r>
              <w:t>V</w:t>
            </w:r>
            <w:r w:rsidR="00350F06">
              <w:t>:</w:t>
            </w:r>
            <w:r>
              <w:t>3</w:t>
            </w:r>
          </w:p>
        </w:tc>
        <w:tc>
          <w:tcPr>
            <w:tcW w:w="6396" w:type="dxa"/>
            <w:shd w:val="clear" w:color="auto" w:fill="F2F2F2"/>
            <w:noWrap/>
            <w:vAlign w:val="center"/>
          </w:tcPr>
          <w:p w:rsidR="00B20392" w:rsidRPr="00EF5876" w:rsidRDefault="00B20392" w:rsidP="00603CC4">
            <w:pPr>
              <w:tabs>
                <w:tab w:val="left" w:pos="567"/>
              </w:tabs>
              <w:spacing w:before="120" w:after="0" w:line="22" w:lineRule="atLeast"/>
            </w:pPr>
            <w:r w:rsidRPr="00EF5876">
              <w:t xml:space="preserve">(12) Spaľovacie zariadenie musí byť počas každého diskontinuálneho merania prevádzkované v stabilnom režime a zaťažené reprezentatívne a rovnomerne.  Čas nábehu a čas odstavovania sa v tejto súvislosti do času diskontinuálneho merania nezapočítavajú. </w:t>
            </w:r>
            <w:r w:rsidRPr="00EF5876">
              <w:rPr>
                <w:u w:val="single"/>
              </w:rPr>
              <w:t>Ak ide o viacpalivové spaľovacie zariadenie, meranie sa vykonáva v čase spaľovania paliva alebo zmesi palív, pre ktoré sa pravdepodobne dosiahne najvyššia úroveň emisií a v čase, ktorý zodpovedá bežným prevádzkovým podmienkam.</w:t>
            </w:r>
            <w:r w:rsidRPr="00EF5876">
              <w:t xml:space="preserve">  Ďalšie podmienky diskontinuálneho merania podľa § 6 ods. 5 sa uplatňujú podľa svojho významu. </w:t>
            </w:r>
          </w:p>
        </w:tc>
        <w:tc>
          <w:tcPr>
            <w:tcW w:w="508" w:type="dxa"/>
            <w:tcBorders>
              <w:top w:val="nil"/>
              <w:bottom w:val="nil"/>
            </w:tcBorders>
            <w:vAlign w:val="center"/>
          </w:tcPr>
          <w:p w:rsidR="00B20392" w:rsidRPr="00603CC4" w:rsidRDefault="00B20392" w:rsidP="00603CC4">
            <w:pPr>
              <w:spacing w:after="0" w:line="240" w:lineRule="auto"/>
            </w:pPr>
            <w:r>
              <w:t>Ú</w:t>
            </w: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pPr>
            <w:r w:rsidRPr="00603CC4">
              <w:t>O:3</w:t>
            </w:r>
          </w:p>
        </w:tc>
        <w:tc>
          <w:tcPr>
            <w:tcW w:w="5771" w:type="dxa"/>
            <w:shd w:val="clear" w:color="auto" w:fill="F2F2F2"/>
            <w:vAlign w:val="center"/>
          </w:tcPr>
          <w:p w:rsidR="00B20392" w:rsidRPr="00603CC4" w:rsidRDefault="00B20392" w:rsidP="00603CC4">
            <w:pPr>
              <w:spacing w:before="120" w:after="0" w:line="240" w:lineRule="auto"/>
              <w:jc w:val="both"/>
              <w:rPr>
                <w:color w:val="000000"/>
              </w:rPr>
            </w:pPr>
            <w:r w:rsidRPr="00603CC4">
              <w:rPr>
                <w:color w:val="000000"/>
              </w:rPr>
              <w:t>3. Prevádzkovateľ vedie záznamy všetkých výsledkov monitorovania a tieto výsledky spracúva tak, aby sa umožnilo overenie dodržiavania emisných limitov v súlade s pravidlami uvedenými v časti 2 prílohy III.</w:t>
            </w:r>
          </w:p>
        </w:tc>
        <w:tc>
          <w:tcPr>
            <w:tcW w:w="397" w:type="dxa"/>
            <w:shd w:val="clear" w:color="auto" w:fill="F2F2F2"/>
            <w:vAlign w:val="center"/>
          </w:tcPr>
          <w:p w:rsidR="00B20392" w:rsidRPr="00603CC4" w:rsidRDefault="00B20392" w:rsidP="00603CC4">
            <w:pPr>
              <w:spacing w:after="0" w:line="240" w:lineRule="auto"/>
            </w:pPr>
            <w:r>
              <w:t>N</w:t>
            </w:r>
          </w:p>
        </w:tc>
        <w:tc>
          <w:tcPr>
            <w:tcW w:w="708" w:type="dxa"/>
            <w:shd w:val="clear" w:color="auto" w:fill="F2F2F2"/>
            <w:vAlign w:val="center"/>
          </w:tcPr>
          <w:p w:rsidR="00B20392" w:rsidRPr="00603CC4" w:rsidRDefault="00B20392" w:rsidP="00603CC4">
            <w:pPr>
              <w:spacing w:after="0" w:line="240" w:lineRule="auto"/>
            </w:pPr>
            <w:r w:rsidRPr="00603CC4">
              <w:t>N411</w:t>
            </w:r>
          </w:p>
        </w:tc>
        <w:tc>
          <w:tcPr>
            <w:tcW w:w="596" w:type="dxa"/>
            <w:shd w:val="clear" w:color="auto" w:fill="F2F2F2"/>
            <w:vAlign w:val="center"/>
          </w:tcPr>
          <w:p w:rsidR="00B20392" w:rsidRPr="00603CC4" w:rsidRDefault="00B20392" w:rsidP="00603CC4">
            <w:pPr>
              <w:spacing w:after="0" w:line="240" w:lineRule="auto"/>
            </w:pPr>
            <w:r w:rsidRPr="00603CC4">
              <w:t>§</w:t>
            </w:r>
            <w:r w:rsidR="00350F06">
              <w:t>:</w:t>
            </w:r>
            <w:r w:rsidRPr="00603CC4">
              <w:t>9</w:t>
            </w:r>
          </w:p>
          <w:p w:rsidR="00B20392" w:rsidRDefault="00B20392" w:rsidP="00FA5311">
            <w:pPr>
              <w:spacing w:after="0" w:line="240" w:lineRule="auto"/>
              <w:ind w:left="-108"/>
            </w:pPr>
            <w:r w:rsidRPr="00603CC4">
              <w:t>O</w:t>
            </w:r>
            <w:r w:rsidR="00350F06">
              <w:t>:</w:t>
            </w:r>
            <w:r w:rsidRPr="00603CC4">
              <w:t>15</w:t>
            </w:r>
          </w:p>
          <w:p w:rsidR="00B20392" w:rsidRPr="00603CC4" w:rsidRDefault="00B20392" w:rsidP="00603CC4">
            <w:pPr>
              <w:spacing w:after="0" w:line="240" w:lineRule="auto"/>
            </w:pPr>
            <w:r>
              <w:t>V</w:t>
            </w:r>
            <w:r w:rsidR="00350F06">
              <w:t>:</w:t>
            </w:r>
            <w:r>
              <w:t>1</w:t>
            </w:r>
          </w:p>
        </w:tc>
        <w:tc>
          <w:tcPr>
            <w:tcW w:w="6396" w:type="dxa"/>
            <w:shd w:val="clear" w:color="auto" w:fill="F2F2F2"/>
            <w:vAlign w:val="center"/>
          </w:tcPr>
          <w:p w:rsidR="00B20392" w:rsidRPr="00EF5876" w:rsidRDefault="00B20392" w:rsidP="00603CC4">
            <w:pPr>
              <w:spacing w:after="0" w:line="240" w:lineRule="auto"/>
            </w:pPr>
            <w:r w:rsidRPr="00EF5876">
              <w:t>(15)</w:t>
            </w:r>
            <w:r w:rsidRPr="00EF5876">
              <w:rPr>
                <w:u w:val="single"/>
              </w:rPr>
              <w:t> Všetky výsledky monitorovania emisií sa zaznamenávajú, vedú a spracúvajú tak, aby sa mohlo kontrolovať dodržiavanie emisných limitov v súlade s ustanovenými alebo s určenými podmienkami ich dodržiavania  podľa  § 15 ods. 1 písm. b) a q) zákona</w:t>
            </w:r>
            <w:r w:rsidRPr="00EF5876">
              <w:t xml:space="preserve">. Sledovanie údajov, ktoré sú podstatné na posúdenie zmien podmienok monitorovania emisií, sa konkretizuje podľa § 15 ods. 2 písm. e); ak dôjde k podstatnej zmene spôsobu prevádzky spaľovacieho </w:t>
            </w:r>
            <w:r w:rsidRPr="00EF5876">
              <w:lastRenderedPageBreak/>
              <w:t>zariadenia vrátane zmeny druhu alebo typu používaného paliva, súčasťou žiadosti o vydanie súhlasu okrem náležitosti podľa § 17 ods. 2 zákona alebo náležitosti ohlásenia podľa osobitného predpisu</w:t>
            </w:r>
            <w:r w:rsidRPr="00EF5876">
              <w:rPr>
                <w:vertAlign w:val="superscript"/>
              </w:rPr>
              <w:t>18</w:t>
            </w:r>
            <w:r w:rsidRPr="00EF5876">
              <w:t>) je aj informácia, či podmienky monitorovania podľa vydaného povolenia sú stále aktuálne, alebo vyžadujú jeho zmenu</w:t>
            </w:r>
          </w:p>
        </w:tc>
        <w:tc>
          <w:tcPr>
            <w:tcW w:w="508" w:type="dxa"/>
            <w:tcBorders>
              <w:top w:val="nil"/>
              <w:bottom w:val="nil"/>
            </w:tcBorders>
            <w:vAlign w:val="center"/>
          </w:tcPr>
          <w:p w:rsidR="00B20392" w:rsidRPr="00603CC4" w:rsidRDefault="00B20392" w:rsidP="00603CC4">
            <w:pPr>
              <w:spacing w:after="0" w:line="240" w:lineRule="auto"/>
            </w:pPr>
            <w:r>
              <w:lastRenderedPageBreak/>
              <w:t>Ú</w:t>
            </w: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pPr>
            <w:r w:rsidRPr="00603CC4">
              <w:lastRenderedPageBreak/>
              <w:t>O:4</w:t>
            </w:r>
          </w:p>
        </w:tc>
        <w:tc>
          <w:tcPr>
            <w:tcW w:w="5771" w:type="dxa"/>
            <w:vAlign w:val="center"/>
          </w:tcPr>
          <w:p w:rsidR="00B20392" w:rsidRPr="00603CC4" w:rsidRDefault="00B20392" w:rsidP="00603CC4">
            <w:pPr>
              <w:spacing w:before="120" w:after="0" w:line="240" w:lineRule="auto"/>
              <w:jc w:val="both"/>
              <w:rPr>
                <w:color w:val="000000"/>
              </w:rPr>
            </w:pPr>
            <w:r w:rsidRPr="00603CC4">
              <w:rPr>
                <w:color w:val="000000"/>
              </w:rPr>
              <w:t>4. V prípade stredne veľkých spaľovacích zariadení používajúcich sekundárne zariadenie na znižovanie emisií s cieľom splniť emisné limity prevádzkovateľ vedie záznamy alebo informácie, ktoré preukazujú účinnú a nepretržitú prevádzku daného zariadenia.</w:t>
            </w:r>
          </w:p>
        </w:tc>
        <w:tc>
          <w:tcPr>
            <w:tcW w:w="397" w:type="dxa"/>
            <w:vAlign w:val="center"/>
          </w:tcPr>
          <w:p w:rsidR="00B20392" w:rsidRPr="00603CC4" w:rsidRDefault="00670CE1" w:rsidP="00603CC4">
            <w:pPr>
              <w:spacing w:after="0" w:line="240" w:lineRule="auto"/>
            </w:pPr>
            <w:r>
              <w:t>N</w:t>
            </w:r>
          </w:p>
        </w:tc>
        <w:tc>
          <w:tcPr>
            <w:tcW w:w="708" w:type="dxa"/>
            <w:vAlign w:val="center"/>
          </w:tcPr>
          <w:p w:rsidR="00B20392" w:rsidRPr="00603CC4" w:rsidRDefault="00B20392" w:rsidP="00603CC4">
            <w:pPr>
              <w:spacing w:after="0" w:line="240" w:lineRule="auto"/>
            </w:pPr>
            <w:r w:rsidRPr="00603CC4">
              <w:t>V</w:t>
            </w:r>
            <w:r w:rsidR="0021001A">
              <w:t>23</w:t>
            </w:r>
            <w:r w:rsidRPr="00603CC4">
              <w:t>1</w:t>
            </w:r>
          </w:p>
        </w:tc>
        <w:tc>
          <w:tcPr>
            <w:tcW w:w="596" w:type="dxa"/>
            <w:vAlign w:val="center"/>
          </w:tcPr>
          <w:p w:rsidR="00B20392" w:rsidRPr="00603CC4" w:rsidRDefault="00350F06" w:rsidP="00603CC4">
            <w:pPr>
              <w:spacing w:after="0" w:line="240" w:lineRule="auto"/>
            </w:pPr>
            <w:r>
              <w:t>§:</w:t>
            </w:r>
            <w:r w:rsidR="00B20392" w:rsidRPr="00603CC4">
              <w:t>3</w:t>
            </w:r>
          </w:p>
        </w:tc>
        <w:tc>
          <w:tcPr>
            <w:tcW w:w="6396" w:type="dxa"/>
            <w:vAlign w:val="center"/>
          </w:tcPr>
          <w:p w:rsidR="00B20392" w:rsidRPr="00EF5876" w:rsidRDefault="00B20392" w:rsidP="00603CC4">
            <w:pPr>
              <w:spacing w:after="0" w:line="240" w:lineRule="auto"/>
            </w:pPr>
            <w:r w:rsidRPr="00EF5876">
              <w:t xml:space="preserve">Evidencia o veľkom zdroji a o strednom zdroji podľa </w:t>
            </w:r>
            <w:hyperlink r:id="rId19" w:anchor="paragraf-15.odsek-1.pismeno-u" w:tooltip="Odkaz na predpis alebo ustanovenie" w:history="1">
              <w:r w:rsidRPr="00EF5876">
                <w:rPr>
                  <w:rStyle w:val="Hypertextovprepojenie"/>
                  <w:color w:val="auto"/>
                </w:rPr>
                <w:t>§ 15 ods. 1 písm. u) zákona</w:t>
              </w:r>
            </w:hyperlink>
            <w:r w:rsidRPr="00EF5876">
              <w:t xml:space="preserve"> obsahuje údaje najmenej v rozsahu ustanovenom v </w:t>
            </w:r>
            <w:hyperlink r:id="rId20" w:anchor="prilohy.priloha-priloha_c_2_k_vyhlaske_c_231_2013_z_z.oznacenie" w:tooltip="Odkaz na predpis alebo ustanovenie" w:history="1">
              <w:r w:rsidRPr="00EF5876">
                <w:rPr>
                  <w:rStyle w:val="Hypertextovprepojenie"/>
                  <w:color w:val="auto"/>
                </w:rPr>
                <w:t>prílohe č. 2</w:t>
              </w:r>
            </w:hyperlink>
            <w:r w:rsidRPr="00EF5876">
              <w:t>.</w:t>
            </w: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7D7E3B">
        <w:trPr>
          <w:trHeight w:val="473"/>
        </w:trPr>
        <w:tc>
          <w:tcPr>
            <w:tcW w:w="709" w:type="dxa"/>
            <w:tcBorders>
              <w:top w:val="nil"/>
              <w:bottom w:val="nil"/>
            </w:tcBorders>
            <w:vAlign w:val="center"/>
          </w:tcPr>
          <w:p w:rsidR="00B20392" w:rsidRPr="00603CC4" w:rsidRDefault="00B20392" w:rsidP="00603CC4">
            <w:pPr>
              <w:spacing w:after="0" w:line="240" w:lineRule="auto"/>
            </w:pPr>
            <w:r w:rsidRPr="00603CC4">
              <w:t>O:5</w:t>
            </w:r>
          </w:p>
        </w:tc>
        <w:tc>
          <w:tcPr>
            <w:tcW w:w="5771" w:type="dxa"/>
            <w:vAlign w:val="center"/>
          </w:tcPr>
          <w:p w:rsidR="00B20392" w:rsidRPr="00603CC4" w:rsidRDefault="00B20392" w:rsidP="00603CC4">
            <w:pPr>
              <w:spacing w:before="120" w:after="0" w:line="240" w:lineRule="auto"/>
              <w:jc w:val="both"/>
              <w:rPr>
                <w:color w:val="000000"/>
                <w:lang w:eastAsia="sk-SK"/>
              </w:rPr>
            </w:pPr>
            <w:r w:rsidRPr="00603CC4">
              <w:rPr>
                <w:color w:val="000000"/>
                <w:lang w:eastAsia="sk-SK"/>
              </w:rPr>
              <w:t>5. Prevádzkovateľ stredne veľkého spaľovacieho zariadenia si uchováva:</w:t>
            </w:r>
          </w:p>
          <w:tbl>
            <w:tblPr>
              <w:tblW w:w="5000" w:type="pct"/>
              <w:tblCellSpacing w:w="0" w:type="dxa"/>
              <w:tblLayout w:type="fixed"/>
              <w:tblCellMar>
                <w:left w:w="0" w:type="dxa"/>
                <w:right w:w="0" w:type="dxa"/>
              </w:tblCellMar>
              <w:tblLook w:val="00A0" w:firstRow="1" w:lastRow="0" w:firstColumn="1" w:lastColumn="0" w:noHBand="0" w:noVBand="0"/>
            </w:tblPr>
            <w:tblGrid>
              <w:gridCol w:w="144"/>
              <w:gridCol w:w="5411"/>
            </w:tblGrid>
            <w:tr w:rsidR="00B20392" w:rsidRPr="00603CC4">
              <w:trPr>
                <w:tblCellSpacing w:w="0" w:type="dxa"/>
              </w:trPr>
              <w:tc>
                <w:tcPr>
                  <w:tcW w:w="173" w:type="dxa"/>
                </w:tcPr>
                <w:p w:rsidR="00B20392" w:rsidRPr="00603CC4" w:rsidRDefault="00EE10DB" w:rsidP="00721F88">
                  <w:pPr>
                    <w:spacing w:before="120" w:after="0" w:line="240" w:lineRule="auto"/>
                    <w:jc w:val="both"/>
                    <w:rPr>
                      <w:color w:val="000000"/>
                      <w:lang w:eastAsia="sk-SK"/>
                    </w:rPr>
                  </w:pPr>
                  <w:r>
                    <w:rPr>
                      <w:color w:val="000000"/>
                      <w:lang w:eastAsia="sk-SK"/>
                    </w:rPr>
                    <w:t>a</w:t>
                  </w:r>
                </w:p>
              </w:tc>
              <w:tc>
                <w:tcPr>
                  <w:tcW w:w="6697" w:type="dxa"/>
                </w:tcPr>
                <w:p w:rsidR="00B20392" w:rsidRPr="00603CC4" w:rsidRDefault="00EE10DB" w:rsidP="00721F88">
                  <w:pPr>
                    <w:spacing w:before="120" w:after="0" w:line="240" w:lineRule="auto"/>
                    <w:jc w:val="both"/>
                    <w:rPr>
                      <w:color w:val="000000"/>
                      <w:lang w:eastAsia="sk-SK"/>
                    </w:rPr>
                  </w:pPr>
                  <w:r>
                    <w:rPr>
                      <w:color w:val="000000"/>
                      <w:lang w:eastAsia="sk-SK"/>
                    </w:rPr>
                    <w:t>)</w:t>
                  </w:r>
                  <w:r w:rsidR="00B20392" w:rsidRPr="00603CC4">
                    <w:rPr>
                      <w:color w:val="000000"/>
                      <w:lang w:eastAsia="sk-SK"/>
                    </w:rPr>
                    <w:t>povolenie alebo dôkaz o registrácii príslušným orgánom a prípadne aj jeho aktualizovanú verziu a súvisiace informácie;</w:t>
                  </w:r>
                </w:p>
              </w:tc>
            </w:tr>
          </w:tbl>
          <w:p w:rsidR="00B20392" w:rsidRPr="00603CC4" w:rsidRDefault="00B20392" w:rsidP="00603CC4">
            <w:pPr>
              <w:spacing w:after="0" w:line="240" w:lineRule="auto"/>
              <w:rPr>
                <w:vanish/>
                <w:color w:val="000000"/>
                <w:lang w:eastAsia="sk-SK"/>
              </w:rPr>
            </w:pPr>
          </w:p>
          <w:tbl>
            <w:tblPr>
              <w:tblW w:w="5000" w:type="pct"/>
              <w:tblCellSpacing w:w="0" w:type="dxa"/>
              <w:tblLayout w:type="fixed"/>
              <w:tblCellMar>
                <w:left w:w="0" w:type="dxa"/>
                <w:right w:w="0" w:type="dxa"/>
              </w:tblCellMar>
              <w:tblLook w:val="00A0" w:firstRow="1" w:lastRow="0" w:firstColumn="1" w:lastColumn="0" w:noHBand="0" w:noVBand="0"/>
            </w:tblPr>
            <w:tblGrid>
              <w:gridCol w:w="177"/>
              <w:gridCol w:w="5378"/>
            </w:tblGrid>
            <w:tr w:rsidR="00B20392" w:rsidRPr="00603CC4">
              <w:trPr>
                <w:tblCellSpacing w:w="0" w:type="dxa"/>
              </w:trPr>
              <w:tc>
                <w:tcPr>
                  <w:tcW w:w="214" w:type="dxa"/>
                </w:tcPr>
                <w:p w:rsidR="00B20392" w:rsidRPr="00603CC4" w:rsidRDefault="00B20392" w:rsidP="00EE10DB">
                  <w:pPr>
                    <w:spacing w:before="120" w:after="0" w:line="240" w:lineRule="auto"/>
                    <w:jc w:val="both"/>
                    <w:rPr>
                      <w:color w:val="000000"/>
                      <w:lang w:eastAsia="sk-SK"/>
                    </w:rPr>
                  </w:pPr>
                  <w:r w:rsidRPr="00603CC4">
                    <w:rPr>
                      <w:color w:val="000000"/>
                      <w:lang w:eastAsia="sk-SK"/>
                    </w:rPr>
                    <w:t>b</w:t>
                  </w:r>
                </w:p>
              </w:tc>
              <w:tc>
                <w:tcPr>
                  <w:tcW w:w="6656" w:type="dxa"/>
                </w:tcPr>
                <w:p w:rsidR="00B20392" w:rsidRPr="00603CC4" w:rsidRDefault="00EE10DB" w:rsidP="00721F88">
                  <w:pPr>
                    <w:spacing w:before="120" w:after="0" w:line="240" w:lineRule="auto"/>
                    <w:jc w:val="both"/>
                    <w:rPr>
                      <w:color w:val="000000"/>
                      <w:lang w:eastAsia="sk-SK"/>
                    </w:rPr>
                  </w:pPr>
                  <w:r>
                    <w:rPr>
                      <w:color w:val="000000"/>
                      <w:lang w:eastAsia="sk-SK"/>
                    </w:rPr>
                    <w:t>)</w:t>
                  </w:r>
                  <w:r w:rsidR="00B20392" w:rsidRPr="00603CC4">
                    <w:rPr>
                      <w:color w:val="000000"/>
                      <w:lang w:eastAsia="sk-SK"/>
                    </w:rPr>
                    <w:t>výsledky monitorovania a informácie uvedené v odsekoch 3 a 4;</w:t>
                  </w:r>
                </w:p>
              </w:tc>
            </w:tr>
          </w:tbl>
          <w:p w:rsidR="00B20392" w:rsidRPr="00603CC4" w:rsidRDefault="00B20392" w:rsidP="00603CC4">
            <w:pPr>
              <w:spacing w:after="0" w:line="240" w:lineRule="auto"/>
              <w:rPr>
                <w:vanish/>
                <w:color w:val="000000"/>
                <w:lang w:eastAsia="sk-SK"/>
              </w:rPr>
            </w:pPr>
          </w:p>
          <w:tbl>
            <w:tblPr>
              <w:tblW w:w="5000" w:type="pct"/>
              <w:tblCellSpacing w:w="0" w:type="dxa"/>
              <w:tblLayout w:type="fixed"/>
              <w:tblCellMar>
                <w:left w:w="0" w:type="dxa"/>
                <w:right w:w="0" w:type="dxa"/>
              </w:tblCellMar>
              <w:tblLook w:val="00A0" w:firstRow="1" w:lastRow="0" w:firstColumn="1" w:lastColumn="0" w:noHBand="0" w:noVBand="0"/>
            </w:tblPr>
            <w:tblGrid>
              <w:gridCol w:w="133"/>
              <w:gridCol w:w="5422"/>
            </w:tblGrid>
            <w:tr w:rsidR="00B20392" w:rsidRPr="00603CC4">
              <w:trPr>
                <w:tblCellSpacing w:w="0" w:type="dxa"/>
              </w:trPr>
              <w:tc>
                <w:tcPr>
                  <w:tcW w:w="160" w:type="dxa"/>
                </w:tcPr>
                <w:p w:rsidR="00B20392" w:rsidRPr="00603CC4" w:rsidRDefault="00B20392" w:rsidP="00EE10DB">
                  <w:pPr>
                    <w:spacing w:before="120" w:after="0" w:line="240" w:lineRule="auto"/>
                    <w:jc w:val="both"/>
                    <w:rPr>
                      <w:color w:val="000000"/>
                      <w:lang w:eastAsia="sk-SK"/>
                    </w:rPr>
                  </w:pPr>
                  <w:r w:rsidRPr="00603CC4">
                    <w:rPr>
                      <w:color w:val="000000"/>
                      <w:lang w:eastAsia="sk-SK"/>
                    </w:rPr>
                    <w:t>c</w:t>
                  </w:r>
                </w:p>
              </w:tc>
              <w:tc>
                <w:tcPr>
                  <w:tcW w:w="6710" w:type="dxa"/>
                </w:tcPr>
                <w:p w:rsidR="00B20392" w:rsidRPr="00603CC4" w:rsidRDefault="00EE10DB" w:rsidP="00721F88">
                  <w:pPr>
                    <w:spacing w:before="120" w:after="0" w:line="240" w:lineRule="auto"/>
                    <w:jc w:val="both"/>
                    <w:rPr>
                      <w:color w:val="000000"/>
                      <w:lang w:eastAsia="sk-SK"/>
                    </w:rPr>
                  </w:pPr>
                  <w:r>
                    <w:rPr>
                      <w:color w:val="000000"/>
                      <w:lang w:eastAsia="sk-SK"/>
                    </w:rPr>
                    <w:t>)</w:t>
                  </w:r>
                  <w:r w:rsidR="00B20392" w:rsidRPr="00603CC4">
                    <w:rPr>
                      <w:color w:val="000000"/>
                      <w:lang w:eastAsia="sk-SK"/>
                    </w:rPr>
                    <w:t>kde sa uplatňuje, záznam prevádzkových hodín ako je uvedený v článku 6 ods. 3 a v článku 6 ods. 8;</w:t>
                  </w:r>
                </w:p>
              </w:tc>
            </w:tr>
          </w:tbl>
          <w:p w:rsidR="00B20392" w:rsidRPr="00603CC4" w:rsidRDefault="00B20392" w:rsidP="00603CC4">
            <w:pPr>
              <w:spacing w:after="0" w:line="240" w:lineRule="auto"/>
              <w:rPr>
                <w:vanish/>
                <w:color w:val="000000"/>
                <w:lang w:eastAsia="sk-SK"/>
              </w:rPr>
            </w:pPr>
          </w:p>
          <w:tbl>
            <w:tblPr>
              <w:tblW w:w="5000" w:type="pct"/>
              <w:tblCellSpacing w:w="0" w:type="dxa"/>
              <w:tblLayout w:type="fixed"/>
              <w:tblCellMar>
                <w:left w:w="0" w:type="dxa"/>
                <w:right w:w="0" w:type="dxa"/>
              </w:tblCellMar>
              <w:tblLook w:val="00A0" w:firstRow="1" w:lastRow="0" w:firstColumn="1" w:lastColumn="0" w:noHBand="0" w:noVBand="0"/>
            </w:tblPr>
            <w:tblGrid>
              <w:gridCol w:w="152"/>
              <w:gridCol w:w="5403"/>
            </w:tblGrid>
            <w:tr w:rsidR="00B20392" w:rsidRPr="00603CC4">
              <w:trPr>
                <w:tblCellSpacing w:w="0" w:type="dxa"/>
              </w:trPr>
              <w:tc>
                <w:tcPr>
                  <w:tcW w:w="183" w:type="dxa"/>
                </w:tcPr>
                <w:p w:rsidR="00B20392" w:rsidRPr="00603CC4" w:rsidRDefault="00B20392" w:rsidP="00EE10DB">
                  <w:pPr>
                    <w:spacing w:before="120" w:after="0" w:line="240" w:lineRule="auto"/>
                    <w:jc w:val="both"/>
                    <w:rPr>
                      <w:color w:val="000000"/>
                      <w:lang w:eastAsia="sk-SK"/>
                    </w:rPr>
                  </w:pPr>
                  <w:r w:rsidRPr="00603CC4">
                    <w:rPr>
                      <w:color w:val="000000"/>
                      <w:lang w:eastAsia="sk-SK"/>
                    </w:rPr>
                    <w:t>d</w:t>
                  </w:r>
                </w:p>
              </w:tc>
              <w:tc>
                <w:tcPr>
                  <w:tcW w:w="6687" w:type="dxa"/>
                </w:tcPr>
                <w:p w:rsidR="00B20392" w:rsidRPr="00603CC4" w:rsidRDefault="00EE10DB" w:rsidP="00721F88">
                  <w:pPr>
                    <w:spacing w:before="120" w:after="0" w:line="240" w:lineRule="auto"/>
                    <w:jc w:val="both"/>
                    <w:rPr>
                      <w:color w:val="000000"/>
                      <w:lang w:eastAsia="sk-SK"/>
                    </w:rPr>
                  </w:pPr>
                  <w:r>
                    <w:rPr>
                      <w:color w:val="000000"/>
                      <w:lang w:eastAsia="sk-SK"/>
                    </w:rPr>
                    <w:t>)</w:t>
                  </w:r>
                  <w:r w:rsidR="00B20392" w:rsidRPr="00603CC4">
                    <w:rPr>
                      <w:color w:val="000000"/>
                      <w:lang w:eastAsia="sk-SK"/>
                    </w:rPr>
                    <w:t>záznam o type a množstve palív používaných v zariadení a o akýchkoľvek poruchách alebo výpadkoch sekundárneho zariadenia na znižovanie emisií;</w:t>
                  </w:r>
                </w:p>
              </w:tc>
            </w:tr>
          </w:tbl>
          <w:p w:rsidR="00B20392" w:rsidRPr="00603CC4" w:rsidRDefault="00B20392" w:rsidP="00603CC4">
            <w:pPr>
              <w:spacing w:after="0" w:line="240" w:lineRule="auto"/>
              <w:rPr>
                <w:vanish/>
                <w:color w:val="000000"/>
                <w:lang w:eastAsia="sk-SK"/>
              </w:rPr>
            </w:pPr>
          </w:p>
          <w:tbl>
            <w:tblPr>
              <w:tblW w:w="5000" w:type="pct"/>
              <w:tblCellSpacing w:w="0" w:type="dxa"/>
              <w:tblLayout w:type="fixed"/>
              <w:tblCellMar>
                <w:left w:w="0" w:type="dxa"/>
                <w:right w:w="0" w:type="dxa"/>
              </w:tblCellMar>
              <w:tblLook w:val="00A0" w:firstRow="1" w:lastRow="0" w:firstColumn="1" w:lastColumn="0" w:noHBand="0" w:noVBand="0"/>
            </w:tblPr>
            <w:tblGrid>
              <w:gridCol w:w="147"/>
              <w:gridCol w:w="5408"/>
            </w:tblGrid>
            <w:tr w:rsidR="00B20392" w:rsidRPr="00603CC4">
              <w:trPr>
                <w:tblCellSpacing w:w="0" w:type="dxa"/>
              </w:trPr>
              <w:tc>
                <w:tcPr>
                  <w:tcW w:w="177" w:type="dxa"/>
                </w:tcPr>
                <w:p w:rsidR="00B20392" w:rsidRPr="00603CC4" w:rsidRDefault="00B20392" w:rsidP="00EE10DB">
                  <w:pPr>
                    <w:spacing w:before="120" w:after="0" w:line="240" w:lineRule="auto"/>
                    <w:jc w:val="both"/>
                    <w:rPr>
                      <w:color w:val="000000"/>
                      <w:lang w:eastAsia="sk-SK"/>
                    </w:rPr>
                  </w:pPr>
                  <w:r w:rsidRPr="00603CC4">
                    <w:rPr>
                      <w:color w:val="000000"/>
                      <w:lang w:eastAsia="sk-SK"/>
                    </w:rPr>
                    <w:t>e</w:t>
                  </w:r>
                </w:p>
              </w:tc>
              <w:tc>
                <w:tcPr>
                  <w:tcW w:w="6693" w:type="dxa"/>
                </w:tcPr>
                <w:p w:rsidR="00B20392" w:rsidRPr="00603CC4" w:rsidRDefault="00EE10DB" w:rsidP="00721F88">
                  <w:pPr>
                    <w:spacing w:before="120" w:after="0" w:line="240" w:lineRule="auto"/>
                    <w:jc w:val="both"/>
                    <w:rPr>
                      <w:color w:val="000000"/>
                      <w:lang w:eastAsia="sk-SK"/>
                    </w:rPr>
                  </w:pPr>
                  <w:r>
                    <w:rPr>
                      <w:color w:val="000000"/>
                      <w:lang w:eastAsia="sk-SK"/>
                    </w:rPr>
                    <w:t>)</w:t>
                  </w:r>
                  <w:r w:rsidR="00B20392" w:rsidRPr="00603CC4">
                    <w:rPr>
                      <w:color w:val="000000"/>
                      <w:lang w:eastAsia="sk-SK"/>
                    </w:rPr>
                    <w:t>záznam o prípadoch nedodržiavania ustanovení a prijatých opatreniach v zmysle odseku 7.</w:t>
                  </w:r>
                </w:p>
              </w:tc>
            </w:tr>
          </w:tbl>
          <w:p w:rsidR="00B20392" w:rsidRPr="00603CC4" w:rsidRDefault="00B20392" w:rsidP="00603CC4">
            <w:pPr>
              <w:spacing w:before="120" w:after="0" w:line="240" w:lineRule="auto"/>
              <w:jc w:val="both"/>
              <w:rPr>
                <w:color w:val="000000"/>
                <w:lang w:eastAsia="sk-SK"/>
              </w:rPr>
            </w:pPr>
            <w:r w:rsidRPr="00603CC4">
              <w:rPr>
                <w:color w:val="000000"/>
                <w:lang w:eastAsia="sk-SK"/>
              </w:rPr>
              <w:t xml:space="preserve">Údaje a informácie uvedené v písmenách b) až e) prvého </w:t>
            </w:r>
            <w:proofErr w:type="spellStart"/>
            <w:r w:rsidRPr="00603CC4">
              <w:rPr>
                <w:color w:val="000000"/>
                <w:lang w:eastAsia="sk-SK"/>
              </w:rPr>
              <w:t>pododseku</w:t>
            </w:r>
            <w:proofErr w:type="spellEnd"/>
            <w:r w:rsidRPr="00603CC4">
              <w:rPr>
                <w:color w:val="000000"/>
                <w:lang w:eastAsia="sk-SK"/>
              </w:rPr>
              <w:t xml:space="preserve"> sa uchovávajú najmenej po dobu šiestich rokov.</w:t>
            </w:r>
          </w:p>
          <w:p w:rsidR="00B20392" w:rsidRPr="00603CC4" w:rsidRDefault="00B20392" w:rsidP="00603CC4">
            <w:pPr>
              <w:spacing w:before="120" w:after="0" w:line="240" w:lineRule="auto"/>
              <w:jc w:val="both"/>
              <w:rPr>
                <w:color w:val="000000"/>
              </w:rPr>
            </w:pPr>
          </w:p>
        </w:tc>
        <w:tc>
          <w:tcPr>
            <w:tcW w:w="397" w:type="dxa"/>
            <w:vAlign w:val="center"/>
          </w:tcPr>
          <w:p w:rsidR="00B20392" w:rsidRPr="00603CC4" w:rsidRDefault="00670CE1" w:rsidP="00603CC4">
            <w:pPr>
              <w:spacing w:after="0" w:line="240" w:lineRule="auto"/>
            </w:pPr>
            <w:r>
              <w:t>N</w:t>
            </w:r>
          </w:p>
        </w:tc>
        <w:tc>
          <w:tcPr>
            <w:tcW w:w="708" w:type="dxa"/>
            <w:vAlign w:val="center"/>
          </w:tcPr>
          <w:p w:rsidR="00B20392" w:rsidRPr="00603CC4" w:rsidRDefault="00B20392" w:rsidP="00603CC4">
            <w:pPr>
              <w:spacing w:after="0" w:line="240" w:lineRule="auto"/>
            </w:pPr>
            <w:r w:rsidRPr="00603CC4">
              <w:t>V</w:t>
            </w:r>
            <w:r w:rsidR="0021001A">
              <w:t>23</w:t>
            </w:r>
            <w:r w:rsidRPr="00603CC4">
              <w:t>1</w:t>
            </w: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Default="00B20392" w:rsidP="00603CC4">
            <w:pPr>
              <w:spacing w:after="0" w:line="240" w:lineRule="auto"/>
            </w:pPr>
          </w:p>
          <w:p w:rsidR="006E65C5" w:rsidRDefault="006E65C5" w:rsidP="00603CC4">
            <w:pPr>
              <w:spacing w:after="0" w:line="240" w:lineRule="auto"/>
            </w:pPr>
          </w:p>
          <w:p w:rsidR="006E65C5" w:rsidRDefault="006E65C5" w:rsidP="00603CC4">
            <w:pPr>
              <w:spacing w:after="0" w:line="240" w:lineRule="auto"/>
            </w:pPr>
          </w:p>
          <w:p w:rsidR="006E65C5" w:rsidRDefault="006E65C5" w:rsidP="00603CC4">
            <w:pPr>
              <w:spacing w:after="0" w:line="240" w:lineRule="auto"/>
            </w:pPr>
          </w:p>
          <w:p w:rsidR="006E65C5" w:rsidRDefault="006E65C5" w:rsidP="00603CC4">
            <w:pPr>
              <w:spacing w:after="0" w:line="240" w:lineRule="auto"/>
            </w:pPr>
          </w:p>
          <w:p w:rsidR="006E65C5" w:rsidRDefault="006E65C5" w:rsidP="00603CC4">
            <w:pPr>
              <w:spacing w:after="0" w:line="240" w:lineRule="auto"/>
            </w:pPr>
          </w:p>
          <w:p w:rsidR="006E65C5" w:rsidRDefault="006E65C5" w:rsidP="00603CC4">
            <w:pPr>
              <w:spacing w:after="0" w:line="240" w:lineRule="auto"/>
            </w:pPr>
          </w:p>
          <w:p w:rsidR="006E65C5" w:rsidRDefault="006E65C5" w:rsidP="00603CC4">
            <w:pPr>
              <w:spacing w:after="0" w:line="240" w:lineRule="auto"/>
            </w:pPr>
          </w:p>
          <w:p w:rsidR="006E65C5" w:rsidRDefault="006E65C5" w:rsidP="00603CC4">
            <w:pPr>
              <w:spacing w:after="0" w:line="240" w:lineRule="auto"/>
            </w:pPr>
          </w:p>
          <w:p w:rsidR="006E65C5" w:rsidRDefault="006E65C5" w:rsidP="00603CC4">
            <w:pPr>
              <w:spacing w:after="0" w:line="240" w:lineRule="auto"/>
            </w:pPr>
          </w:p>
          <w:p w:rsidR="006E65C5" w:rsidRDefault="006E65C5" w:rsidP="00603CC4">
            <w:pPr>
              <w:spacing w:after="0" w:line="240" w:lineRule="auto"/>
            </w:pPr>
          </w:p>
          <w:p w:rsidR="006E65C5" w:rsidRDefault="006E65C5" w:rsidP="00603CC4">
            <w:pPr>
              <w:spacing w:after="0" w:line="240" w:lineRule="auto"/>
            </w:pPr>
          </w:p>
          <w:p w:rsidR="006E65C5" w:rsidRDefault="006E65C5" w:rsidP="00603CC4">
            <w:pPr>
              <w:spacing w:after="0" w:line="240" w:lineRule="auto"/>
            </w:pPr>
          </w:p>
          <w:p w:rsidR="006E65C5" w:rsidRDefault="006E65C5" w:rsidP="00603CC4">
            <w:pPr>
              <w:spacing w:after="0" w:line="240" w:lineRule="auto"/>
            </w:pPr>
          </w:p>
          <w:p w:rsidR="006E65C5" w:rsidRDefault="006E65C5" w:rsidP="00603CC4">
            <w:pPr>
              <w:spacing w:after="0" w:line="240" w:lineRule="auto"/>
            </w:pPr>
          </w:p>
          <w:p w:rsidR="006E65C5" w:rsidRDefault="006E65C5" w:rsidP="00603CC4">
            <w:pPr>
              <w:spacing w:after="0" w:line="240" w:lineRule="auto"/>
            </w:pPr>
          </w:p>
          <w:p w:rsidR="006E65C5" w:rsidRDefault="006E65C5" w:rsidP="00603CC4">
            <w:pPr>
              <w:spacing w:after="0" w:line="240" w:lineRule="auto"/>
            </w:pPr>
          </w:p>
          <w:p w:rsidR="006E65C5" w:rsidRDefault="006E65C5" w:rsidP="00603CC4">
            <w:pPr>
              <w:spacing w:after="0" w:line="240" w:lineRule="auto"/>
            </w:pPr>
          </w:p>
          <w:p w:rsidR="006E65C5" w:rsidRDefault="006E65C5" w:rsidP="00603CC4">
            <w:pPr>
              <w:spacing w:after="0" w:line="240" w:lineRule="auto"/>
            </w:pPr>
          </w:p>
          <w:p w:rsidR="006E65C5" w:rsidRDefault="006E65C5" w:rsidP="00603CC4">
            <w:pPr>
              <w:spacing w:after="0" w:line="240" w:lineRule="auto"/>
            </w:pPr>
          </w:p>
          <w:p w:rsidR="006E65C5" w:rsidRDefault="006E65C5" w:rsidP="00603CC4">
            <w:pPr>
              <w:spacing w:after="0" w:line="240" w:lineRule="auto"/>
            </w:pPr>
          </w:p>
          <w:p w:rsidR="006E65C5" w:rsidRDefault="006E65C5" w:rsidP="00603CC4">
            <w:pPr>
              <w:spacing w:after="0" w:line="240" w:lineRule="auto"/>
            </w:pPr>
          </w:p>
          <w:p w:rsidR="006E65C5" w:rsidRDefault="006E65C5" w:rsidP="00603CC4">
            <w:pPr>
              <w:spacing w:after="0" w:line="240" w:lineRule="auto"/>
            </w:pPr>
          </w:p>
          <w:p w:rsidR="006E65C5" w:rsidRDefault="006E65C5" w:rsidP="00603CC4">
            <w:pPr>
              <w:spacing w:after="0" w:line="240" w:lineRule="auto"/>
            </w:pPr>
          </w:p>
          <w:p w:rsidR="006E65C5" w:rsidRDefault="006E65C5" w:rsidP="00603CC4">
            <w:pPr>
              <w:spacing w:after="0" w:line="240" w:lineRule="auto"/>
            </w:pPr>
          </w:p>
          <w:p w:rsidR="006E65C5" w:rsidRDefault="006E65C5" w:rsidP="00603CC4">
            <w:pPr>
              <w:spacing w:after="0" w:line="240" w:lineRule="auto"/>
            </w:pPr>
          </w:p>
          <w:p w:rsidR="006E65C5" w:rsidRDefault="006E65C5" w:rsidP="00603CC4">
            <w:pPr>
              <w:spacing w:after="0" w:line="240" w:lineRule="auto"/>
            </w:pPr>
          </w:p>
          <w:p w:rsidR="006E65C5" w:rsidRDefault="006E65C5" w:rsidP="00603CC4">
            <w:pPr>
              <w:spacing w:after="0" w:line="240" w:lineRule="auto"/>
            </w:pPr>
          </w:p>
          <w:p w:rsidR="006E65C5" w:rsidRDefault="006E65C5" w:rsidP="00603CC4">
            <w:pPr>
              <w:spacing w:after="0" w:line="240" w:lineRule="auto"/>
            </w:pPr>
          </w:p>
          <w:p w:rsidR="006E65C5" w:rsidRDefault="006E65C5" w:rsidP="00603CC4">
            <w:pPr>
              <w:spacing w:after="0" w:line="240" w:lineRule="auto"/>
            </w:pPr>
          </w:p>
          <w:p w:rsidR="006E65C5" w:rsidRDefault="006E65C5" w:rsidP="00603CC4">
            <w:pPr>
              <w:spacing w:after="0" w:line="240" w:lineRule="auto"/>
            </w:pPr>
          </w:p>
          <w:p w:rsidR="006E65C5" w:rsidRDefault="006E65C5" w:rsidP="00603CC4">
            <w:pPr>
              <w:spacing w:after="0" w:line="240" w:lineRule="auto"/>
            </w:pPr>
          </w:p>
          <w:p w:rsidR="006E65C5" w:rsidRDefault="006E65C5" w:rsidP="00603CC4">
            <w:pPr>
              <w:spacing w:after="0" w:line="240" w:lineRule="auto"/>
            </w:pPr>
          </w:p>
          <w:p w:rsidR="006E65C5" w:rsidRDefault="006E65C5" w:rsidP="00603CC4">
            <w:pPr>
              <w:spacing w:after="0" w:line="240" w:lineRule="auto"/>
            </w:pPr>
          </w:p>
          <w:p w:rsidR="006E65C5" w:rsidRDefault="006E65C5" w:rsidP="00603CC4">
            <w:pPr>
              <w:spacing w:after="0" w:line="240" w:lineRule="auto"/>
            </w:pPr>
          </w:p>
          <w:p w:rsidR="006E65C5" w:rsidRDefault="006E65C5" w:rsidP="00603CC4">
            <w:pPr>
              <w:spacing w:after="0" w:line="240" w:lineRule="auto"/>
            </w:pPr>
          </w:p>
          <w:p w:rsidR="006E65C5" w:rsidRDefault="006E65C5" w:rsidP="00603CC4">
            <w:pPr>
              <w:spacing w:after="0" w:line="240" w:lineRule="auto"/>
            </w:pPr>
          </w:p>
          <w:p w:rsidR="006E65C5" w:rsidRDefault="006E65C5" w:rsidP="00603CC4">
            <w:pPr>
              <w:spacing w:after="0" w:line="240" w:lineRule="auto"/>
            </w:pPr>
          </w:p>
          <w:p w:rsidR="006E65C5" w:rsidRDefault="006E65C5" w:rsidP="00603CC4">
            <w:pPr>
              <w:spacing w:after="0" w:line="240" w:lineRule="auto"/>
            </w:pPr>
          </w:p>
          <w:p w:rsidR="006E65C5" w:rsidRDefault="006E65C5" w:rsidP="006E65C5">
            <w:pPr>
              <w:tabs>
                <w:tab w:val="left" w:pos="492"/>
              </w:tabs>
              <w:spacing w:after="0" w:line="240" w:lineRule="auto"/>
            </w:pPr>
          </w:p>
          <w:p w:rsidR="006C2E31" w:rsidRDefault="006C2E31" w:rsidP="00603CC4">
            <w:pPr>
              <w:spacing w:after="0" w:line="240" w:lineRule="auto"/>
            </w:pPr>
          </w:p>
          <w:p w:rsidR="006C2E31" w:rsidRPr="00603CC4" w:rsidRDefault="006C2E31" w:rsidP="00603CC4">
            <w:pPr>
              <w:spacing w:after="0" w:line="240" w:lineRule="auto"/>
            </w:pPr>
          </w:p>
          <w:p w:rsidR="00B20392" w:rsidRPr="00603CC4" w:rsidRDefault="00B20392" w:rsidP="00603CC4">
            <w:pPr>
              <w:spacing w:after="0" w:line="240" w:lineRule="auto"/>
            </w:pPr>
            <w:r w:rsidRPr="00603CC4">
              <w:t>V</w:t>
            </w:r>
            <w:r w:rsidR="0021001A">
              <w:t>23</w:t>
            </w:r>
            <w:r w:rsidRPr="00603CC4">
              <w:t>1</w:t>
            </w:r>
          </w:p>
        </w:tc>
        <w:tc>
          <w:tcPr>
            <w:tcW w:w="596" w:type="dxa"/>
            <w:vAlign w:val="center"/>
          </w:tcPr>
          <w:p w:rsidR="00B20392" w:rsidRPr="00603CC4" w:rsidRDefault="00B20392" w:rsidP="00FA5311">
            <w:pPr>
              <w:spacing w:after="0" w:line="240" w:lineRule="auto"/>
              <w:ind w:right="-79"/>
            </w:pPr>
            <w:r w:rsidRPr="00603CC4">
              <w:lastRenderedPageBreak/>
              <w:t xml:space="preserve">Pr. 2 B:A </w:t>
            </w:r>
          </w:p>
          <w:p w:rsidR="00B20392" w:rsidRPr="00603CC4" w:rsidRDefault="00B20392" w:rsidP="00603CC4">
            <w:pPr>
              <w:spacing w:after="0" w:line="240" w:lineRule="auto"/>
            </w:pPr>
            <w:r w:rsidRPr="00603CC4">
              <w:t>B</w:t>
            </w:r>
            <w:r w:rsidR="00350F06">
              <w:t>:</w:t>
            </w:r>
            <w:r w:rsidRPr="00603CC4">
              <w:t>B</w:t>
            </w: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Default="00B20392" w:rsidP="00603CC4">
            <w:pPr>
              <w:spacing w:after="0" w:line="240" w:lineRule="auto"/>
            </w:pPr>
          </w:p>
          <w:p w:rsidR="0021001A" w:rsidRDefault="0021001A" w:rsidP="00603CC4">
            <w:pPr>
              <w:spacing w:after="0" w:line="240" w:lineRule="auto"/>
            </w:pPr>
          </w:p>
          <w:p w:rsidR="0021001A" w:rsidRDefault="0021001A" w:rsidP="00603CC4">
            <w:pPr>
              <w:spacing w:after="0" w:line="240" w:lineRule="auto"/>
            </w:pPr>
          </w:p>
          <w:p w:rsidR="00B20392" w:rsidRPr="00603CC4" w:rsidRDefault="00B20392" w:rsidP="00603CC4">
            <w:pPr>
              <w:spacing w:after="0" w:line="240" w:lineRule="auto"/>
            </w:pPr>
            <w:r w:rsidRPr="00603CC4">
              <w:t>P7</w:t>
            </w:r>
          </w:p>
        </w:tc>
        <w:tc>
          <w:tcPr>
            <w:tcW w:w="6396" w:type="dxa"/>
          </w:tcPr>
          <w:p w:rsidR="0021001A" w:rsidRPr="00EF5876" w:rsidRDefault="0021001A" w:rsidP="00603CC4">
            <w:pPr>
              <w:spacing w:after="0" w:line="240" w:lineRule="auto"/>
              <w:rPr>
                <w:lang w:eastAsia="sk-SK"/>
              </w:rPr>
            </w:pPr>
            <w:r w:rsidRPr="00EF5876">
              <w:rPr>
                <w:lang w:eastAsia="sk-SK"/>
              </w:rPr>
              <w:lastRenderedPageBreak/>
              <w:t xml:space="preserve">Stála evidencie  sa vedie v závislosti od charakteru stacionárneho zdroja, jeho časti a zariadení a obsahuje údaje o </w:t>
            </w:r>
          </w:p>
          <w:p w:rsidR="00B20392" w:rsidRPr="00EF5876" w:rsidRDefault="0021001A" w:rsidP="00603CC4">
            <w:pPr>
              <w:spacing w:after="0" w:line="240" w:lineRule="auto"/>
              <w:rPr>
                <w:lang w:eastAsia="sk-SK"/>
              </w:rPr>
            </w:pPr>
            <w:r w:rsidRPr="00EF5876">
              <w:rPr>
                <w:lang w:eastAsia="sk-SK"/>
              </w:rPr>
              <w:t>1.</w:t>
            </w:r>
            <w:r w:rsidR="00B20392" w:rsidRPr="00EF5876">
              <w:rPr>
                <w:lang w:eastAsia="sk-SK"/>
              </w:rPr>
              <w:t>identifikačných údajoch o prevádzkovateľovi stacionárneho zdroja,</w:t>
            </w:r>
          </w:p>
          <w:p w:rsidR="00B20392" w:rsidRPr="00EF5876" w:rsidRDefault="00B20392" w:rsidP="00603CC4">
            <w:pPr>
              <w:spacing w:after="0" w:line="240" w:lineRule="auto"/>
              <w:rPr>
                <w:lang w:eastAsia="sk-SK"/>
              </w:rPr>
            </w:pPr>
            <w:r w:rsidRPr="00EF5876">
              <w:rPr>
                <w:lang w:eastAsia="sk-SK"/>
              </w:rPr>
              <w:t>2.stacionárnom zdroji a jeho prevádzke,</w:t>
            </w:r>
          </w:p>
          <w:p w:rsidR="00B20392" w:rsidRPr="00EF5876" w:rsidRDefault="00B20392" w:rsidP="00603CC4">
            <w:pPr>
              <w:spacing w:after="0" w:line="240" w:lineRule="auto"/>
              <w:rPr>
                <w:lang w:eastAsia="sk-SK"/>
              </w:rPr>
            </w:pPr>
            <w:r w:rsidRPr="00EF5876">
              <w:rPr>
                <w:lang w:eastAsia="sk-SK"/>
              </w:rPr>
              <w:t xml:space="preserve">3.vydaných súhlasoch, rozhodnutiach a povoleniach stacionárneho zdroja, časti zdroja vrátane identifikácie ich zmien a obnovených povolení, </w:t>
            </w:r>
          </w:p>
          <w:p w:rsidR="00B20392" w:rsidRPr="00EF5876" w:rsidRDefault="00B20392" w:rsidP="00603CC4">
            <w:pPr>
              <w:spacing w:after="0" w:line="240" w:lineRule="auto"/>
              <w:rPr>
                <w:lang w:eastAsia="sk-SK"/>
              </w:rPr>
            </w:pPr>
            <w:r w:rsidRPr="00EF5876">
              <w:rPr>
                <w:lang w:eastAsia="sk-SK"/>
              </w:rPr>
              <w:t>4.kategorizácii zdroja, začlenení stacionárneho zdroja,</w:t>
            </w:r>
          </w:p>
          <w:p w:rsidR="00B20392" w:rsidRPr="00EF5876" w:rsidRDefault="00B20392" w:rsidP="00603CC4">
            <w:pPr>
              <w:spacing w:after="0" w:line="240" w:lineRule="auto"/>
              <w:rPr>
                <w:lang w:eastAsia="sk-SK"/>
              </w:rPr>
            </w:pPr>
            <w:r w:rsidRPr="00EF5876">
              <w:rPr>
                <w:lang w:eastAsia="sk-SK"/>
              </w:rPr>
              <w:t>5.skladbe stacionárneho zdroja, častiach zdroja, zariadeniach stacionárneho zdroja,</w:t>
            </w:r>
          </w:p>
          <w:p w:rsidR="00B20392" w:rsidRPr="00EF5876" w:rsidRDefault="00B20392" w:rsidP="00603CC4">
            <w:pPr>
              <w:spacing w:after="0" w:line="240" w:lineRule="auto"/>
              <w:rPr>
                <w:lang w:eastAsia="sk-SK"/>
              </w:rPr>
            </w:pPr>
            <w:r w:rsidRPr="00EF5876">
              <w:rPr>
                <w:lang w:eastAsia="sk-SK"/>
              </w:rPr>
              <w:t xml:space="preserve">6.charakteristikách vybraných stacionárnych zdrojoch, ako sú spaľovacie zariadenia, spaľovne odpadov, zariadenia na spoluspaľovanie odpadov, zariadenia používajúce organické rozpúšťadlá, distribučné sklady benzínu a čerpacie stanice pohonných látok, </w:t>
            </w:r>
          </w:p>
          <w:p w:rsidR="00B20392" w:rsidRPr="00EF5876" w:rsidRDefault="00B20392" w:rsidP="00603CC4">
            <w:pPr>
              <w:spacing w:after="0" w:line="240" w:lineRule="auto"/>
              <w:rPr>
                <w:lang w:eastAsia="sk-SK"/>
              </w:rPr>
            </w:pPr>
            <w:r w:rsidRPr="00EF5876">
              <w:rPr>
                <w:lang w:eastAsia="sk-SK"/>
              </w:rPr>
              <w:t>7.palivách, surovinách, výrobkoch,</w:t>
            </w:r>
          </w:p>
          <w:p w:rsidR="00B20392" w:rsidRPr="00EF5876" w:rsidRDefault="00B20392" w:rsidP="00603CC4">
            <w:pPr>
              <w:spacing w:after="0" w:line="240" w:lineRule="auto"/>
              <w:rPr>
                <w:lang w:eastAsia="sk-SK"/>
              </w:rPr>
            </w:pPr>
            <w:r w:rsidRPr="00EF5876">
              <w:rPr>
                <w:lang w:eastAsia="sk-SK"/>
              </w:rPr>
              <w:t>8.režime prevádzky,</w:t>
            </w:r>
          </w:p>
          <w:p w:rsidR="00B20392" w:rsidRPr="00EF5876" w:rsidRDefault="00B20392" w:rsidP="00603CC4">
            <w:pPr>
              <w:spacing w:after="0" w:line="240" w:lineRule="auto"/>
              <w:rPr>
                <w:lang w:eastAsia="sk-SK"/>
              </w:rPr>
            </w:pPr>
            <w:r w:rsidRPr="00EF5876">
              <w:rPr>
                <w:lang w:eastAsia="sk-SK"/>
              </w:rPr>
              <w:t>9.požiadavkách na stacionárny zdroj z hľadiska ochrany ovzdušia,</w:t>
            </w:r>
          </w:p>
          <w:p w:rsidR="00B20392" w:rsidRPr="00EF5876" w:rsidRDefault="00B20392" w:rsidP="00603CC4">
            <w:pPr>
              <w:spacing w:after="0" w:line="240" w:lineRule="auto"/>
              <w:rPr>
                <w:lang w:eastAsia="sk-SK"/>
              </w:rPr>
            </w:pPr>
            <w:r w:rsidRPr="00EF5876">
              <w:rPr>
                <w:lang w:eastAsia="sk-SK"/>
              </w:rPr>
              <w:t>10.zariadeniach na znižovanie emisií,</w:t>
            </w:r>
          </w:p>
          <w:p w:rsidR="00B20392" w:rsidRPr="00EF5876" w:rsidRDefault="00B20392" w:rsidP="00603CC4">
            <w:pPr>
              <w:spacing w:after="0" w:line="240" w:lineRule="auto"/>
              <w:rPr>
                <w:lang w:eastAsia="sk-SK"/>
              </w:rPr>
            </w:pPr>
            <w:r w:rsidRPr="00EF5876">
              <w:rPr>
                <w:lang w:eastAsia="sk-SK"/>
              </w:rPr>
              <w:t>11.miestach vypúšťania emisií,</w:t>
            </w:r>
          </w:p>
          <w:p w:rsidR="00B20392" w:rsidRPr="00EF5876" w:rsidRDefault="00B20392" w:rsidP="00603CC4">
            <w:pPr>
              <w:spacing w:after="0" w:line="240" w:lineRule="auto"/>
              <w:rPr>
                <w:lang w:eastAsia="sk-SK"/>
              </w:rPr>
            </w:pPr>
            <w:r w:rsidRPr="00EF5876">
              <w:rPr>
                <w:lang w:eastAsia="sk-SK"/>
              </w:rPr>
              <w:t>12.vypúšťaných znečisťujúcich látkach,</w:t>
            </w:r>
          </w:p>
          <w:p w:rsidR="00B20392" w:rsidRPr="00EF5876" w:rsidRDefault="00B20392" w:rsidP="00603CC4">
            <w:pPr>
              <w:spacing w:after="0" w:line="240" w:lineRule="auto"/>
              <w:rPr>
                <w:lang w:eastAsia="sk-SK"/>
              </w:rPr>
            </w:pPr>
            <w:r w:rsidRPr="00EF5876">
              <w:rPr>
                <w:lang w:eastAsia="sk-SK"/>
              </w:rPr>
              <w:t xml:space="preserve">13.zisťovaní, podmienkach zisťovania a preukazovania dodržiavania emisných limitov, technických požiadaviek a všeobecných podmienok prevádzkovania, ak sú ustanovené ako číselná hodnota. </w:t>
            </w:r>
          </w:p>
          <w:p w:rsidR="00B20392" w:rsidRPr="00EF5876" w:rsidRDefault="00B20392" w:rsidP="00603CC4">
            <w:pPr>
              <w:spacing w:after="0" w:line="240" w:lineRule="auto"/>
              <w:rPr>
                <w:lang w:eastAsia="sk-SK"/>
              </w:rPr>
            </w:pPr>
            <w:r w:rsidRPr="00EF5876">
              <w:rPr>
                <w:lang w:eastAsia="sk-SK"/>
              </w:rPr>
              <w:t>B.</w:t>
            </w:r>
          </w:p>
          <w:p w:rsidR="00B20392" w:rsidRPr="00EF5876" w:rsidRDefault="00B20392" w:rsidP="00603CC4">
            <w:pPr>
              <w:spacing w:after="0" w:line="240" w:lineRule="auto"/>
              <w:rPr>
                <w:lang w:eastAsia="sk-SK"/>
              </w:rPr>
            </w:pPr>
            <w:r w:rsidRPr="00EF5876">
              <w:rPr>
                <w:lang w:eastAsia="sk-SK"/>
              </w:rPr>
              <w:lastRenderedPageBreak/>
              <w:t>Ročná evidencia</w:t>
            </w:r>
          </w:p>
          <w:p w:rsidR="00B20392" w:rsidRPr="00EF5876" w:rsidRDefault="00B20392" w:rsidP="00603CC4">
            <w:pPr>
              <w:spacing w:after="0" w:line="240" w:lineRule="auto"/>
              <w:rPr>
                <w:lang w:eastAsia="sk-SK"/>
              </w:rPr>
            </w:pPr>
            <w:r w:rsidRPr="00EF5876">
              <w:rPr>
                <w:lang w:eastAsia="sk-SK"/>
              </w:rPr>
              <w:t xml:space="preserve">Ročná evidencia sa vedie v závislosti od charakteru stacionárneho zdroja, jeho častí a zariadení a obsahuje údaje o </w:t>
            </w:r>
          </w:p>
          <w:p w:rsidR="00B20392" w:rsidRPr="00EF5876" w:rsidRDefault="00B20392" w:rsidP="00603CC4">
            <w:pPr>
              <w:spacing w:after="0" w:line="240" w:lineRule="auto"/>
              <w:rPr>
                <w:lang w:eastAsia="sk-SK"/>
              </w:rPr>
            </w:pPr>
            <w:r w:rsidRPr="00EF5876">
              <w:rPr>
                <w:lang w:eastAsia="sk-SK"/>
              </w:rPr>
              <w:t>1.prevádzke stacionárneho zdroja v uplynulom roku,</w:t>
            </w:r>
          </w:p>
          <w:p w:rsidR="00B20392" w:rsidRPr="00EF5876" w:rsidRDefault="00B20392" w:rsidP="00603CC4">
            <w:pPr>
              <w:spacing w:after="0" w:line="240" w:lineRule="auto"/>
              <w:rPr>
                <w:lang w:eastAsia="sk-SK"/>
              </w:rPr>
            </w:pPr>
            <w:r w:rsidRPr="00EF5876">
              <w:rPr>
                <w:lang w:eastAsia="sk-SK"/>
              </w:rPr>
              <w:t>2.počte prevádzkových hodín za rok,</w:t>
            </w:r>
          </w:p>
          <w:p w:rsidR="00B20392" w:rsidRPr="00EF5876" w:rsidRDefault="00B20392" w:rsidP="00603CC4">
            <w:pPr>
              <w:spacing w:after="0" w:line="240" w:lineRule="auto"/>
              <w:rPr>
                <w:lang w:eastAsia="sk-SK"/>
              </w:rPr>
            </w:pPr>
            <w:r w:rsidRPr="00EF5876">
              <w:rPr>
                <w:lang w:eastAsia="sk-SK"/>
              </w:rPr>
              <w:t>3.spotrebe palív a ich výhrevnosti a akostných znakoch,</w:t>
            </w:r>
          </w:p>
          <w:p w:rsidR="00B20392" w:rsidRPr="00EF5876" w:rsidRDefault="00B20392" w:rsidP="00603CC4">
            <w:pPr>
              <w:spacing w:after="0" w:line="240" w:lineRule="auto"/>
              <w:rPr>
                <w:lang w:eastAsia="sk-SK"/>
              </w:rPr>
            </w:pPr>
            <w:r w:rsidRPr="00EF5876">
              <w:rPr>
                <w:lang w:eastAsia="sk-SK"/>
              </w:rPr>
              <w:t>4.spálených odpadoch a ich druhoch,</w:t>
            </w:r>
          </w:p>
          <w:p w:rsidR="00B20392" w:rsidRPr="00EF5876" w:rsidRDefault="00B20392" w:rsidP="00603CC4">
            <w:pPr>
              <w:spacing w:after="0" w:line="240" w:lineRule="auto"/>
              <w:rPr>
                <w:lang w:eastAsia="sk-SK"/>
              </w:rPr>
            </w:pPr>
            <w:r w:rsidRPr="00EF5876">
              <w:rPr>
                <w:lang w:eastAsia="sk-SK"/>
              </w:rPr>
              <w:t>5.spotrebe surovín za rok,</w:t>
            </w:r>
          </w:p>
          <w:p w:rsidR="00B20392" w:rsidRPr="00EF5876" w:rsidRDefault="00B20392" w:rsidP="00603CC4">
            <w:pPr>
              <w:spacing w:after="0" w:line="240" w:lineRule="auto"/>
              <w:rPr>
                <w:lang w:eastAsia="sk-SK"/>
              </w:rPr>
            </w:pPr>
            <w:r w:rsidRPr="00EF5876">
              <w:rPr>
                <w:lang w:eastAsia="sk-SK"/>
              </w:rPr>
              <w:t>6.spotrebe organických rozpúšťadiel za rok a ich bilancii,</w:t>
            </w:r>
          </w:p>
          <w:p w:rsidR="00B20392" w:rsidRPr="00EF5876" w:rsidRDefault="00B20392" w:rsidP="00603CC4">
            <w:pPr>
              <w:spacing w:after="0" w:line="240" w:lineRule="auto"/>
              <w:rPr>
                <w:lang w:eastAsia="sk-SK"/>
              </w:rPr>
            </w:pPr>
            <w:r w:rsidRPr="00EF5876">
              <w:rPr>
                <w:lang w:eastAsia="sk-SK"/>
              </w:rPr>
              <w:t>7.ročnej produkcii vybraných stacionárnych zdrojov,</w:t>
            </w:r>
          </w:p>
          <w:p w:rsidR="00B20392" w:rsidRPr="00EF5876" w:rsidRDefault="00B20392" w:rsidP="00603CC4">
            <w:pPr>
              <w:spacing w:after="0" w:line="240" w:lineRule="auto"/>
              <w:rPr>
                <w:lang w:eastAsia="sk-SK"/>
              </w:rPr>
            </w:pPr>
            <w:r w:rsidRPr="00EF5876">
              <w:rPr>
                <w:lang w:eastAsia="sk-SK"/>
              </w:rPr>
              <w:t>8.množstve vyrobenej energie za rok,</w:t>
            </w:r>
          </w:p>
          <w:p w:rsidR="00B20392" w:rsidRPr="00EF5876" w:rsidRDefault="00B20392" w:rsidP="00603CC4">
            <w:pPr>
              <w:spacing w:after="0" w:line="240" w:lineRule="auto"/>
              <w:rPr>
                <w:lang w:eastAsia="sk-SK"/>
              </w:rPr>
            </w:pPr>
            <w:r w:rsidRPr="00EF5876">
              <w:rPr>
                <w:lang w:eastAsia="sk-SK"/>
              </w:rPr>
              <w:t>9.množstve vypustených znečisťujúcich látok a jeho zisťovaní,</w:t>
            </w:r>
          </w:p>
          <w:p w:rsidR="00B20392" w:rsidRPr="00EF5876" w:rsidRDefault="00B20392" w:rsidP="00603CC4">
            <w:pPr>
              <w:spacing w:after="0" w:line="240" w:lineRule="auto"/>
              <w:rPr>
                <w:lang w:eastAsia="sk-SK"/>
              </w:rPr>
            </w:pPr>
            <w:r w:rsidRPr="00EF5876">
              <w:rPr>
                <w:lang w:eastAsia="sk-SK"/>
              </w:rPr>
              <w:t xml:space="preserve">10.množstve vzťažnej veličiny a hodnote mernej veličiny, ak sa množstvo emisií zisťuje výpočtom, </w:t>
            </w:r>
          </w:p>
          <w:p w:rsidR="00B20392" w:rsidRPr="00EF5876" w:rsidRDefault="00B20392" w:rsidP="00603CC4">
            <w:pPr>
              <w:spacing w:after="0" w:line="240" w:lineRule="auto"/>
              <w:rPr>
                <w:lang w:eastAsia="sk-SK"/>
              </w:rPr>
            </w:pPr>
            <w:r w:rsidRPr="00EF5876">
              <w:rPr>
                <w:lang w:eastAsia="sk-SK"/>
              </w:rPr>
              <w:t>11.množstve pridelených a odovzdaných kvót znečisťujúcich látok za rok,</w:t>
            </w:r>
          </w:p>
          <w:p w:rsidR="00B20392" w:rsidRPr="00EF5876" w:rsidRDefault="00B20392" w:rsidP="00603CC4">
            <w:pPr>
              <w:spacing w:after="0" w:line="240" w:lineRule="auto"/>
              <w:rPr>
                <w:lang w:eastAsia="sk-SK"/>
              </w:rPr>
            </w:pPr>
            <w:r w:rsidRPr="00EF5876">
              <w:rPr>
                <w:lang w:eastAsia="sk-SK"/>
              </w:rPr>
              <w:t>12.poplatkoch za emisie,</w:t>
            </w:r>
          </w:p>
          <w:p w:rsidR="00B20392" w:rsidRPr="00EF5876" w:rsidRDefault="00B20392" w:rsidP="00603CC4">
            <w:pPr>
              <w:spacing w:after="0" w:line="240" w:lineRule="auto"/>
              <w:rPr>
                <w:lang w:eastAsia="sk-SK"/>
              </w:rPr>
            </w:pPr>
            <w:r w:rsidRPr="00EF5876">
              <w:rPr>
                <w:lang w:eastAsia="sk-SK"/>
              </w:rPr>
              <w:t>13.prevádzke a výpadkoch zariadenia na znižovanie emisií, dosiahnutej účinnosti znižovania,</w:t>
            </w:r>
          </w:p>
          <w:p w:rsidR="00B20392" w:rsidRPr="00EF5876" w:rsidRDefault="00B20392" w:rsidP="00603CC4">
            <w:pPr>
              <w:spacing w:after="0" w:line="240" w:lineRule="auto"/>
              <w:rPr>
                <w:lang w:eastAsia="sk-SK"/>
              </w:rPr>
            </w:pPr>
            <w:r w:rsidRPr="00EF5876">
              <w:rPr>
                <w:lang w:eastAsia="sk-SK"/>
              </w:rPr>
              <w:t xml:space="preserve">14.dodržaní emisných limitov, emisných kvót, technických požiadaviek a všeobecných podmienok prevádzky a podmienok prevádzkovania určených súhlasom, rozhodnutím alebo integrovaným povolením, </w:t>
            </w:r>
          </w:p>
          <w:p w:rsidR="00B20392" w:rsidRPr="00EF5876" w:rsidRDefault="00B20392" w:rsidP="00603CC4">
            <w:pPr>
              <w:spacing w:after="0" w:line="240" w:lineRule="auto"/>
              <w:rPr>
                <w:lang w:eastAsia="sk-SK"/>
              </w:rPr>
            </w:pPr>
            <w:r w:rsidRPr="00EF5876">
              <w:rPr>
                <w:lang w:eastAsia="sk-SK"/>
              </w:rPr>
              <w:t>15.uplatňovaní výnimiek, ak boli pre stacionárny zdroj povolené,</w:t>
            </w:r>
          </w:p>
          <w:p w:rsidR="00B20392" w:rsidRPr="00EF5876" w:rsidRDefault="00B20392" w:rsidP="00603CC4">
            <w:pPr>
              <w:spacing w:after="0" w:line="240" w:lineRule="auto"/>
              <w:rPr>
                <w:lang w:eastAsia="sk-SK"/>
              </w:rPr>
            </w:pPr>
            <w:r w:rsidRPr="00EF5876">
              <w:rPr>
                <w:lang w:eastAsia="sk-SK"/>
              </w:rPr>
              <w:t>16.prekročení emisného limitu,</w:t>
            </w:r>
          </w:p>
          <w:p w:rsidR="00B20392" w:rsidRPr="00EF5876" w:rsidRDefault="00B20392" w:rsidP="00603CC4">
            <w:pPr>
              <w:spacing w:after="0" w:line="240" w:lineRule="auto"/>
              <w:rPr>
                <w:lang w:eastAsia="sk-SK"/>
              </w:rPr>
            </w:pPr>
            <w:r w:rsidRPr="00EF5876">
              <w:rPr>
                <w:lang w:eastAsia="sk-SK"/>
              </w:rPr>
              <w:t>17.nedodržaní technickej požiadavky a všeobecnej podmienky prevádzkovania,</w:t>
            </w:r>
          </w:p>
          <w:p w:rsidR="00B20392" w:rsidRPr="00EF5876" w:rsidRDefault="00B20392" w:rsidP="00603CC4">
            <w:pPr>
              <w:spacing w:after="0" w:line="240" w:lineRule="auto"/>
              <w:rPr>
                <w:lang w:eastAsia="sk-SK"/>
              </w:rPr>
            </w:pPr>
            <w:r w:rsidRPr="00EF5876">
              <w:rPr>
                <w:lang w:eastAsia="sk-SK"/>
              </w:rPr>
              <w:t>18.plnení opatrení na nápravu, ak boli uložené,</w:t>
            </w:r>
          </w:p>
          <w:p w:rsidR="00B20392" w:rsidRPr="00EF5876" w:rsidRDefault="00B20392" w:rsidP="00603CC4">
            <w:pPr>
              <w:spacing w:after="0" w:line="240" w:lineRule="auto"/>
              <w:rPr>
                <w:lang w:eastAsia="sk-SK"/>
              </w:rPr>
            </w:pPr>
            <w:r w:rsidRPr="00EF5876">
              <w:rPr>
                <w:lang w:eastAsia="sk-SK"/>
              </w:rPr>
              <w:t xml:space="preserve">19.zisťovaní, podmienkach zisťovania a preukazovania dodržiavania emisných limitov, technických požiadaviek a všeobecných podmienok prevádzkovania, ak sú ustanovené ako číselná hodnota, termínoch a lehotách vykonávania diskontinuálneho merania, o funkčných skúškach automatizovaného meracieho systému, ak je inštalovaný, </w:t>
            </w:r>
          </w:p>
          <w:p w:rsidR="00B20392" w:rsidRPr="00EF5876" w:rsidRDefault="00B20392" w:rsidP="00603CC4">
            <w:pPr>
              <w:spacing w:after="0" w:line="240" w:lineRule="auto"/>
              <w:rPr>
                <w:lang w:eastAsia="sk-SK"/>
              </w:rPr>
            </w:pPr>
            <w:r w:rsidRPr="00EF5876">
              <w:rPr>
                <w:lang w:eastAsia="sk-SK"/>
              </w:rPr>
              <w:t>20.špecifických údajoch C.</w:t>
            </w:r>
          </w:p>
          <w:p w:rsidR="00B20392" w:rsidRPr="00EF5876" w:rsidRDefault="00B20392" w:rsidP="00603CC4">
            <w:pPr>
              <w:spacing w:after="0" w:line="240" w:lineRule="auto"/>
              <w:rPr>
                <w:b/>
                <w:bCs/>
                <w:lang w:eastAsia="sk-SK"/>
              </w:rPr>
            </w:pPr>
            <w:r w:rsidRPr="00EF5876">
              <w:rPr>
                <w:b/>
                <w:bCs/>
                <w:lang w:eastAsia="sk-SK"/>
              </w:rPr>
              <w:lastRenderedPageBreak/>
              <w:t>Priebežná evidencia</w:t>
            </w:r>
          </w:p>
          <w:p w:rsidR="00B20392" w:rsidRPr="00EF5876" w:rsidRDefault="00B20392" w:rsidP="00603CC4">
            <w:pPr>
              <w:spacing w:after="0" w:line="240" w:lineRule="auto"/>
              <w:rPr>
                <w:lang w:eastAsia="sk-SK"/>
              </w:rPr>
            </w:pPr>
            <w:r w:rsidRPr="00EF5876">
              <w:rPr>
                <w:lang w:eastAsia="sk-SK"/>
              </w:rPr>
              <w:t xml:space="preserve">Priebežná evidencia sa vedie v závislosti od charakteru stacionárneho zdroja, jeho časti a zariadení a obsahuje údaje o </w:t>
            </w:r>
          </w:p>
          <w:p w:rsidR="00B20392" w:rsidRPr="00EF5876" w:rsidRDefault="00B20392" w:rsidP="00603CC4">
            <w:pPr>
              <w:spacing w:after="0" w:line="240" w:lineRule="auto"/>
              <w:rPr>
                <w:lang w:eastAsia="sk-SK"/>
              </w:rPr>
            </w:pPr>
            <w:r w:rsidRPr="00EF5876">
              <w:rPr>
                <w:lang w:eastAsia="sk-SK"/>
              </w:rPr>
              <w:t xml:space="preserve">1.sledovaných aktuálnych parametroch prevádzky, opatreniach a ďalších údajoch podľa dokumentácie, súhlase, rozhodnutí a povolení, </w:t>
            </w:r>
          </w:p>
          <w:p w:rsidR="00B20392" w:rsidRPr="00EF5876" w:rsidRDefault="00B20392" w:rsidP="00603CC4">
            <w:pPr>
              <w:spacing w:after="0" w:line="240" w:lineRule="auto"/>
              <w:rPr>
                <w:lang w:eastAsia="sk-SK"/>
              </w:rPr>
            </w:pPr>
            <w:r w:rsidRPr="00EF5876">
              <w:rPr>
                <w:lang w:eastAsia="sk-SK"/>
              </w:rPr>
              <w:t xml:space="preserve">2.množstve a kvalite palív, surovín, výrobkov, vyrobenej energii a iných súvisiacich činnostiach podľa zavedenej evidencie - času výroby, výrobných šarží, dodávok alebo iných zavedených kritérií, </w:t>
            </w:r>
          </w:p>
          <w:p w:rsidR="00B20392" w:rsidRPr="00EF5876" w:rsidRDefault="00B20392" w:rsidP="00603CC4">
            <w:pPr>
              <w:spacing w:after="0" w:line="240" w:lineRule="auto"/>
              <w:rPr>
                <w:lang w:eastAsia="sk-SK"/>
              </w:rPr>
            </w:pPr>
            <w:r w:rsidRPr="00EF5876">
              <w:rPr>
                <w:lang w:eastAsia="sk-SK"/>
              </w:rPr>
              <w:t>3.prekročeniach emisných limitov,</w:t>
            </w:r>
          </w:p>
          <w:p w:rsidR="00B20392" w:rsidRPr="00EF5876" w:rsidRDefault="00B20392" w:rsidP="00603CC4">
            <w:pPr>
              <w:spacing w:after="0" w:line="240" w:lineRule="auto"/>
              <w:rPr>
                <w:lang w:eastAsia="sk-SK"/>
              </w:rPr>
            </w:pPr>
            <w:r w:rsidRPr="00EF5876">
              <w:rPr>
                <w:lang w:eastAsia="sk-SK"/>
              </w:rPr>
              <w:t xml:space="preserve">4.ďalších údajoch o stacionárnom zdroji, jeho častiach a zariadeniach, ktoré ustanovujú všeobecne záväzné právne predpisy vydané na vykonanie zákona, </w:t>
            </w:r>
          </w:p>
          <w:p w:rsidR="00B20392" w:rsidRPr="00EF5876" w:rsidRDefault="00B20392" w:rsidP="00603CC4">
            <w:pPr>
              <w:spacing w:after="0" w:line="240" w:lineRule="auto"/>
              <w:rPr>
                <w:lang w:eastAsia="sk-SK"/>
              </w:rPr>
            </w:pPr>
            <w:r w:rsidRPr="00EF5876">
              <w:rPr>
                <w:lang w:eastAsia="sk-SK"/>
              </w:rPr>
              <w:t xml:space="preserve">5.ďalších údajoch o stacionárnom zdroji, jeho častiach a zariadeniach, o súhlasoch, rozhodnutiach a povoleniach, o výrobe a spotrebe palív, surovín a energií, </w:t>
            </w:r>
          </w:p>
          <w:p w:rsidR="00B20392" w:rsidRPr="00EF5876" w:rsidRDefault="00B20392" w:rsidP="00603CC4">
            <w:pPr>
              <w:spacing w:after="0" w:line="240" w:lineRule="auto"/>
              <w:rPr>
                <w:lang w:eastAsia="sk-SK"/>
              </w:rPr>
            </w:pPr>
            <w:r w:rsidRPr="00EF5876">
              <w:rPr>
                <w:lang w:eastAsia="sk-SK"/>
              </w:rPr>
              <w:t>6.plnení opatrenia na nápravu, ak bolo vydané,</w:t>
            </w:r>
          </w:p>
          <w:p w:rsidR="00B20392" w:rsidRPr="00EF5876" w:rsidRDefault="00B20392" w:rsidP="00603CC4">
            <w:pPr>
              <w:spacing w:after="0" w:line="240" w:lineRule="auto"/>
              <w:rPr>
                <w:lang w:eastAsia="sk-SK"/>
              </w:rPr>
            </w:pPr>
            <w:r w:rsidRPr="00EF5876">
              <w:rPr>
                <w:lang w:eastAsia="sk-SK"/>
              </w:rPr>
              <w:t>7.nebezpečných stavoch stacionárneho zdroja - poruchách a haváriách.</w:t>
            </w:r>
          </w:p>
          <w:p w:rsidR="00B20392" w:rsidRPr="00EF5876" w:rsidRDefault="00B20392" w:rsidP="00603CC4">
            <w:pPr>
              <w:spacing w:after="0" w:line="240" w:lineRule="auto"/>
            </w:pPr>
            <w:r w:rsidRPr="00EF5876">
              <w:t>§ 7</w:t>
            </w:r>
          </w:p>
          <w:p w:rsidR="00B20392" w:rsidRPr="00EF5876" w:rsidRDefault="00B20392" w:rsidP="00603CC4">
            <w:pPr>
              <w:spacing w:after="0" w:line="240" w:lineRule="auto"/>
            </w:pPr>
            <w:r w:rsidRPr="00EF5876">
              <w:t>Uchovávanie údajov z evidencie</w:t>
            </w:r>
          </w:p>
          <w:p w:rsidR="00B20392" w:rsidRPr="00EF5876" w:rsidRDefault="00B20392" w:rsidP="00603CC4">
            <w:pPr>
              <w:spacing w:after="0" w:line="240" w:lineRule="auto"/>
            </w:pPr>
            <w:r w:rsidRPr="00EF5876">
              <w:t xml:space="preserve">(1)Stála evidencia sa uchováva najmenej päť rokov po skončení prevádzky stacionárneho zdroja; uvedené sa uplatňuje aj na zmenenú dokumentáciu po roku zmeny stacionárneho zdroja, jeho časti, zariadenia alebo technológie. </w:t>
            </w:r>
          </w:p>
          <w:p w:rsidR="00B20392" w:rsidRPr="00EF5876" w:rsidRDefault="00B20392" w:rsidP="00603CC4">
            <w:pPr>
              <w:spacing w:after="0" w:line="240" w:lineRule="auto"/>
            </w:pPr>
            <w:r w:rsidRPr="00EF5876">
              <w:t xml:space="preserve">(2) Správy z merania podľa </w:t>
            </w:r>
            <w:hyperlink r:id="rId21" w:anchor="paragraf-3.odsek-7" w:tooltip="Odkaz na predpis alebo ustanovenie" w:history="1">
              <w:r w:rsidRPr="00EF5876">
                <w:rPr>
                  <w:rStyle w:val="Hypertextovprepojenie"/>
                  <w:color w:val="auto"/>
                </w:rPr>
                <w:t>§ 3 ods. 7</w:t>
              </w:r>
            </w:hyperlink>
            <w:r w:rsidRPr="00EF5876">
              <w:t xml:space="preserve"> sa uchovávajú do vykonania ďalšieho merania, najmenej päť rokov. Dlhšia lehota uchovávania informačných podkladov určená osobitnými predpismi tým nie je dotknutá.</w:t>
            </w:r>
            <w:hyperlink r:id="rId22" w:anchor="poznamky.poznamka-1" w:tooltip="Odkaz na predpis alebo ustanovenie" w:history="1">
              <w:r w:rsidRPr="00EF5876">
                <w:rPr>
                  <w:rStyle w:val="Hypertextovprepojenie"/>
                  <w:color w:val="auto"/>
                  <w:vertAlign w:val="superscript"/>
                </w:rPr>
                <w:t>1</w:t>
              </w:r>
              <w:r w:rsidRPr="00EF5876">
                <w:rPr>
                  <w:rStyle w:val="Hypertextovprepojenie"/>
                  <w:color w:val="auto"/>
                </w:rPr>
                <w:t>)</w:t>
              </w:r>
            </w:hyperlink>
          </w:p>
          <w:p w:rsidR="00B20392" w:rsidRPr="00EF5876" w:rsidRDefault="00B20392" w:rsidP="00603CC4">
            <w:pPr>
              <w:spacing w:after="0" w:line="240" w:lineRule="auto"/>
            </w:pPr>
            <w:r w:rsidRPr="00EF5876">
              <w:t xml:space="preserve">(3) Údaje z priebežnej evidencie sa uchovávajú najmenej päť rokov. Orgánom ochrany ovzdušia sa poskytujú na vyžiadanie. Vyžiadanie ďalších údajov, ktoré sú potrebné na zistenie stavu ochrany ovzdušia, tým nie je dotknuté. </w:t>
            </w:r>
          </w:p>
          <w:p w:rsidR="00B20392" w:rsidRPr="00EF5876" w:rsidRDefault="00B20392" w:rsidP="00603CC4">
            <w:pPr>
              <w:spacing w:after="0" w:line="240" w:lineRule="auto"/>
            </w:pPr>
            <w:r w:rsidRPr="00EF5876">
              <w:t xml:space="preserve">(4) Evidencia a príslušné informačné podklady sa vedú a uchovávajú tak, aby boli chránené proti neoprávneným zásahom, zmenám a strate údajov. Ak sa vedú len v elektronickej podobe, príslušné </w:t>
            </w:r>
            <w:r w:rsidRPr="00EF5876">
              <w:lastRenderedPageBreak/>
              <w:t xml:space="preserve">elektronické prostriedky musia zabezpečiť uchovanie údajov aj počas porúch elektrického napájania. </w:t>
            </w: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pPr>
            <w:r w:rsidRPr="00603CC4">
              <w:lastRenderedPageBreak/>
              <w:t>O:6</w:t>
            </w:r>
          </w:p>
        </w:tc>
        <w:tc>
          <w:tcPr>
            <w:tcW w:w="5771" w:type="dxa"/>
            <w:vAlign w:val="center"/>
          </w:tcPr>
          <w:p w:rsidR="00B20392" w:rsidRPr="00603CC4" w:rsidRDefault="00B20392" w:rsidP="00603CC4">
            <w:pPr>
              <w:spacing w:before="120" w:after="0" w:line="240" w:lineRule="auto"/>
              <w:jc w:val="both"/>
              <w:rPr>
                <w:color w:val="000000"/>
              </w:rPr>
            </w:pPr>
            <w:r w:rsidRPr="00603CC4">
              <w:rPr>
                <w:color w:val="000000"/>
              </w:rPr>
              <w:t>6. Prevádzkovateľ bez zbytočného odkladu sprístupní príslušnému orgánu na požiadanie údaje a informácie uvedené v odseku 5. Príslušný orgán môže takúto žiadosť predložiť za účelom kontroly súladu s požiadavkami tejto smernice. Príslušný orgán túto žiadosť predloží, ak žiadateľ z radov verejnosti požiada o prístup k údajom alebo informáciám uvedeným v odseku 5.</w:t>
            </w:r>
          </w:p>
        </w:tc>
        <w:tc>
          <w:tcPr>
            <w:tcW w:w="397" w:type="dxa"/>
            <w:vAlign w:val="center"/>
          </w:tcPr>
          <w:p w:rsidR="00B20392" w:rsidRPr="00603CC4" w:rsidRDefault="00670CE1" w:rsidP="00603CC4">
            <w:pPr>
              <w:spacing w:after="0" w:line="240" w:lineRule="auto"/>
            </w:pPr>
            <w:r>
              <w:t>N</w:t>
            </w:r>
          </w:p>
        </w:tc>
        <w:tc>
          <w:tcPr>
            <w:tcW w:w="708" w:type="dxa"/>
            <w:vAlign w:val="center"/>
          </w:tcPr>
          <w:p w:rsidR="00B20392" w:rsidRPr="00603CC4" w:rsidRDefault="001F0389" w:rsidP="00603CC4">
            <w:pPr>
              <w:spacing w:after="0" w:line="240" w:lineRule="auto"/>
            </w:pPr>
            <w:r>
              <w:t>NZ</w:t>
            </w:r>
          </w:p>
        </w:tc>
        <w:tc>
          <w:tcPr>
            <w:tcW w:w="596" w:type="dxa"/>
            <w:vAlign w:val="center"/>
          </w:tcPr>
          <w:p w:rsidR="00350F06" w:rsidRDefault="00350F06" w:rsidP="006E65C5">
            <w:pPr>
              <w:spacing w:after="0" w:line="240" w:lineRule="auto"/>
              <w:ind w:left="-108" w:right="-79"/>
            </w:pPr>
            <w:r>
              <w:t>§</w:t>
            </w:r>
            <w:r w:rsidR="001F0389">
              <w:t>:15 O:1</w:t>
            </w:r>
          </w:p>
          <w:p w:rsidR="00B20392" w:rsidRDefault="006E65C5" w:rsidP="006E65C5">
            <w:pPr>
              <w:spacing w:after="0" w:line="240" w:lineRule="auto"/>
              <w:ind w:right="-79"/>
            </w:pPr>
            <w:r>
              <w:t>P:</w:t>
            </w:r>
            <w:r w:rsidR="00350F06">
              <w:t>ah</w:t>
            </w:r>
          </w:p>
          <w:p w:rsidR="001F0389" w:rsidRPr="00603CC4" w:rsidRDefault="001F0389" w:rsidP="00603CC4">
            <w:pPr>
              <w:spacing w:after="0" w:line="240" w:lineRule="auto"/>
            </w:pPr>
          </w:p>
        </w:tc>
        <w:tc>
          <w:tcPr>
            <w:tcW w:w="6396" w:type="dxa"/>
            <w:vAlign w:val="center"/>
          </w:tcPr>
          <w:p w:rsidR="00B20392" w:rsidRPr="00EF5876" w:rsidRDefault="001F0389" w:rsidP="0021001A">
            <w:pPr>
              <w:pStyle w:val="Odsekzoznamu"/>
              <w:spacing w:after="120"/>
              <w:ind w:left="284" w:hanging="284"/>
            </w:pPr>
            <w:r w:rsidRPr="00EF5876">
              <w:rPr>
                <w:rFonts w:asciiTheme="minorHAnsi" w:hAnsiTheme="minorHAnsi"/>
                <w:szCs w:val="20"/>
              </w:rPr>
              <w:t>ah</w:t>
            </w:r>
            <w:r w:rsidRPr="00EF5876">
              <w:rPr>
                <w:rFonts w:ascii="Calibri" w:eastAsia="Calibri" w:hAnsi="Calibri" w:cs="Calibri"/>
                <w:sz w:val="22"/>
                <w:szCs w:val="22"/>
              </w:rPr>
              <w:t>) zasielať na účel informovania verejnosti do Národného emisného informačného systému prostredníctvom internetu v lehote podľa osobitného predpisu16b) mesačné a ročné protokoly z kontinuálneho monitorovania emisií a informácie o výsledku oprávneného merania údajov o dodržaní emisných limitov, technických požiadaviek a podmienok prevádzkovania v ustanovenom rozsahu a forme [§ 33 písm. i)]alebo oznámiť prevádzkovateľovi informačného systému adresu webovej stránky, kde sú protokoly a informácie v ustanovenom čase, rozsahu a forme sprístupňované pre</w:t>
            </w:r>
            <w:r w:rsidR="0021001A" w:rsidRPr="00EF5876">
              <w:rPr>
                <w:rFonts w:ascii="Calibri" w:eastAsia="Calibri" w:hAnsi="Calibri" w:cs="Calibri"/>
                <w:sz w:val="22"/>
                <w:szCs w:val="22"/>
              </w:rPr>
              <w:t xml:space="preserve"> informačný systém a verejnosť.</w:t>
            </w:r>
            <w:r w:rsidR="0021001A" w:rsidRPr="00EF5876">
              <w:t xml:space="preserve"> </w:t>
            </w: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9171C4">
        <w:trPr>
          <w:trHeight w:val="2074"/>
        </w:trPr>
        <w:tc>
          <w:tcPr>
            <w:tcW w:w="709" w:type="dxa"/>
            <w:tcBorders>
              <w:top w:val="nil"/>
              <w:bottom w:val="nil"/>
            </w:tcBorders>
            <w:vAlign w:val="center"/>
          </w:tcPr>
          <w:p w:rsidR="00B20392" w:rsidRPr="00603CC4" w:rsidRDefault="00B20392" w:rsidP="00603CC4">
            <w:pPr>
              <w:spacing w:after="0" w:line="240" w:lineRule="auto"/>
            </w:pPr>
            <w:r w:rsidRPr="00603CC4">
              <w:t>O:7</w:t>
            </w:r>
          </w:p>
        </w:tc>
        <w:tc>
          <w:tcPr>
            <w:tcW w:w="5771" w:type="dxa"/>
            <w:vAlign w:val="center"/>
          </w:tcPr>
          <w:p w:rsidR="00B20392" w:rsidRPr="00603CC4" w:rsidRDefault="00B20392" w:rsidP="00603CC4">
            <w:pPr>
              <w:spacing w:before="120" w:after="0" w:line="240" w:lineRule="auto"/>
              <w:jc w:val="both"/>
              <w:rPr>
                <w:color w:val="000000"/>
              </w:rPr>
            </w:pPr>
            <w:r w:rsidRPr="00603CC4">
              <w:rPr>
                <w:color w:val="000000"/>
              </w:rPr>
              <w:t>7. V prípade nedodržania emisných limitov uvedených v prílohe II prevádzkovateľ prijme opatrenia potrebné na zabezpečenie súladu v čo najkratšom čase bez toho, aby boli dotknuté opatrenia požadované podľa článku 8. Členské štáty stanovia pravidlá pre spôsob, frekvenciu a formát podávania informácií o prípadoch nedodržania emisných limitov zo strany prevádzkovateľov príslušnému orgánu.</w:t>
            </w:r>
          </w:p>
        </w:tc>
        <w:tc>
          <w:tcPr>
            <w:tcW w:w="397" w:type="dxa"/>
            <w:vAlign w:val="center"/>
          </w:tcPr>
          <w:p w:rsidR="00B20392" w:rsidRPr="00603CC4" w:rsidRDefault="00670CE1" w:rsidP="00603CC4">
            <w:pPr>
              <w:spacing w:after="0" w:line="240" w:lineRule="auto"/>
            </w:pPr>
            <w:r>
              <w:t>N</w:t>
            </w:r>
          </w:p>
        </w:tc>
        <w:tc>
          <w:tcPr>
            <w:tcW w:w="708" w:type="dxa"/>
            <w:vAlign w:val="center"/>
          </w:tcPr>
          <w:p w:rsidR="00B20392" w:rsidRPr="00603CC4" w:rsidRDefault="00C82B12" w:rsidP="00603CC4">
            <w:pPr>
              <w:spacing w:after="0" w:line="240" w:lineRule="auto"/>
            </w:pPr>
            <w:r>
              <w:t>NZ</w:t>
            </w:r>
          </w:p>
        </w:tc>
        <w:tc>
          <w:tcPr>
            <w:tcW w:w="596" w:type="dxa"/>
            <w:vAlign w:val="center"/>
          </w:tcPr>
          <w:p w:rsidR="00B20392" w:rsidRPr="00603CC4" w:rsidRDefault="00350F06" w:rsidP="006E65C5">
            <w:pPr>
              <w:spacing w:after="0" w:line="240" w:lineRule="auto"/>
              <w:ind w:left="-108" w:right="-79"/>
            </w:pPr>
            <w:r>
              <w:t>§:</w:t>
            </w:r>
            <w:r w:rsidR="00C82B12">
              <w:t>15  O</w:t>
            </w:r>
            <w:r>
              <w:t>:</w:t>
            </w:r>
            <w:r w:rsidR="00C82B12">
              <w:t>1 P</w:t>
            </w:r>
            <w:r>
              <w:t>:ad</w:t>
            </w:r>
          </w:p>
        </w:tc>
        <w:tc>
          <w:tcPr>
            <w:tcW w:w="6396" w:type="dxa"/>
            <w:vAlign w:val="center"/>
          </w:tcPr>
          <w:p w:rsidR="00C82B12" w:rsidRPr="00EF5876" w:rsidRDefault="00C82B12" w:rsidP="00C82B12">
            <w:pPr>
              <w:ind w:left="237"/>
            </w:pPr>
            <w:r w:rsidRPr="00EF5876">
              <w:t>(1) Prevádzkovatelia veľkých zdrojov a prevádzkovatelia stredných zdrojov sú povinní</w:t>
            </w:r>
          </w:p>
          <w:p w:rsidR="00B20392" w:rsidRPr="00EF5876" w:rsidRDefault="00C82B12" w:rsidP="007D7E3B">
            <w:pPr>
              <w:spacing w:after="0"/>
              <w:ind w:left="425" w:hanging="425"/>
              <w:rPr>
                <w:lang w:eastAsia="sk-SK"/>
              </w:rPr>
            </w:pPr>
            <w:r w:rsidRPr="00EF5876">
              <w:t xml:space="preserve">ad) </w:t>
            </w:r>
            <w:r w:rsidRPr="00EF5876">
              <w:rPr>
                <w:rFonts w:asciiTheme="minorHAnsi" w:hAnsiTheme="minorHAnsi" w:cs="Times New Roman"/>
                <w:szCs w:val="20"/>
              </w:rPr>
              <w:t>ak ide o veľké spaľovacie zariadenia a stredne veľké spaľovacie zariadenie, ktoré prekračuje emisný limit podľa písmena b), prijať bezodkladné opatrenia na zosúladenie s emisnými limitmi a vykonať ich v čo najkratšom čase,</w:t>
            </w: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pPr>
            <w:r w:rsidRPr="00603CC4">
              <w:t>O:8</w:t>
            </w:r>
          </w:p>
        </w:tc>
        <w:tc>
          <w:tcPr>
            <w:tcW w:w="5771" w:type="dxa"/>
            <w:vAlign w:val="center"/>
          </w:tcPr>
          <w:p w:rsidR="00B20392" w:rsidRPr="00603CC4" w:rsidRDefault="00B20392" w:rsidP="009171C4">
            <w:pPr>
              <w:spacing w:after="0" w:line="240" w:lineRule="auto"/>
              <w:jc w:val="both"/>
              <w:rPr>
                <w:color w:val="000000"/>
              </w:rPr>
            </w:pPr>
            <w:r w:rsidRPr="00603CC4">
              <w:rPr>
                <w:color w:val="000000"/>
              </w:rPr>
              <w:t>8. Prevádzkovateľ poskytne príslušnému orgánu akúkoľvek potrebnú pomoc, aby mu umožnil vykonať inšpekcie a obhliadky na mieste, odber vzoriek a zber akýchkoľvek informácií potrebných na plnenie jeho povinností na účely tejto smernice.</w:t>
            </w:r>
          </w:p>
        </w:tc>
        <w:tc>
          <w:tcPr>
            <w:tcW w:w="397" w:type="dxa"/>
            <w:vAlign w:val="center"/>
          </w:tcPr>
          <w:p w:rsidR="00B20392" w:rsidRPr="00603CC4" w:rsidRDefault="00670CE1" w:rsidP="00603CC4">
            <w:pPr>
              <w:spacing w:after="0" w:line="240" w:lineRule="auto"/>
            </w:pPr>
            <w:r>
              <w:t>N</w:t>
            </w:r>
          </w:p>
        </w:tc>
        <w:tc>
          <w:tcPr>
            <w:tcW w:w="708" w:type="dxa"/>
            <w:vAlign w:val="center"/>
          </w:tcPr>
          <w:p w:rsidR="00B20392" w:rsidRPr="00603CC4" w:rsidRDefault="00C82B12" w:rsidP="00603CC4">
            <w:pPr>
              <w:spacing w:after="0" w:line="240" w:lineRule="auto"/>
            </w:pPr>
            <w:r>
              <w:t>Z</w:t>
            </w:r>
          </w:p>
        </w:tc>
        <w:tc>
          <w:tcPr>
            <w:tcW w:w="596" w:type="dxa"/>
            <w:vAlign w:val="center"/>
          </w:tcPr>
          <w:p w:rsidR="00B20392" w:rsidRPr="00603CC4" w:rsidRDefault="00350F06" w:rsidP="006E65C5">
            <w:pPr>
              <w:spacing w:after="0" w:line="240" w:lineRule="auto"/>
              <w:ind w:right="-79"/>
            </w:pPr>
            <w:r>
              <w:t>§:</w:t>
            </w:r>
            <w:r w:rsidR="00C82B12">
              <w:t>15 O</w:t>
            </w:r>
            <w:r>
              <w:t>:</w:t>
            </w:r>
            <w:r w:rsidR="00C82B12">
              <w:t>1 P</w:t>
            </w:r>
            <w:r>
              <w:t>:</w:t>
            </w:r>
            <w:r w:rsidR="00C82B12">
              <w:t>j</w:t>
            </w:r>
          </w:p>
        </w:tc>
        <w:tc>
          <w:tcPr>
            <w:tcW w:w="6396" w:type="dxa"/>
            <w:vAlign w:val="center"/>
          </w:tcPr>
          <w:p w:rsidR="00B20392" w:rsidRPr="009171C4" w:rsidRDefault="00C82B12" w:rsidP="009171C4">
            <w:pPr>
              <w:pStyle w:val="Odsekzoznamu"/>
              <w:numPr>
                <w:ilvl w:val="0"/>
                <w:numId w:val="6"/>
              </w:numPr>
              <w:spacing w:after="99" w:line="261" w:lineRule="auto"/>
              <w:ind w:left="127" w:hanging="153"/>
              <w:rPr>
                <w:rFonts w:ascii="Calibri" w:eastAsia="Calibri" w:hAnsi="Calibri" w:cs="Calibri"/>
                <w:sz w:val="22"/>
                <w:szCs w:val="22"/>
              </w:rPr>
            </w:pPr>
            <w:r w:rsidRPr="00EF5876">
              <w:rPr>
                <w:rFonts w:ascii="Calibri" w:eastAsia="Calibri" w:hAnsi="Calibri" w:cs="Calibri"/>
                <w:sz w:val="22"/>
                <w:szCs w:val="22"/>
              </w:rPr>
              <w:t>umožniť zamestnancom príslušného orgánu ochrany ovzdušia alebo týmto orgánom povereným osobám prístup ku stacionárnemu zdroju na účely zistenia množstva znečisťujúcich látok, kontroly stacionárneho zdroja, monitorovacieho systému a ich prevádzky a predkladať im potrebné podklady,</w:t>
            </w: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tcBorders>
            <w:vAlign w:val="center"/>
          </w:tcPr>
          <w:p w:rsidR="00B20392" w:rsidRPr="00603CC4" w:rsidRDefault="00B20392" w:rsidP="00603CC4">
            <w:pPr>
              <w:spacing w:after="0" w:line="240" w:lineRule="auto"/>
            </w:pPr>
            <w:r w:rsidRPr="00603CC4">
              <w:t>O:9</w:t>
            </w:r>
          </w:p>
        </w:tc>
        <w:tc>
          <w:tcPr>
            <w:tcW w:w="5771" w:type="dxa"/>
            <w:vAlign w:val="center"/>
          </w:tcPr>
          <w:p w:rsidR="00B20392" w:rsidRPr="00603CC4" w:rsidRDefault="00B20392" w:rsidP="00603CC4">
            <w:pPr>
              <w:spacing w:before="120" w:after="0" w:line="240" w:lineRule="auto"/>
              <w:jc w:val="both"/>
              <w:rPr>
                <w:color w:val="000000"/>
              </w:rPr>
            </w:pPr>
            <w:r w:rsidRPr="00603CC4">
              <w:rPr>
                <w:color w:val="000000"/>
              </w:rPr>
              <w:t>9. Prevádzkovateľ vykonáva nábeh a odstavovanie stredne veľkého spaľovacieho zariadenia v čo najkratšom možnom čase.</w:t>
            </w:r>
          </w:p>
        </w:tc>
        <w:tc>
          <w:tcPr>
            <w:tcW w:w="397" w:type="dxa"/>
            <w:vAlign w:val="center"/>
          </w:tcPr>
          <w:p w:rsidR="00B20392" w:rsidRPr="00603CC4" w:rsidRDefault="00670CE1" w:rsidP="00603CC4">
            <w:pPr>
              <w:spacing w:after="0" w:line="240" w:lineRule="auto"/>
            </w:pPr>
            <w:r>
              <w:t>N</w:t>
            </w:r>
          </w:p>
        </w:tc>
        <w:tc>
          <w:tcPr>
            <w:tcW w:w="708" w:type="dxa"/>
            <w:vAlign w:val="center"/>
          </w:tcPr>
          <w:p w:rsidR="00B20392" w:rsidRPr="00603CC4" w:rsidRDefault="0021001A" w:rsidP="00603CC4">
            <w:pPr>
              <w:spacing w:after="0" w:line="240" w:lineRule="auto"/>
            </w:pPr>
            <w:r>
              <w:t>N410</w:t>
            </w:r>
          </w:p>
        </w:tc>
        <w:tc>
          <w:tcPr>
            <w:tcW w:w="596" w:type="dxa"/>
            <w:vAlign w:val="center"/>
          </w:tcPr>
          <w:p w:rsidR="00B20392" w:rsidRPr="00603CC4" w:rsidRDefault="006E65C5" w:rsidP="006E65C5">
            <w:pPr>
              <w:spacing w:after="0" w:line="240" w:lineRule="auto"/>
            </w:pPr>
            <w:r>
              <w:t>Pr</w:t>
            </w:r>
            <w:r w:rsidR="0021709C">
              <w:t xml:space="preserve">.4 časť IV </w:t>
            </w:r>
            <w:r w:rsidR="00350F06">
              <w:t>B:</w:t>
            </w:r>
            <w:r w:rsidR="0021709C">
              <w:t>2</w:t>
            </w:r>
          </w:p>
        </w:tc>
        <w:tc>
          <w:tcPr>
            <w:tcW w:w="6396" w:type="dxa"/>
            <w:vAlign w:val="center"/>
          </w:tcPr>
          <w:p w:rsidR="00B20392" w:rsidRPr="00EF5876" w:rsidRDefault="0021709C" w:rsidP="00603CC4">
            <w:pPr>
              <w:spacing w:after="0" w:line="240" w:lineRule="auto"/>
            </w:pPr>
            <w:r w:rsidRPr="00EF5876">
              <w:t>Nábeh a odstavovanie spaľovacieho zariadenia treba vykonať v čo najkratšom čase.</w:t>
            </w:r>
          </w:p>
        </w:tc>
        <w:tc>
          <w:tcPr>
            <w:tcW w:w="508" w:type="dxa"/>
            <w:tcBorders>
              <w:top w:val="nil"/>
            </w:tcBorders>
            <w:vAlign w:val="center"/>
          </w:tcPr>
          <w:p w:rsidR="00B20392" w:rsidRPr="00603CC4" w:rsidRDefault="00B20392" w:rsidP="00603CC4">
            <w:pPr>
              <w:spacing w:after="0" w:line="240" w:lineRule="auto"/>
            </w:pPr>
          </w:p>
        </w:tc>
        <w:tc>
          <w:tcPr>
            <w:tcW w:w="508" w:type="dxa"/>
            <w:tcBorders>
              <w:top w:val="nil"/>
            </w:tcBorders>
            <w:vAlign w:val="center"/>
          </w:tcPr>
          <w:p w:rsidR="00B20392" w:rsidRPr="00603CC4" w:rsidRDefault="00B20392" w:rsidP="00603CC4">
            <w:pPr>
              <w:spacing w:after="0" w:line="240" w:lineRule="auto"/>
            </w:pPr>
          </w:p>
        </w:tc>
      </w:tr>
      <w:tr w:rsidR="00B20392" w:rsidRPr="00603CC4" w:rsidTr="00EF5876">
        <w:tc>
          <w:tcPr>
            <w:tcW w:w="709" w:type="dxa"/>
            <w:tcBorders>
              <w:bottom w:val="nil"/>
            </w:tcBorders>
            <w:vAlign w:val="center"/>
          </w:tcPr>
          <w:p w:rsidR="00B20392" w:rsidRPr="00603CC4" w:rsidRDefault="00B20392" w:rsidP="00603CC4">
            <w:pPr>
              <w:spacing w:after="0" w:line="240" w:lineRule="auto"/>
            </w:pPr>
            <w:r w:rsidRPr="00603CC4">
              <w:t>Č:8</w:t>
            </w:r>
          </w:p>
        </w:tc>
        <w:tc>
          <w:tcPr>
            <w:tcW w:w="5771" w:type="dxa"/>
            <w:vAlign w:val="center"/>
          </w:tcPr>
          <w:p w:rsidR="00B20392" w:rsidRPr="00603CC4" w:rsidRDefault="00B20392" w:rsidP="00603CC4">
            <w:pPr>
              <w:spacing w:before="120" w:after="0" w:line="240" w:lineRule="auto"/>
              <w:jc w:val="both"/>
              <w:rPr>
                <w:color w:val="000000"/>
              </w:rPr>
            </w:pPr>
            <w:r w:rsidRPr="00603CC4">
              <w:rPr>
                <w:color w:val="000000"/>
              </w:rPr>
              <w:t>Kontrola súladu</w:t>
            </w:r>
          </w:p>
        </w:tc>
        <w:tc>
          <w:tcPr>
            <w:tcW w:w="397" w:type="dxa"/>
            <w:vAlign w:val="center"/>
          </w:tcPr>
          <w:p w:rsidR="00B20392" w:rsidRPr="00603CC4" w:rsidRDefault="00B20392" w:rsidP="00603CC4">
            <w:pPr>
              <w:spacing w:after="0" w:line="240" w:lineRule="auto"/>
            </w:pPr>
          </w:p>
        </w:tc>
        <w:tc>
          <w:tcPr>
            <w:tcW w:w="708" w:type="dxa"/>
            <w:vAlign w:val="center"/>
          </w:tcPr>
          <w:p w:rsidR="00B20392" w:rsidRPr="00603CC4" w:rsidRDefault="00B20392" w:rsidP="00603CC4">
            <w:pPr>
              <w:spacing w:after="0" w:line="240" w:lineRule="auto"/>
            </w:pPr>
          </w:p>
        </w:tc>
        <w:tc>
          <w:tcPr>
            <w:tcW w:w="596" w:type="dxa"/>
            <w:vAlign w:val="center"/>
          </w:tcPr>
          <w:p w:rsidR="00B20392" w:rsidRPr="00603CC4" w:rsidRDefault="00B20392" w:rsidP="00603CC4">
            <w:pPr>
              <w:spacing w:after="0" w:line="240" w:lineRule="auto"/>
            </w:pPr>
          </w:p>
        </w:tc>
        <w:tc>
          <w:tcPr>
            <w:tcW w:w="6396" w:type="dxa"/>
            <w:vAlign w:val="center"/>
          </w:tcPr>
          <w:p w:rsidR="00B20392" w:rsidRPr="00EF5876" w:rsidRDefault="00B20392" w:rsidP="00603CC4">
            <w:pPr>
              <w:spacing w:after="0" w:line="240" w:lineRule="auto"/>
            </w:pPr>
          </w:p>
        </w:tc>
        <w:tc>
          <w:tcPr>
            <w:tcW w:w="508" w:type="dxa"/>
            <w:tcBorders>
              <w:bottom w:val="nil"/>
            </w:tcBorders>
            <w:vAlign w:val="center"/>
          </w:tcPr>
          <w:p w:rsidR="00B20392" w:rsidRPr="00603CC4" w:rsidRDefault="00B20392" w:rsidP="00603CC4">
            <w:pPr>
              <w:spacing w:after="0" w:line="240" w:lineRule="auto"/>
            </w:pPr>
          </w:p>
        </w:tc>
        <w:tc>
          <w:tcPr>
            <w:tcW w:w="508" w:type="dxa"/>
            <w:tcBorders>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pPr>
            <w:r w:rsidRPr="00603CC4">
              <w:t>O:1</w:t>
            </w:r>
          </w:p>
        </w:tc>
        <w:tc>
          <w:tcPr>
            <w:tcW w:w="5771" w:type="dxa"/>
            <w:vAlign w:val="center"/>
          </w:tcPr>
          <w:p w:rsidR="00B20392" w:rsidRPr="00603CC4" w:rsidRDefault="00B20392" w:rsidP="00603CC4">
            <w:pPr>
              <w:spacing w:before="120" w:after="0" w:line="240" w:lineRule="auto"/>
              <w:jc w:val="both"/>
              <w:rPr>
                <w:color w:val="000000"/>
              </w:rPr>
            </w:pPr>
            <w:r w:rsidRPr="00603CC4">
              <w:rPr>
                <w:color w:val="000000"/>
              </w:rPr>
              <w:t xml:space="preserve">1. Členské štáty zabezpečia, aby platné hodnoty pre emisie monitorované v súlade s prílohou III neprekročili emisné </w:t>
            </w:r>
            <w:r w:rsidRPr="00603CC4">
              <w:rPr>
                <w:color w:val="000000"/>
              </w:rPr>
              <w:lastRenderedPageBreak/>
              <w:t>limity stanovené v prílohe II.</w:t>
            </w:r>
          </w:p>
        </w:tc>
        <w:tc>
          <w:tcPr>
            <w:tcW w:w="397" w:type="dxa"/>
            <w:vAlign w:val="center"/>
          </w:tcPr>
          <w:p w:rsidR="00B20392" w:rsidRPr="00603CC4" w:rsidRDefault="00670CE1" w:rsidP="00603CC4">
            <w:pPr>
              <w:spacing w:after="0" w:line="240" w:lineRule="auto"/>
            </w:pPr>
            <w:r>
              <w:lastRenderedPageBreak/>
              <w:t>N</w:t>
            </w:r>
          </w:p>
        </w:tc>
        <w:tc>
          <w:tcPr>
            <w:tcW w:w="708" w:type="dxa"/>
            <w:vAlign w:val="center"/>
          </w:tcPr>
          <w:p w:rsidR="00B20392" w:rsidRPr="00603CC4" w:rsidRDefault="00C82B12" w:rsidP="00603CC4">
            <w:pPr>
              <w:spacing w:after="0" w:line="240" w:lineRule="auto"/>
            </w:pPr>
            <w:r>
              <w:t>Z</w:t>
            </w:r>
          </w:p>
        </w:tc>
        <w:tc>
          <w:tcPr>
            <w:tcW w:w="596" w:type="dxa"/>
            <w:vAlign w:val="center"/>
          </w:tcPr>
          <w:p w:rsidR="00B20392" w:rsidRPr="00603CC4" w:rsidRDefault="00350F06" w:rsidP="00FA5311">
            <w:pPr>
              <w:spacing w:after="0" w:line="240" w:lineRule="auto"/>
              <w:ind w:right="-79"/>
            </w:pPr>
            <w:r>
              <w:t>§:</w:t>
            </w:r>
            <w:r w:rsidR="00C82B12">
              <w:t>15 O</w:t>
            </w:r>
            <w:r>
              <w:t xml:space="preserve">:1 </w:t>
            </w:r>
            <w:r>
              <w:lastRenderedPageBreak/>
              <w:t>P:</w:t>
            </w:r>
            <w:r w:rsidR="00C82B12">
              <w:t>b</w:t>
            </w:r>
          </w:p>
        </w:tc>
        <w:tc>
          <w:tcPr>
            <w:tcW w:w="6396" w:type="dxa"/>
            <w:vAlign w:val="center"/>
          </w:tcPr>
          <w:p w:rsidR="00B20392" w:rsidRPr="00EF5876" w:rsidRDefault="00C82B12" w:rsidP="009171C4">
            <w:pPr>
              <w:spacing w:after="99" w:line="261" w:lineRule="auto"/>
              <w:ind w:left="340"/>
              <w:jc w:val="both"/>
              <w:rPr>
                <w:lang w:eastAsia="sk-SK"/>
              </w:rPr>
            </w:pPr>
            <w:r w:rsidRPr="00EF5876">
              <w:lastRenderedPageBreak/>
              <w:t xml:space="preserve">b)dodržiavať emisné limity určené okresným úradom podľa tohto zákona alebo emisné limity určené správnym orgánom v </w:t>
            </w:r>
            <w:r w:rsidRPr="00EF5876">
              <w:lastRenderedPageBreak/>
              <w:t>integrovanom povoľovaní; ak emisné limity nie sú pre stacionárny zdroj takto určené, dodržiavať ustanovené emisné limity,</w:t>
            </w: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pPr>
            <w:r w:rsidRPr="00603CC4">
              <w:lastRenderedPageBreak/>
              <w:t>O:2</w:t>
            </w:r>
          </w:p>
        </w:tc>
        <w:tc>
          <w:tcPr>
            <w:tcW w:w="5771" w:type="dxa"/>
            <w:vAlign w:val="center"/>
          </w:tcPr>
          <w:p w:rsidR="00B20392" w:rsidRPr="00603CC4" w:rsidRDefault="00B20392" w:rsidP="00603CC4">
            <w:pPr>
              <w:spacing w:before="120" w:after="0" w:line="240" w:lineRule="auto"/>
              <w:jc w:val="both"/>
              <w:rPr>
                <w:color w:val="000000"/>
              </w:rPr>
            </w:pPr>
            <w:r w:rsidRPr="00603CC4">
              <w:rPr>
                <w:color w:val="000000"/>
              </w:rPr>
              <w:t xml:space="preserve">2. Členské štáty vytvoria účinný systém na kontrolu súladu s </w:t>
            </w:r>
            <w:r w:rsidRPr="008A7D67">
              <w:rPr>
                <w:color w:val="000000" w:themeColor="text1"/>
              </w:rPr>
              <w:t xml:space="preserve">požiadavkami tejto </w:t>
            </w:r>
            <w:r w:rsidRPr="008A7D67">
              <w:rPr>
                <w:color w:val="000000"/>
              </w:rPr>
              <w:t>smernice</w:t>
            </w:r>
            <w:r w:rsidRPr="00603CC4">
              <w:rPr>
                <w:color w:val="000000"/>
              </w:rPr>
              <w:t xml:space="preserve"> založený na environmentálnych inšpekciách alebo iných opatreniach.</w:t>
            </w:r>
          </w:p>
        </w:tc>
        <w:tc>
          <w:tcPr>
            <w:tcW w:w="397" w:type="dxa"/>
            <w:vAlign w:val="center"/>
          </w:tcPr>
          <w:p w:rsidR="00B20392" w:rsidRPr="00603CC4" w:rsidRDefault="00670CE1" w:rsidP="00603CC4">
            <w:pPr>
              <w:spacing w:after="0" w:line="240" w:lineRule="auto"/>
            </w:pPr>
            <w:r>
              <w:t>N</w:t>
            </w:r>
          </w:p>
        </w:tc>
        <w:tc>
          <w:tcPr>
            <w:tcW w:w="708" w:type="dxa"/>
            <w:vAlign w:val="center"/>
          </w:tcPr>
          <w:p w:rsidR="00B20392" w:rsidRPr="00603CC4" w:rsidRDefault="008A7D67" w:rsidP="00603CC4">
            <w:pPr>
              <w:spacing w:after="0" w:line="240" w:lineRule="auto"/>
            </w:pPr>
            <w:r>
              <w:t>NZ</w:t>
            </w:r>
          </w:p>
        </w:tc>
        <w:tc>
          <w:tcPr>
            <w:tcW w:w="596" w:type="dxa"/>
            <w:vAlign w:val="center"/>
          </w:tcPr>
          <w:p w:rsidR="00B20392" w:rsidRPr="00603CC4" w:rsidRDefault="008A7D67" w:rsidP="00FA5311">
            <w:pPr>
              <w:spacing w:after="0" w:line="240" w:lineRule="auto"/>
              <w:ind w:right="-79"/>
            </w:pPr>
            <w:r>
              <w:t>§:24</w:t>
            </w:r>
          </w:p>
        </w:tc>
        <w:tc>
          <w:tcPr>
            <w:tcW w:w="6396" w:type="dxa"/>
            <w:vAlign w:val="center"/>
          </w:tcPr>
          <w:p w:rsidR="00B20392" w:rsidRPr="00EF5876" w:rsidRDefault="008A7D67" w:rsidP="008A7D67">
            <w:pPr>
              <w:spacing w:after="0" w:line="240" w:lineRule="auto"/>
            </w:pPr>
            <w:r w:rsidRPr="00EF5876">
              <w:t xml:space="preserve">Inšpekcia </w:t>
            </w:r>
          </w:p>
          <w:p w:rsidR="008A7D67" w:rsidRPr="00EF5876" w:rsidRDefault="008A7D67" w:rsidP="008A7D67">
            <w:pPr>
              <w:numPr>
                <w:ilvl w:val="0"/>
                <w:numId w:val="48"/>
              </w:numPr>
              <w:spacing w:after="0" w:line="262" w:lineRule="auto"/>
              <w:ind w:left="284" w:hanging="283"/>
              <w:jc w:val="both"/>
            </w:pPr>
            <w:r w:rsidRPr="00EF5876">
              <w:t>vypracúva a vykonáva program monitorovania, na základe ktorého kontroluje dodržiavanie ustanovených požiadaviek  pre</w:t>
            </w:r>
          </w:p>
          <w:p w:rsidR="008A7D67" w:rsidRPr="00EF5876" w:rsidRDefault="008A7D67" w:rsidP="008A7D67">
            <w:pPr>
              <w:spacing w:after="0" w:line="240" w:lineRule="auto"/>
            </w:pPr>
            <w:r w:rsidRPr="00EF5876">
              <w:t>3.  stredne veľké spaľovacie zariadenia</w:t>
            </w: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tcBorders>
            <w:vAlign w:val="center"/>
          </w:tcPr>
          <w:p w:rsidR="00B20392" w:rsidRPr="00603CC4" w:rsidRDefault="00B20392" w:rsidP="00603CC4">
            <w:pPr>
              <w:spacing w:after="0" w:line="240" w:lineRule="auto"/>
            </w:pPr>
            <w:r w:rsidRPr="00603CC4">
              <w:t>O:3</w:t>
            </w:r>
          </w:p>
        </w:tc>
        <w:tc>
          <w:tcPr>
            <w:tcW w:w="5771" w:type="dxa"/>
            <w:vAlign w:val="center"/>
          </w:tcPr>
          <w:p w:rsidR="00B20392" w:rsidRPr="00603CC4" w:rsidRDefault="00B20392" w:rsidP="00AA667D">
            <w:pPr>
              <w:pStyle w:val="Normlny1"/>
              <w:rPr>
                <w:rFonts w:ascii="Calibri" w:hAnsi="Calibri" w:cs="Calibri"/>
                <w:color w:val="000000"/>
                <w:sz w:val="22"/>
                <w:szCs w:val="22"/>
              </w:rPr>
            </w:pPr>
            <w:r w:rsidRPr="00603CC4">
              <w:rPr>
                <w:rFonts w:ascii="Calibri" w:hAnsi="Calibri" w:cs="Calibri"/>
                <w:color w:val="000000"/>
                <w:sz w:val="22"/>
                <w:szCs w:val="22"/>
              </w:rPr>
              <w:t>3. V prípade nesúladu členské štáty zabezpečia, aby okrem opatrení, ktoré prevádzkovateľ prijal podľa článku 7 ods. 7, príslušný orgán vyžadoval od prevádzkovateľa prijatie akýchkoľvek opatrení, ktoré sú potrebné na zabezpečenie súladu bez zbytočného odkladu.</w:t>
            </w:r>
          </w:p>
          <w:p w:rsidR="00B20392" w:rsidRPr="009171C4" w:rsidRDefault="00B20392" w:rsidP="009171C4">
            <w:pPr>
              <w:pStyle w:val="Normlny1"/>
              <w:rPr>
                <w:rFonts w:ascii="Calibri" w:hAnsi="Calibri" w:cs="Calibri"/>
                <w:color w:val="000000"/>
                <w:sz w:val="22"/>
                <w:szCs w:val="22"/>
              </w:rPr>
            </w:pPr>
            <w:r w:rsidRPr="00603CC4">
              <w:rPr>
                <w:rFonts w:ascii="Calibri" w:hAnsi="Calibri" w:cs="Calibri"/>
                <w:color w:val="000000"/>
                <w:sz w:val="22"/>
                <w:szCs w:val="22"/>
              </w:rPr>
              <w:t xml:space="preserve">Ak nedodržiavanie súladu zapríčiní výrazné zníženie kvality miestneho ovzdušia, prevádzka stredne veľkého spaľovacieho zariadenia sa pozastaví, až </w:t>
            </w:r>
            <w:r w:rsidR="009171C4">
              <w:rPr>
                <w:rFonts w:ascii="Calibri" w:hAnsi="Calibri" w:cs="Calibri"/>
                <w:color w:val="000000"/>
                <w:sz w:val="22"/>
                <w:szCs w:val="22"/>
              </w:rPr>
              <w:t>kým nenastane obnovenie súladu.</w:t>
            </w:r>
          </w:p>
        </w:tc>
        <w:tc>
          <w:tcPr>
            <w:tcW w:w="397" w:type="dxa"/>
            <w:vAlign w:val="center"/>
          </w:tcPr>
          <w:p w:rsidR="00B20392" w:rsidRPr="00603CC4" w:rsidRDefault="00670CE1" w:rsidP="00603CC4">
            <w:pPr>
              <w:spacing w:after="0" w:line="240" w:lineRule="auto"/>
            </w:pPr>
            <w:r>
              <w:t>N</w:t>
            </w:r>
          </w:p>
        </w:tc>
        <w:tc>
          <w:tcPr>
            <w:tcW w:w="708" w:type="dxa"/>
            <w:vAlign w:val="center"/>
          </w:tcPr>
          <w:p w:rsidR="00B20392" w:rsidRPr="00603CC4" w:rsidRDefault="00C82B12" w:rsidP="00603CC4">
            <w:pPr>
              <w:spacing w:after="0" w:line="240" w:lineRule="auto"/>
            </w:pPr>
            <w:r>
              <w:t>Z</w:t>
            </w:r>
          </w:p>
        </w:tc>
        <w:tc>
          <w:tcPr>
            <w:tcW w:w="596" w:type="dxa"/>
            <w:vAlign w:val="center"/>
          </w:tcPr>
          <w:p w:rsidR="00350F06" w:rsidRDefault="00C82B12" w:rsidP="00603CC4">
            <w:pPr>
              <w:spacing w:after="0" w:line="240" w:lineRule="auto"/>
            </w:pPr>
            <w:r>
              <w:t>P</w:t>
            </w:r>
            <w:r w:rsidR="00350F06">
              <w:t>:</w:t>
            </w:r>
            <w:r>
              <w:t>15</w:t>
            </w:r>
          </w:p>
          <w:p w:rsidR="00B20392" w:rsidRPr="00603CC4" w:rsidRDefault="00C82B12" w:rsidP="00603CC4">
            <w:pPr>
              <w:spacing w:after="0" w:line="240" w:lineRule="auto"/>
            </w:pPr>
            <w:r>
              <w:t>O</w:t>
            </w:r>
            <w:r w:rsidR="00350F06">
              <w:t>:</w:t>
            </w:r>
            <w:r>
              <w:t>1</w:t>
            </w:r>
          </w:p>
        </w:tc>
        <w:tc>
          <w:tcPr>
            <w:tcW w:w="6396" w:type="dxa"/>
            <w:vAlign w:val="center"/>
          </w:tcPr>
          <w:p w:rsidR="00B20392" w:rsidRPr="00EF5876" w:rsidRDefault="00C82B12" w:rsidP="00603CC4">
            <w:pPr>
              <w:spacing w:after="0" w:line="240" w:lineRule="auto"/>
            </w:pPr>
            <w:r w:rsidRPr="00EF5876">
              <w:t>q)monitorovať a preukazovať dodržiavanie emisných limitov, technických požiadaviek a podmienok prevádzkovania, ktoré sa vzťahujú na stacionárny zdroj,</w:t>
            </w:r>
          </w:p>
        </w:tc>
        <w:tc>
          <w:tcPr>
            <w:tcW w:w="508" w:type="dxa"/>
            <w:tcBorders>
              <w:top w:val="nil"/>
            </w:tcBorders>
            <w:vAlign w:val="center"/>
          </w:tcPr>
          <w:p w:rsidR="00B20392" w:rsidRPr="00603CC4" w:rsidRDefault="00B20392" w:rsidP="00603CC4">
            <w:pPr>
              <w:spacing w:after="0" w:line="240" w:lineRule="auto"/>
            </w:pPr>
          </w:p>
        </w:tc>
        <w:tc>
          <w:tcPr>
            <w:tcW w:w="508" w:type="dxa"/>
            <w:tcBorders>
              <w:top w:val="nil"/>
            </w:tcBorders>
            <w:vAlign w:val="center"/>
          </w:tcPr>
          <w:p w:rsidR="00B20392" w:rsidRPr="00603CC4" w:rsidRDefault="00B20392" w:rsidP="00603CC4">
            <w:pPr>
              <w:spacing w:after="0" w:line="240" w:lineRule="auto"/>
            </w:pPr>
          </w:p>
        </w:tc>
      </w:tr>
      <w:tr w:rsidR="00B20392" w:rsidRPr="00603CC4" w:rsidTr="00EF5876">
        <w:tc>
          <w:tcPr>
            <w:tcW w:w="709" w:type="dxa"/>
            <w:tcBorders>
              <w:bottom w:val="nil"/>
            </w:tcBorders>
            <w:vAlign w:val="center"/>
          </w:tcPr>
          <w:p w:rsidR="00B20392" w:rsidRPr="00603CC4" w:rsidRDefault="00B20392" w:rsidP="00603CC4">
            <w:pPr>
              <w:spacing w:after="0" w:line="240" w:lineRule="auto"/>
            </w:pPr>
            <w:r w:rsidRPr="00603CC4">
              <w:t>Č:9</w:t>
            </w:r>
          </w:p>
        </w:tc>
        <w:tc>
          <w:tcPr>
            <w:tcW w:w="5771" w:type="dxa"/>
            <w:vAlign w:val="center"/>
          </w:tcPr>
          <w:p w:rsidR="00B20392" w:rsidRPr="00603CC4" w:rsidRDefault="00B20392" w:rsidP="00603CC4">
            <w:pPr>
              <w:spacing w:before="120" w:after="0" w:line="240" w:lineRule="auto"/>
              <w:jc w:val="both"/>
              <w:rPr>
                <w:color w:val="000000"/>
              </w:rPr>
            </w:pPr>
            <w:r w:rsidRPr="00603CC4">
              <w:rPr>
                <w:color w:val="000000"/>
              </w:rPr>
              <w:t>Zmeny stredne veľkých spaľovacích zariadení</w:t>
            </w:r>
          </w:p>
        </w:tc>
        <w:tc>
          <w:tcPr>
            <w:tcW w:w="397" w:type="dxa"/>
            <w:vAlign w:val="center"/>
          </w:tcPr>
          <w:p w:rsidR="00B20392" w:rsidRPr="00603CC4" w:rsidRDefault="00B20392" w:rsidP="00603CC4">
            <w:pPr>
              <w:spacing w:after="0" w:line="240" w:lineRule="auto"/>
            </w:pPr>
          </w:p>
        </w:tc>
        <w:tc>
          <w:tcPr>
            <w:tcW w:w="708" w:type="dxa"/>
            <w:vAlign w:val="center"/>
          </w:tcPr>
          <w:p w:rsidR="00B20392" w:rsidRPr="00603CC4" w:rsidRDefault="00B20392" w:rsidP="00603CC4">
            <w:pPr>
              <w:spacing w:after="0" w:line="240" w:lineRule="auto"/>
            </w:pPr>
          </w:p>
        </w:tc>
        <w:tc>
          <w:tcPr>
            <w:tcW w:w="596" w:type="dxa"/>
            <w:vAlign w:val="center"/>
          </w:tcPr>
          <w:p w:rsidR="00B20392" w:rsidRPr="00603CC4" w:rsidRDefault="00B20392" w:rsidP="00603CC4">
            <w:pPr>
              <w:spacing w:after="0" w:line="240" w:lineRule="auto"/>
            </w:pPr>
          </w:p>
        </w:tc>
        <w:tc>
          <w:tcPr>
            <w:tcW w:w="6396" w:type="dxa"/>
            <w:vAlign w:val="center"/>
          </w:tcPr>
          <w:p w:rsidR="00B20392" w:rsidRPr="00EF5876" w:rsidRDefault="00B20392" w:rsidP="00603CC4">
            <w:pPr>
              <w:spacing w:after="0" w:line="240" w:lineRule="auto"/>
            </w:pPr>
          </w:p>
        </w:tc>
        <w:tc>
          <w:tcPr>
            <w:tcW w:w="508" w:type="dxa"/>
            <w:tcBorders>
              <w:bottom w:val="nil"/>
            </w:tcBorders>
            <w:vAlign w:val="center"/>
          </w:tcPr>
          <w:p w:rsidR="00B20392" w:rsidRPr="00603CC4" w:rsidRDefault="00B20392" w:rsidP="00603CC4">
            <w:pPr>
              <w:spacing w:after="0" w:line="240" w:lineRule="auto"/>
            </w:pPr>
          </w:p>
        </w:tc>
        <w:tc>
          <w:tcPr>
            <w:tcW w:w="508" w:type="dxa"/>
            <w:tcBorders>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tcBorders>
            <w:vAlign w:val="center"/>
          </w:tcPr>
          <w:p w:rsidR="00B20392" w:rsidRPr="00603CC4" w:rsidRDefault="00B20392" w:rsidP="00603CC4">
            <w:pPr>
              <w:spacing w:after="0" w:line="240" w:lineRule="auto"/>
            </w:pPr>
            <w:r w:rsidRPr="00603CC4">
              <w:t>O:1</w:t>
            </w:r>
          </w:p>
        </w:tc>
        <w:tc>
          <w:tcPr>
            <w:tcW w:w="5771" w:type="dxa"/>
            <w:vAlign w:val="center"/>
          </w:tcPr>
          <w:p w:rsidR="00B20392" w:rsidRPr="00603CC4" w:rsidRDefault="00B20392" w:rsidP="00AA667D">
            <w:pPr>
              <w:pStyle w:val="Normlny1"/>
              <w:rPr>
                <w:rFonts w:ascii="Calibri" w:hAnsi="Calibri" w:cs="Calibri"/>
                <w:color w:val="000000"/>
                <w:sz w:val="22"/>
                <w:szCs w:val="22"/>
              </w:rPr>
            </w:pPr>
            <w:r w:rsidRPr="00603CC4">
              <w:rPr>
                <w:rFonts w:ascii="Calibri" w:hAnsi="Calibri" w:cs="Calibri"/>
                <w:color w:val="000000"/>
                <w:sz w:val="22"/>
                <w:szCs w:val="22"/>
              </w:rPr>
              <w:t>Členské štáty prijmú potrebné opatrenia, aby zabezpečili, že prevádzkovateľ informuje príslušný orgán bez zbytočného odkladu o všetkých plánovaných zmenách stredne veľkých spaľovacích zariadení, ktoré by mali vplyv na uplatnené emisné limity.</w:t>
            </w:r>
          </w:p>
          <w:p w:rsidR="00B20392" w:rsidRPr="009171C4" w:rsidRDefault="00B20392" w:rsidP="009171C4">
            <w:pPr>
              <w:pStyle w:val="Normlny1"/>
              <w:rPr>
                <w:rFonts w:ascii="Calibri" w:hAnsi="Calibri" w:cs="Calibri"/>
                <w:color w:val="000000"/>
                <w:sz w:val="22"/>
                <w:szCs w:val="22"/>
              </w:rPr>
            </w:pPr>
            <w:r w:rsidRPr="00603CC4">
              <w:rPr>
                <w:rFonts w:ascii="Calibri" w:hAnsi="Calibri" w:cs="Calibri"/>
                <w:color w:val="000000"/>
                <w:sz w:val="22"/>
                <w:szCs w:val="22"/>
              </w:rPr>
              <w:t>Príslušný orgán náležite aktualizuje povolenie alebo registráciu, ak je to potrebné.</w:t>
            </w:r>
          </w:p>
        </w:tc>
        <w:tc>
          <w:tcPr>
            <w:tcW w:w="397" w:type="dxa"/>
            <w:vAlign w:val="center"/>
          </w:tcPr>
          <w:p w:rsidR="00B20392" w:rsidRPr="00603CC4" w:rsidRDefault="00670CE1" w:rsidP="00603CC4">
            <w:pPr>
              <w:spacing w:after="0" w:line="240" w:lineRule="auto"/>
            </w:pPr>
            <w:r>
              <w:t>N</w:t>
            </w:r>
          </w:p>
        </w:tc>
        <w:tc>
          <w:tcPr>
            <w:tcW w:w="708" w:type="dxa"/>
            <w:vAlign w:val="center"/>
          </w:tcPr>
          <w:p w:rsidR="00B20392" w:rsidRPr="00603CC4" w:rsidRDefault="00C82B12" w:rsidP="00603CC4">
            <w:pPr>
              <w:spacing w:after="0" w:line="240" w:lineRule="auto"/>
            </w:pPr>
            <w:r>
              <w:t>Z</w:t>
            </w:r>
          </w:p>
        </w:tc>
        <w:tc>
          <w:tcPr>
            <w:tcW w:w="596" w:type="dxa"/>
            <w:vAlign w:val="center"/>
          </w:tcPr>
          <w:p w:rsidR="00B20392" w:rsidRDefault="00350F06" w:rsidP="00FA5311">
            <w:pPr>
              <w:spacing w:after="0" w:line="240" w:lineRule="auto"/>
              <w:ind w:right="-79"/>
            </w:pPr>
            <w:r>
              <w:t>§:</w:t>
            </w:r>
            <w:r w:rsidR="00C82B12">
              <w:t xml:space="preserve">17 </w:t>
            </w:r>
          </w:p>
          <w:p w:rsidR="00C82B12" w:rsidRPr="00603CC4" w:rsidRDefault="00C82B12" w:rsidP="00350F06">
            <w:pPr>
              <w:spacing w:after="0" w:line="240" w:lineRule="auto"/>
            </w:pPr>
            <w:r>
              <w:t>P</w:t>
            </w:r>
            <w:r w:rsidR="00350F06">
              <w:t>:c</w:t>
            </w:r>
          </w:p>
        </w:tc>
        <w:tc>
          <w:tcPr>
            <w:tcW w:w="6396" w:type="dxa"/>
            <w:vAlign w:val="center"/>
          </w:tcPr>
          <w:p w:rsidR="00591283" w:rsidRPr="00EF5876" w:rsidRDefault="00591283" w:rsidP="00C82B12">
            <w:pPr>
              <w:spacing w:after="99" w:line="261" w:lineRule="auto"/>
              <w:jc w:val="both"/>
            </w:pPr>
            <w:r w:rsidRPr="00EF5876">
              <w:t xml:space="preserve">Súhlas orgánu ochrany ovzdušia je potrebný </w:t>
            </w:r>
          </w:p>
          <w:p w:rsidR="00C82B12" w:rsidRPr="00EF5876" w:rsidRDefault="00591283" w:rsidP="00C82B12">
            <w:pPr>
              <w:spacing w:after="99" w:line="261" w:lineRule="auto"/>
              <w:jc w:val="both"/>
              <w:rPr>
                <w:lang w:eastAsia="sk-SK"/>
              </w:rPr>
            </w:pPr>
            <w:r w:rsidRPr="00EF5876">
              <w:t xml:space="preserve">  </w:t>
            </w:r>
            <w:r w:rsidR="00C82B12" w:rsidRPr="00EF5876">
              <w:t>c)zmeny používaných palív a surovín, na zmeny technologických zariadení stacionárnych zdrojov a na zmeny ich užívania a na prevádzku stacionárnych zdrojov po vykonaných zmenách, ak sa na zmeny nevydá súhlas podľa písmena a) alebo podľa § 18 ods. 1 a v rozhodnutiach podľa § 18 ods. 9 a § 31 ods. 2,</w:t>
            </w:r>
          </w:p>
          <w:p w:rsidR="00B20392" w:rsidRPr="00EF5876" w:rsidRDefault="00B20392" w:rsidP="00603CC4">
            <w:pPr>
              <w:spacing w:after="0" w:line="240" w:lineRule="auto"/>
            </w:pPr>
          </w:p>
        </w:tc>
        <w:tc>
          <w:tcPr>
            <w:tcW w:w="508" w:type="dxa"/>
            <w:tcBorders>
              <w:top w:val="nil"/>
            </w:tcBorders>
            <w:vAlign w:val="center"/>
          </w:tcPr>
          <w:p w:rsidR="00B20392" w:rsidRPr="00603CC4" w:rsidRDefault="00B20392" w:rsidP="00603CC4">
            <w:pPr>
              <w:spacing w:after="0" w:line="240" w:lineRule="auto"/>
            </w:pPr>
          </w:p>
        </w:tc>
        <w:tc>
          <w:tcPr>
            <w:tcW w:w="508" w:type="dxa"/>
            <w:tcBorders>
              <w:top w:val="nil"/>
            </w:tcBorders>
            <w:vAlign w:val="center"/>
          </w:tcPr>
          <w:p w:rsidR="00B20392" w:rsidRPr="00603CC4" w:rsidRDefault="00B20392" w:rsidP="00603CC4">
            <w:pPr>
              <w:spacing w:after="0" w:line="240" w:lineRule="auto"/>
            </w:pPr>
          </w:p>
        </w:tc>
      </w:tr>
      <w:tr w:rsidR="00B20392" w:rsidRPr="00603CC4" w:rsidTr="00EF5876">
        <w:tc>
          <w:tcPr>
            <w:tcW w:w="709" w:type="dxa"/>
            <w:tcBorders>
              <w:bottom w:val="nil"/>
            </w:tcBorders>
            <w:vAlign w:val="center"/>
          </w:tcPr>
          <w:p w:rsidR="00B20392" w:rsidRPr="00603CC4" w:rsidRDefault="00B20392" w:rsidP="00603CC4">
            <w:pPr>
              <w:spacing w:after="0" w:line="240" w:lineRule="auto"/>
            </w:pPr>
            <w:r w:rsidRPr="00603CC4">
              <w:t>Č:10</w:t>
            </w:r>
          </w:p>
        </w:tc>
        <w:tc>
          <w:tcPr>
            <w:tcW w:w="5771" w:type="dxa"/>
            <w:vAlign w:val="center"/>
          </w:tcPr>
          <w:p w:rsidR="00B20392" w:rsidRPr="00603CC4" w:rsidRDefault="00B20392" w:rsidP="00603CC4">
            <w:pPr>
              <w:spacing w:before="120" w:after="0" w:line="240" w:lineRule="auto"/>
              <w:jc w:val="both"/>
              <w:rPr>
                <w:color w:val="000000"/>
              </w:rPr>
            </w:pPr>
            <w:r w:rsidRPr="00603CC4">
              <w:rPr>
                <w:color w:val="000000"/>
              </w:rPr>
              <w:t>Príslušné orgány</w:t>
            </w:r>
          </w:p>
        </w:tc>
        <w:tc>
          <w:tcPr>
            <w:tcW w:w="397" w:type="dxa"/>
            <w:vAlign w:val="center"/>
          </w:tcPr>
          <w:p w:rsidR="00B20392" w:rsidRPr="00603CC4" w:rsidRDefault="00B20392" w:rsidP="00603CC4">
            <w:pPr>
              <w:spacing w:after="0" w:line="240" w:lineRule="auto"/>
            </w:pPr>
          </w:p>
        </w:tc>
        <w:tc>
          <w:tcPr>
            <w:tcW w:w="708" w:type="dxa"/>
            <w:vAlign w:val="center"/>
          </w:tcPr>
          <w:p w:rsidR="00B20392" w:rsidRPr="00603CC4" w:rsidRDefault="00B20392" w:rsidP="00603CC4">
            <w:pPr>
              <w:spacing w:after="0" w:line="240" w:lineRule="auto"/>
            </w:pPr>
          </w:p>
        </w:tc>
        <w:tc>
          <w:tcPr>
            <w:tcW w:w="596" w:type="dxa"/>
            <w:vAlign w:val="center"/>
          </w:tcPr>
          <w:p w:rsidR="00B20392" w:rsidRPr="00603CC4" w:rsidRDefault="00B20392" w:rsidP="00603CC4">
            <w:pPr>
              <w:spacing w:after="0" w:line="240" w:lineRule="auto"/>
            </w:pPr>
          </w:p>
        </w:tc>
        <w:tc>
          <w:tcPr>
            <w:tcW w:w="6396" w:type="dxa"/>
            <w:vAlign w:val="center"/>
          </w:tcPr>
          <w:p w:rsidR="00B20392" w:rsidRPr="00EF5876" w:rsidRDefault="00B20392" w:rsidP="00603CC4">
            <w:pPr>
              <w:spacing w:after="0" w:line="240" w:lineRule="auto"/>
            </w:pPr>
          </w:p>
        </w:tc>
        <w:tc>
          <w:tcPr>
            <w:tcW w:w="508" w:type="dxa"/>
            <w:tcBorders>
              <w:bottom w:val="nil"/>
            </w:tcBorders>
            <w:vAlign w:val="center"/>
          </w:tcPr>
          <w:p w:rsidR="00B20392" w:rsidRPr="00603CC4" w:rsidRDefault="00B20392" w:rsidP="00603CC4">
            <w:pPr>
              <w:spacing w:after="0" w:line="240" w:lineRule="auto"/>
            </w:pPr>
          </w:p>
        </w:tc>
        <w:tc>
          <w:tcPr>
            <w:tcW w:w="508" w:type="dxa"/>
            <w:tcBorders>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tcBorders>
            <w:vAlign w:val="center"/>
          </w:tcPr>
          <w:p w:rsidR="00B20392" w:rsidRPr="00603CC4" w:rsidRDefault="00B20392" w:rsidP="00603CC4">
            <w:pPr>
              <w:spacing w:after="0" w:line="240" w:lineRule="auto"/>
            </w:pPr>
            <w:r w:rsidRPr="00603CC4">
              <w:t>O:1</w:t>
            </w:r>
          </w:p>
        </w:tc>
        <w:tc>
          <w:tcPr>
            <w:tcW w:w="5771" w:type="dxa"/>
            <w:vAlign w:val="center"/>
          </w:tcPr>
          <w:p w:rsidR="00B20392" w:rsidRPr="00603CC4" w:rsidRDefault="00B20392" w:rsidP="00603CC4">
            <w:pPr>
              <w:spacing w:before="120" w:after="0" w:line="240" w:lineRule="auto"/>
              <w:jc w:val="both"/>
              <w:rPr>
                <w:color w:val="000000"/>
              </w:rPr>
            </w:pPr>
            <w:r w:rsidRPr="00603CC4">
              <w:rPr>
                <w:color w:val="000000"/>
              </w:rPr>
              <w:t>Členské štáty určia príslušné orgány, ktoré sú zodpovedné za plnenie povinností vyplývajúcich z tejto smernice.</w:t>
            </w:r>
          </w:p>
        </w:tc>
        <w:tc>
          <w:tcPr>
            <w:tcW w:w="397" w:type="dxa"/>
            <w:vAlign w:val="center"/>
          </w:tcPr>
          <w:p w:rsidR="00B20392" w:rsidRPr="00603CC4" w:rsidRDefault="00670CE1" w:rsidP="00603CC4">
            <w:pPr>
              <w:spacing w:after="0" w:line="240" w:lineRule="auto"/>
            </w:pPr>
            <w:r>
              <w:t>N</w:t>
            </w:r>
          </w:p>
        </w:tc>
        <w:tc>
          <w:tcPr>
            <w:tcW w:w="708" w:type="dxa"/>
            <w:vAlign w:val="center"/>
          </w:tcPr>
          <w:p w:rsidR="00B20392" w:rsidRPr="00603CC4" w:rsidRDefault="008A7D67" w:rsidP="00603CC4">
            <w:pPr>
              <w:spacing w:after="0" w:line="240" w:lineRule="auto"/>
            </w:pPr>
            <w:r>
              <w:t>Z</w:t>
            </w:r>
          </w:p>
        </w:tc>
        <w:tc>
          <w:tcPr>
            <w:tcW w:w="596" w:type="dxa"/>
            <w:vAlign w:val="center"/>
          </w:tcPr>
          <w:p w:rsidR="00B20392" w:rsidRPr="00603CC4" w:rsidRDefault="00350F06" w:rsidP="00FA5311">
            <w:pPr>
              <w:spacing w:after="0" w:line="240" w:lineRule="auto"/>
              <w:ind w:right="-79"/>
            </w:pPr>
            <w:r>
              <w:t>§:</w:t>
            </w:r>
            <w:r w:rsidR="00752715">
              <w:t>26</w:t>
            </w:r>
          </w:p>
        </w:tc>
        <w:tc>
          <w:tcPr>
            <w:tcW w:w="6396" w:type="dxa"/>
            <w:vAlign w:val="center"/>
          </w:tcPr>
          <w:p w:rsidR="00752715" w:rsidRPr="00EF5876" w:rsidRDefault="00752715" w:rsidP="00FA5311">
            <w:pPr>
              <w:spacing w:after="0" w:line="264" w:lineRule="auto"/>
              <w:ind w:left="102" w:right="91"/>
              <w:jc w:val="center"/>
              <w:rPr>
                <w:lang w:eastAsia="sk-SK"/>
              </w:rPr>
            </w:pPr>
            <w:r w:rsidRPr="00EF5876">
              <w:rPr>
                <w:b/>
              </w:rPr>
              <w:t>Okresný úrad</w:t>
            </w:r>
          </w:p>
          <w:p w:rsidR="00752715" w:rsidRPr="00EF5876" w:rsidRDefault="00752715" w:rsidP="00670CE1">
            <w:pPr>
              <w:numPr>
                <w:ilvl w:val="1"/>
                <w:numId w:val="8"/>
              </w:numPr>
              <w:spacing w:after="0" w:line="257" w:lineRule="auto"/>
              <w:ind w:firstLine="227"/>
              <w:jc w:val="both"/>
            </w:pPr>
            <w:r w:rsidRPr="00EF5876">
              <w:t>Okresný úrad vydáva súhlas pre veľké zdroje a stredné zdroje podľa § 17 ods. 1 a § 18 ods. 1.</w:t>
            </w:r>
          </w:p>
          <w:p w:rsidR="00B20392" w:rsidRPr="00EF5876" w:rsidRDefault="00752715" w:rsidP="00670CE1">
            <w:pPr>
              <w:numPr>
                <w:ilvl w:val="1"/>
                <w:numId w:val="8"/>
              </w:numPr>
              <w:spacing w:after="203" w:line="261" w:lineRule="auto"/>
              <w:ind w:firstLine="227"/>
              <w:jc w:val="both"/>
            </w:pPr>
            <w:r w:rsidRPr="00EF5876">
              <w:t>Okresný úrad v súhlasoch podľa odseku 1 a v rozhodnutiach podľa § 18 ods. 9 a § 31 ods. 2 môže určiť podmienky prevádzkovania veľkých zdrojov a stredných zdrojov.</w:t>
            </w:r>
          </w:p>
        </w:tc>
        <w:tc>
          <w:tcPr>
            <w:tcW w:w="508" w:type="dxa"/>
            <w:tcBorders>
              <w:top w:val="nil"/>
            </w:tcBorders>
            <w:vAlign w:val="center"/>
          </w:tcPr>
          <w:p w:rsidR="00B20392" w:rsidRPr="00603CC4" w:rsidRDefault="00B20392" w:rsidP="00603CC4">
            <w:pPr>
              <w:spacing w:after="0" w:line="240" w:lineRule="auto"/>
            </w:pPr>
          </w:p>
        </w:tc>
        <w:tc>
          <w:tcPr>
            <w:tcW w:w="508" w:type="dxa"/>
            <w:tcBorders>
              <w:top w:val="nil"/>
            </w:tcBorders>
            <w:vAlign w:val="center"/>
          </w:tcPr>
          <w:p w:rsidR="00B20392" w:rsidRPr="00603CC4" w:rsidRDefault="00B20392" w:rsidP="00603CC4">
            <w:pPr>
              <w:spacing w:after="0" w:line="240" w:lineRule="auto"/>
            </w:pPr>
          </w:p>
        </w:tc>
      </w:tr>
      <w:tr w:rsidR="00B20392" w:rsidRPr="00603CC4" w:rsidTr="00EF5876">
        <w:tc>
          <w:tcPr>
            <w:tcW w:w="709" w:type="dxa"/>
            <w:tcBorders>
              <w:bottom w:val="nil"/>
            </w:tcBorders>
            <w:vAlign w:val="center"/>
          </w:tcPr>
          <w:p w:rsidR="00B20392" w:rsidRPr="00603CC4" w:rsidRDefault="00B20392" w:rsidP="00603CC4">
            <w:pPr>
              <w:spacing w:after="0" w:line="240" w:lineRule="auto"/>
            </w:pPr>
            <w:r w:rsidRPr="00603CC4">
              <w:lastRenderedPageBreak/>
              <w:t>Č:11</w:t>
            </w:r>
          </w:p>
        </w:tc>
        <w:tc>
          <w:tcPr>
            <w:tcW w:w="5771" w:type="dxa"/>
            <w:vAlign w:val="center"/>
          </w:tcPr>
          <w:p w:rsidR="00B20392" w:rsidRPr="00603CC4" w:rsidRDefault="00B20392" w:rsidP="00603CC4">
            <w:pPr>
              <w:spacing w:before="120" w:after="0" w:line="240" w:lineRule="auto"/>
              <w:jc w:val="both"/>
              <w:rPr>
                <w:color w:val="000000"/>
              </w:rPr>
            </w:pPr>
            <w:r w:rsidRPr="00603CC4">
              <w:rPr>
                <w:color w:val="000000"/>
              </w:rPr>
              <w:t>Podávanie správ</w:t>
            </w:r>
          </w:p>
        </w:tc>
        <w:tc>
          <w:tcPr>
            <w:tcW w:w="397" w:type="dxa"/>
            <w:vAlign w:val="center"/>
          </w:tcPr>
          <w:p w:rsidR="00B20392" w:rsidRPr="00603CC4" w:rsidRDefault="00670CE1" w:rsidP="00603CC4">
            <w:pPr>
              <w:spacing w:after="0" w:line="240" w:lineRule="auto"/>
            </w:pPr>
            <w:r>
              <w:t>N</w:t>
            </w:r>
          </w:p>
        </w:tc>
        <w:tc>
          <w:tcPr>
            <w:tcW w:w="708" w:type="dxa"/>
            <w:vAlign w:val="center"/>
          </w:tcPr>
          <w:p w:rsidR="00B20392" w:rsidRPr="00603CC4" w:rsidRDefault="00B20392" w:rsidP="00603CC4">
            <w:pPr>
              <w:spacing w:after="0" w:line="240" w:lineRule="auto"/>
            </w:pPr>
            <w:r w:rsidRPr="00603CC4">
              <w:t>V</w:t>
            </w:r>
            <w:r w:rsidR="008A7D67">
              <w:t>231</w:t>
            </w:r>
          </w:p>
        </w:tc>
        <w:tc>
          <w:tcPr>
            <w:tcW w:w="596" w:type="dxa"/>
            <w:vAlign w:val="center"/>
          </w:tcPr>
          <w:p w:rsidR="00B20392" w:rsidRPr="00603CC4" w:rsidRDefault="00350F06" w:rsidP="00603CC4">
            <w:pPr>
              <w:spacing w:after="0" w:line="240" w:lineRule="auto"/>
            </w:pPr>
            <w:r>
              <w:t>§:</w:t>
            </w:r>
            <w:r w:rsidR="00B20392" w:rsidRPr="00603CC4">
              <w:t>2</w:t>
            </w:r>
          </w:p>
        </w:tc>
        <w:tc>
          <w:tcPr>
            <w:tcW w:w="6396" w:type="dxa"/>
            <w:vAlign w:val="center"/>
          </w:tcPr>
          <w:p w:rsidR="00B20392" w:rsidRPr="00EF5876" w:rsidRDefault="00B20392" w:rsidP="00603CC4">
            <w:pPr>
              <w:spacing w:after="0" w:line="240" w:lineRule="auto"/>
            </w:pPr>
            <w:r w:rsidRPr="00EF5876">
              <w:t>Informácie a správy podávané Komisii notifikačným orgánom</w:t>
            </w:r>
          </w:p>
          <w:p w:rsidR="00B20392" w:rsidRPr="00EF5876" w:rsidRDefault="00B20392" w:rsidP="00603CC4">
            <w:pPr>
              <w:spacing w:after="0" w:line="240" w:lineRule="auto"/>
            </w:pPr>
            <w:r w:rsidRPr="00EF5876">
              <w:t>Obsah a rozsah informácií a správ podávaných Komisii notifikačným orgánom podľa §23</w:t>
            </w:r>
            <w:r w:rsidR="008A7D67" w:rsidRPr="00EF5876">
              <w:t xml:space="preserve"> </w:t>
            </w:r>
            <w:r w:rsidRPr="00EF5876">
              <w:t>písm. n) zákona a lehoty ich podávania sú uvedené v prílohe č. 1</w:t>
            </w:r>
          </w:p>
        </w:tc>
        <w:tc>
          <w:tcPr>
            <w:tcW w:w="508" w:type="dxa"/>
            <w:tcBorders>
              <w:bottom w:val="nil"/>
            </w:tcBorders>
            <w:vAlign w:val="center"/>
          </w:tcPr>
          <w:p w:rsidR="00B20392" w:rsidRPr="00603CC4" w:rsidRDefault="00B20392" w:rsidP="00603CC4">
            <w:pPr>
              <w:spacing w:after="0" w:line="240" w:lineRule="auto"/>
            </w:pPr>
          </w:p>
        </w:tc>
        <w:tc>
          <w:tcPr>
            <w:tcW w:w="508" w:type="dxa"/>
            <w:tcBorders>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Default="00B20392" w:rsidP="00603CC4">
            <w:pPr>
              <w:spacing w:after="0" w:line="240" w:lineRule="auto"/>
            </w:pPr>
            <w:r w:rsidRPr="00603CC4">
              <w:t>O:1</w:t>
            </w:r>
          </w:p>
          <w:p w:rsidR="00752715" w:rsidRDefault="00752715" w:rsidP="00603CC4">
            <w:pPr>
              <w:spacing w:after="0" w:line="240" w:lineRule="auto"/>
            </w:pPr>
          </w:p>
          <w:p w:rsidR="00752715" w:rsidRDefault="00752715" w:rsidP="00603CC4">
            <w:pPr>
              <w:spacing w:after="0" w:line="240" w:lineRule="auto"/>
            </w:pPr>
          </w:p>
          <w:p w:rsidR="00752715" w:rsidRDefault="00752715" w:rsidP="00603CC4">
            <w:pPr>
              <w:spacing w:after="0" w:line="240" w:lineRule="auto"/>
            </w:pPr>
          </w:p>
          <w:p w:rsidR="00752715" w:rsidRDefault="00752715" w:rsidP="00603CC4">
            <w:pPr>
              <w:spacing w:after="0" w:line="240" w:lineRule="auto"/>
            </w:pPr>
          </w:p>
          <w:p w:rsidR="00752715" w:rsidRDefault="00752715" w:rsidP="00603CC4">
            <w:pPr>
              <w:spacing w:after="0" w:line="240" w:lineRule="auto"/>
            </w:pPr>
          </w:p>
          <w:p w:rsidR="00752715" w:rsidRDefault="00752715" w:rsidP="00603CC4">
            <w:pPr>
              <w:spacing w:after="0" w:line="240" w:lineRule="auto"/>
            </w:pPr>
          </w:p>
          <w:p w:rsidR="00752715" w:rsidRDefault="00752715" w:rsidP="00603CC4">
            <w:pPr>
              <w:spacing w:after="0" w:line="240" w:lineRule="auto"/>
            </w:pPr>
          </w:p>
          <w:p w:rsidR="00752715" w:rsidRDefault="00752715" w:rsidP="00603CC4">
            <w:pPr>
              <w:spacing w:after="0" w:line="240" w:lineRule="auto"/>
            </w:pPr>
          </w:p>
          <w:p w:rsidR="00752715" w:rsidRDefault="00752715" w:rsidP="00603CC4">
            <w:pPr>
              <w:spacing w:after="0" w:line="240" w:lineRule="auto"/>
            </w:pPr>
          </w:p>
          <w:p w:rsidR="00752715" w:rsidRDefault="00752715" w:rsidP="00603CC4">
            <w:pPr>
              <w:spacing w:after="0" w:line="240" w:lineRule="auto"/>
            </w:pPr>
          </w:p>
          <w:p w:rsidR="00752715" w:rsidRDefault="00752715" w:rsidP="00603CC4">
            <w:pPr>
              <w:spacing w:after="0" w:line="240" w:lineRule="auto"/>
            </w:pPr>
          </w:p>
          <w:p w:rsidR="00752715" w:rsidRDefault="00752715" w:rsidP="00603CC4">
            <w:pPr>
              <w:spacing w:after="0" w:line="240" w:lineRule="auto"/>
            </w:pPr>
          </w:p>
          <w:p w:rsidR="00752715" w:rsidRDefault="00752715" w:rsidP="00603CC4">
            <w:pPr>
              <w:spacing w:after="0" w:line="240" w:lineRule="auto"/>
            </w:pPr>
          </w:p>
          <w:p w:rsidR="00752715" w:rsidRDefault="00752715" w:rsidP="00603CC4">
            <w:pPr>
              <w:spacing w:after="0" w:line="240" w:lineRule="auto"/>
            </w:pPr>
          </w:p>
          <w:p w:rsidR="00752715" w:rsidRDefault="00752715" w:rsidP="00603CC4">
            <w:pPr>
              <w:spacing w:after="0" w:line="240" w:lineRule="auto"/>
            </w:pPr>
          </w:p>
          <w:p w:rsidR="00752715" w:rsidRDefault="00752715" w:rsidP="00603CC4">
            <w:pPr>
              <w:spacing w:after="0" w:line="240" w:lineRule="auto"/>
            </w:pPr>
          </w:p>
          <w:p w:rsidR="00752715" w:rsidRDefault="00752715" w:rsidP="00603CC4">
            <w:pPr>
              <w:spacing w:after="0" w:line="240" w:lineRule="auto"/>
            </w:pPr>
          </w:p>
          <w:p w:rsidR="00752715" w:rsidRDefault="00752715" w:rsidP="00603CC4">
            <w:pPr>
              <w:spacing w:after="0" w:line="240" w:lineRule="auto"/>
            </w:pPr>
          </w:p>
          <w:p w:rsidR="00752715" w:rsidRDefault="00752715" w:rsidP="00603CC4">
            <w:pPr>
              <w:spacing w:after="0" w:line="240" w:lineRule="auto"/>
            </w:pPr>
          </w:p>
          <w:p w:rsidR="00752715" w:rsidRDefault="00752715" w:rsidP="00603CC4">
            <w:pPr>
              <w:spacing w:after="0" w:line="240" w:lineRule="auto"/>
            </w:pPr>
          </w:p>
          <w:p w:rsidR="00752715" w:rsidRPr="00603CC4" w:rsidRDefault="00752715" w:rsidP="00603CC4">
            <w:pPr>
              <w:spacing w:after="0" w:line="240" w:lineRule="auto"/>
            </w:pPr>
            <w:r w:rsidRPr="00603CC4">
              <w:t>O:2</w:t>
            </w:r>
          </w:p>
        </w:tc>
        <w:tc>
          <w:tcPr>
            <w:tcW w:w="5771" w:type="dxa"/>
            <w:vAlign w:val="center"/>
          </w:tcPr>
          <w:p w:rsidR="00B20392" w:rsidRPr="00603CC4" w:rsidRDefault="00B20392" w:rsidP="00AA667D">
            <w:pPr>
              <w:pStyle w:val="Normlny1"/>
              <w:rPr>
                <w:rFonts w:ascii="Calibri" w:hAnsi="Calibri" w:cs="Calibri"/>
                <w:color w:val="000000"/>
                <w:sz w:val="22"/>
                <w:szCs w:val="22"/>
              </w:rPr>
            </w:pPr>
            <w:r w:rsidRPr="00603CC4">
              <w:rPr>
                <w:rFonts w:ascii="Calibri" w:hAnsi="Calibri" w:cs="Calibri"/>
                <w:color w:val="000000"/>
                <w:sz w:val="22"/>
                <w:szCs w:val="22"/>
              </w:rPr>
              <w:t>1. Členské štáty do 1. októbra 2026 a do 1. októbra 2031 predložia Komisii správu obsahujúcu kvalitatívne a kvantitatívne informácie o vykonávaní tejto smernice, o všetkých opatreniach prijatých s cieľom overiť súlad prevádzky stredne veľkých spaľovacích zariadení s touto smernicou a o všetkých opatreniach týkajúcich sa presadzovania tejto smernice vykonaných na tieto účely.</w:t>
            </w:r>
          </w:p>
          <w:p w:rsidR="00B20392" w:rsidRDefault="00B20392" w:rsidP="00AA667D">
            <w:pPr>
              <w:pStyle w:val="Normlny1"/>
              <w:rPr>
                <w:rFonts w:ascii="Calibri" w:hAnsi="Calibri" w:cs="Calibri"/>
                <w:color w:val="000000"/>
                <w:sz w:val="22"/>
                <w:szCs w:val="22"/>
              </w:rPr>
            </w:pPr>
            <w:r w:rsidRPr="00603CC4">
              <w:rPr>
                <w:rFonts w:ascii="Calibri" w:hAnsi="Calibri" w:cs="Calibri"/>
                <w:color w:val="000000"/>
                <w:sz w:val="22"/>
                <w:szCs w:val="22"/>
              </w:rPr>
              <w:t xml:space="preserve">Prvá správa uvedená v prvom </w:t>
            </w:r>
            <w:proofErr w:type="spellStart"/>
            <w:r w:rsidRPr="00603CC4">
              <w:rPr>
                <w:rFonts w:ascii="Calibri" w:hAnsi="Calibri" w:cs="Calibri"/>
                <w:color w:val="000000"/>
                <w:sz w:val="22"/>
                <w:szCs w:val="22"/>
              </w:rPr>
              <w:t>pododseku</w:t>
            </w:r>
            <w:proofErr w:type="spellEnd"/>
            <w:r w:rsidRPr="00603CC4">
              <w:rPr>
                <w:rFonts w:ascii="Calibri" w:hAnsi="Calibri" w:cs="Calibri"/>
                <w:color w:val="000000"/>
                <w:sz w:val="22"/>
                <w:szCs w:val="22"/>
              </w:rPr>
              <w:t xml:space="preserve"> bude obsahovať odhad celkových ročných emisií, pokiaľ ide o SO</w:t>
            </w:r>
            <w:r w:rsidRPr="00603CC4">
              <w:rPr>
                <w:rStyle w:val="sub"/>
                <w:rFonts w:ascii="Calibri" w:hAnsi="Calibri" w:cs="Calibri"/>
                <w:color w:val="000000"/>
                <w:sz w:val="22"/>
                <w:szCs w:val="22"/>
              </w:rPr>
              <w:t>2</w:t>
            </w:r>
            <w:r w:rsidRPr="00603CC4">
              <w:rPr>
                <w:rFonts w:ascii="Calibri" w:hAnsi="Calibri" w:cs="Calibri"/>
                <w:color w:val="000000"/>
                <w:sz w:val="22"/>
                <w:szCs w:val="22"/>
              </w:rPr>
              <w:t>, NO</w:t>
            </w:r>
            <w:r w:rsidRPr="00603CC4">
              <w:rPr>
                <w:rStyle w:val="sub"/>
                <w:rFonts w:ascii="Calibri" w:hAnsi="Calibri" w:cs="Calibri"/>
                <w:color w:val="000000"/>
                <w:sz w:val="22"/>
                <w:szCs w:val="22"/>
              </w:rPr>
              <w:t>x</w:t>
            </w:r>
            <w:r w:rsidRPr="00603CC4">
              <w:rPr>
                <w:rFonts w:ascii="Calibri" w:hAnsi="Calibri" w:cs="Calibri"/>
                <w:color w:val="000000"/>
                <w:sz w:val="22"/>
                <w:szCs w:val="22"/>
              </w:rPr>
              <w:t xml:space="preserve"> a prach zo stredne veľkých spaľovacích zariadení zoradených podľa druhu zariadenia, druhu paliva a kapacitnej triedy.</w:t>
            </w:r>
          </w:p>
          <w:p w:rsidR="00752715" w:rsidRDefault="00752715" w:rsidP="00AA667D">
            <w:pPr>
              <w:pStyle w:val="Normlny1"/>
              <w:rPr>
                <w:rFonts w:ascii="Calibri" w:hAnsi="Calibri" w:cs="Calibri"/>
                <w:color w:val="000000"/>
                <w:sz w:val="22"/>
                <w:szCs w:val="22"/>
              </w:rPr>
            </w:pPr>
          </w:p>
          <w:p w:rsidR="00B20392" w:rsidRPr="00603CC4" w:rsidRDefault="00752715" w:rsidP="00603CC4">
            <w:pPr>
              <w:spacing w:before="120" w:after="0" w:line="240" w:lineRule="auto"/>
              <w:jc w:val="both"/>
              <w:rPr>
                <w:color w:val="000000"/>
              </w:rPr>
            </w:pPr>
            <w:r w:rsidRPr="00603CC4">
              <w:rPr>
                <w:color w:val="000000"/>
              </w:rPr>
              <w:t>2. Členské štáty tiež Komisii predložia do 1. januára 2021 správu o odhade celkových ročných emisií CO a všetky dostupné informácie, ktoré sa týkajú koncentrácie emisií CO zo stredne veľkých spaľovacích zariadení zoradených podľa druhu paliva a kapacitnej triedy.</w:t>
            </w:r>
          </w:p>
        </w:tc>
        <w:tc>
          <w:tcPr>
            <w:tcW w:w="397" w:type="dxa"/>
            <w:vAlign w:val="center"/>
          </w:tcPr>
          <w:p w:rsidR="00B20392" w:rsidRPr="00603CC4" w:rsidRDefault="00670CE1" w:rsidP="00603CC4">
            <w:pPr>
              <w:spacing w:after="0" w:line="240" w:lineRule="auto"/>
            </w:pPr>
            <w:r>
              <w:t>N</w:t>
            </w:r>
          </w:p>
        </w:tc>
        <w:tc>
          <w:tcPr>
            <w:tcW w:w="708" w:type="dxa"/>
            <w:vAlign w:val="center"/>
          </w:tcPr>
          <w:p w:rsidR="00B20392" w:rsidRPr="00603CC4" w:rsidRDefault="00B20392" w:rsidP="00603CC4">
            <w:pPr>
              <w:spacing w:after="0" w:line="240" w:lineRule="auto"/>
            </w:pPr>
            <w:r w:rsidRPr="00603CC4">
              <w:t>V</w:t>
            </w:r>
            <w:r w:rsidR="008A7D67">
              <w:t>231</w:t>
            </w:r>
          </w:p>
        </w:tc>
        <w:tc>
          <w:tcPr>
            <w:tcW w:w="596" w:type="dxa"/>
            <w:vAlign w:val="center"/>
          </w:tcPr>
          <w:p w:rsidR="00B20392" w:rsidRPr="00603CC4" w:rsidRDefault="00B20392" w:rsidP="00603CC4">
            <w:pPr>
              <w:spacing w:after="0" w:line="240" w:lineRule="auto"/>
            </w:pPr>
            <w:r w:rsidRPr="00603CC4">
              <w:t>Pr.1 B</w:t>
            </w:r>
            <w:r w:rsidR="00350F06">
              <w:t>:</w:t>
            </w:r>
            <w:r w:rsidRPr="00603CC4">
              <w:t>9</w:t>
            </w:r>
          </w:p>
        </w:tc>
        <w:tc>
          <w:tcPr>
            <w:tcW w:w="6396" w:type="dxa"/>
            <w:vAlign w:val="center"/>
          </w:tcPr>
          <w:p w:rsidR="00B20392" w:rsidRPr="00EF5876" w:rsidRDefault="00B20392" w:rsidP="009171C4">
            <w:pPr>
              <w:pStyle w:val="Odsekzoznamu"/>
              <w:keepNext w:val="0"/>
              <w:spacing w:before="0" w:after="0" w:line="276" w:lineRule="auto"/>
              <w:ind w:left="284"/>
              <w:rPr>
                <w:rFonts w:ascii="Calibri" w:hAnsi="Calibri" w:cs="Calibri"/>
                <w:b/>
                <w:bCs/>
                <w:sz w:val="22"/>
                <w:szCs w:val="22"/>
              </w:rPr>
            </w:pPr>
            <w:r w:rsidRPr="00EF5876">
              <w:rPr>
                <w:rFonts w:ascii="Calibri" w:hAnsi="Calibri" w:cs="Calibri"/>
                <w:b/>
                <w:bCs/>
                <w:sz w:val="22"/>
                <w:szCs w:val="22"/>
              </w:rPr>
              <w:t>9.  STRED</w:t>
            </w:r>
            <w:r w:rsidR="009171C4">
              <w:rPr>
                <w:rFonts w:ascii="Calibri" w:hAnsi="Calibri" w:cs="Calibri"/>
                <w:b/>
                <w:bCs/>
                <w:sz w:val="22"/>
                <w:szCs w:val="22"/>
              </w:rPr>
              <w:t>NE VEĽKÉ SPAĽOVACIE ZARIADENIA</w:t>
            </w:r>
          </w:p>
          <w:tbl>
            <w:tblPr>
              <w:tblW w:w="90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3"/>
              <w:gridCol w:w="4931"/>
              <w:gridCol w:w="1950"/>
            </w:tblGrid>
            <w:tr w:rsidR="009171C4" w:rsidRPr="00EF5876" w:rsidTr="006E65C5">
              <w:trPr>
                <w:trHeight w:val="335"/>
              </w:trPr>
              <w:tc>
                <w:tcPr>
                  <w:tcW w:w="2123" w:type="dxa"/>
                  <w:tcBorders>
                    <w:top w:val="single" w:sz="4" w:space="0" w:color="auto"/>
                    <w:left w:val="single" w:sz="4" w:space="0" w:color="auto"/>
                    <w:bottom w:val="single" w:sz="4" w:space="0" w:color="auto"/>
                    <w:right w:val="single" w:sz="4" w:space="0" w:color="auto"/>
                  </w:tcBorders>
                </w:tcPr>
                <w:p w:rsidR="00B20392" w:rsidRPr="00EF5876" w:rsidRDefault="00B20392" w:rsidP="009171C4">
                  <w:pPr>
                    <w:pStyle w:val="Odsekzoznamu"/>
                    <w:keepNext w:val="0"/>
                    <w:spacing w:before="0" w:after="0" w:line="276" w:lineRule="auto"/>
                    <w:ind w:left="0"/>
                    <w:jc w:val="left"/>
                    <w:rPr>
                      <w:rFonts w:ascii="Calibri" w:hAnsi="Calibri" w:cs="Calibri"/>
                      <w:b/>
                      <w:bCs/>
                      <w:sz w:val="22"/>
                      <w:szCs w:val="22"/>
                    </w:rPr>
                  </w:pPr>
                  <w:r w:rsidRPr="00EF5876">
                    <w:rPr>
                      <w:rFonts w:ascii="Calibri" w:hAnsi="Calibri" w:cs="Calibri"/>
                      <w:b/>
                      <w:bCs/>
                      <w:sz w:val="22"/>
                      <w:szCs w:val="22"/>
                    </w:rPr>
                    <w:t>Predmet správy, oznámenia</w:t>
                  </w:r>
                </w:p>
              </w:tc>
              <w:tc>
                <w:tcPr>
                  <w:tcW w:w="4931" w:type="dxa"/>
                  <w:tcBorders>
                    <w:top w:val="single" w:sz="4" w:space="0" w:color="auto"/>
                    <w:left w:val="single" w:sz="4" w:space="0" w:color="auto"/>
                    <w:bottom w:val="single" w:sz="4" w:space="0" w:color="auto"/>
                    <w:right w:val="single" w:sz="4" w:space="0" w:color="auto"/>
                  </w:tcBorders>
                </w:tcPr>
                <w:p w:rsidR="00B20392" w:rsidRPr="00EF5876" w:rsidRDefault="00B20392" w:rsidP="009171C4">
                  <w:pPr>
                    <w:pStyle w:val="Odsekzoznamu"/>
                    <w:keepNext w:val="0"/>
                    <w:spacing w:before="0" w:after="0" w:line="276" w:lineRule="auto"/>
                    <w:ind w:left="0"/>
                    <w:jc w:val="left"/>
                    <w:rPr>
                      <w:rFonts w:ascii="Calibri" w:hAnsi="Calibri" w:cs="Calibri"/>
                      <w:b/>
                      <w:bCs/>
                      <w:sz w:val="22"/>
                      <w:szCs w:val="22"/>
                    </w:rPr>
                  </w:pPr>
                  <w:r w:rsidRPr="00EF5876">
                    <w:rPr>
                      <w:rFonts w:ascii="Calibri" w:hAnsi="Calibri" w:cs="Calibri"/>
                      <w:b/>
                      <w:bCs/>
                      <w:sz w:val="22"/>
                      <w:szCs w:val="22"/>
                    </w:rPr>
                    <w:t>Údaje, ktoré treba oznamovať</w:t>
                  </w:r>
                </w:p>
              </w:tc>
              <w:tc>
                <w:tcPr>
                  <w:tcW w:w="1950" w:type="dxa"/>
                  <w:tcBorders>
                    <w:top w:val="single" w:sz="4" w:space="0" w:color="auto"/>
                    <w:left w:val="single" w:sz="4" w:space="0" w:color="auto"/>
                    <w:bottom w:val="single" w:sz="4" w:space="0" w:color="auto"/>
                    <w:right w:val="single" w:sz="4" w:space="0" w:color="auto"/>
                  </w:tcBorders>
                </w:tcPr>
                <w:p w:rsidR="00B20392" w:rsidRPr="00EF5876" w:rsidRDefault="00B20392" w:rsidP="00603CC4">
                  <w:pPr>
                    <w:pStyle w:val="Odsekzoznamu"/>
                    <w:keepNext w:val="0"/>
                    <w:spacing w:before="0" w:after="200" w:line="276" w:lineRule="auto"/>
                    <w:ind w:left="0"/>
                    <w:rPr>
                      <w:rFonts w:ascii="Calibri" w:hAnsi="Calibri" w:cs="Calibri"/>
                      <w:b/>
                      <w:bCs/>
                      <w:sz w:val="22"/>
                      <w:szCs w:val="22"/>
                    </w:rPr>
                  </w:pPr>
                  <w:r w:rsidRPr="00EF5876">
                    <w:rPr>
                      <w:rFonts w:ascii="Calibri" w:hAnsi="Calibri" w:cs="Calibri"/>
                      <w:b/>
                      <w:bCs/>
                      <w:sz w:val="22"/>
                      <w:szCs w:val="22"/>
                    </w:rPr>
                    <w:t>Lehoty, termíny</w:t>
                  </w:r>
                </w:p>
              </w:tc>
            </w:tr>
            <w:tr w:rsidR="009171C4" w:rsidRPr="00EF5876" w:rsidTr="006E65C5">
              <w:tc>
                <w:tcPr>
                  <w:tcW w:w="2123" w:type="dxa"/>
                  <w:tcBorders>
                    <w:top w:val="single" w:sz="4" w:space="0" w:color="auto"/>
                    <w:left w:val="single" w:sz="4" w:space="0" w:color="auto"/>
                    <w:bottom w:val="single" w:sz="4" w:space="0" w:color="auto"/>
                    <w:right w:val="single" w:sz="4" w:space="0" w:color="auto"/>
                  </w:tcBorders>
                  <w:vAlign w:val="center"/>
                </w:tcPr>
                <w:p w:rsidR="00B20392" w:rsidRPr="00EF5876" w:rsidRDefault="00B20392" w:rsidP="009171C4">
                  <w:pPr>
                    <w:pStyle w:val="Odsekzoznamu"/>
                    <w:keepNext w:val="0"/>
                    <w:spacing w:before="0" w:after="0" w:line="276" w:lineRule="auto"/>
                    <w:ind w:left="0"/>
                    <w:jc w:val="left"/>
                    <w:rPr>
                      <w:rFonts w:ascii="Calibri" w:hAnsi="Calibri" w:cs="Calibri"/>
                      <w:sz w:val="22"/>
                      <w:szCs w:val="22"/>
                    </w:rPr>
                  </w:pPr>
                  <w:r w:rsidRPr="00EF5876">
                    <w:rPr>
                      <w:rFonts w:ascii="Calibri" w:hAnsi="Calibri" w:cs="Calibri"/>
                      <w:sz w:val="22"/>
                      <w:szCs w:val="22"/>
                    </w:rPr>
                    <w:t xml:space="preserve">Správa o stredne veľkých spaľovacích zariadeniach </w:t>
                  </w:r>
                </w:p>
              </w:tc>
              <w:tc>
                <w:tcPr>
                  <w:tcW w:w="4931" w:type="dxa"/>
                  <w:tcBorders>
                    <w:top w:val="single" w:sz="4" w:space="0" w:color="auto"/>
                    <w:left w:val="single" w:sz="4" w:space="0" w:color="auto"/>
                    <w:bottom w:val="single" w:sz="4" w:space="0" w:color="auto"/>
                    <w:right w:val="single" w:sz="4" w:space="0" w:color="auto"/>
                  </w:tcBorders>
                  <w:vAlign w:val="center"/>
                </w:tcPr>
                <w:p w:rsidR="00B20392" w:rsidRPr="00EF5876" w:rsidRDefault="00B20392" w:rsidP="009171C4">
                  <w:pPr>
                    <w:pStyle w:val="Odsekzoznamu"/>
                    <w:keepNext w:val="0"/>
                    <w:numPr>
                      <w:ilvl w:val="0"/>
                      <w:numId w:val="1"/>
                    </w:numPr>
                    <w:spacing w:before="0" w:after="0" w:line="276" w:lineRule="auto"/>
                    <w:ind w:left="257" w:hanging="257"/>
                    <w:jc w:val="left"/>
                    <w:rPr>
                      <w:rFonts w:ascii="Calibri" w:hAnsi="Calibri" w:cs="Calibri"/>
                      <w:sz w:val="22"/>
                      <w:szCs w:val="22"/>
                    </w:rPr>
                  </w:pPr>
                  <w:r w:rsidRPr="00EF5876">
                    <w:rPr>
                      <w:rFonts w:ascii="Calibri" w:hAnsi="Calibri" w:cs="Calibri"/>
                      <w:sz w:val="22"/>
                      <w:szCs w:val="22"/>
                    </w:rPr>
                    <w:t xml:space="preserve">Kvalitatívne a kvantitatívne  informácie  o vykonávaní smernice, o opatreniach  prijatých  s cieľom overiť súlad prevádzky s ustanovenými požiadavkami a o ostatných prijatých opatreniach </w:t>
                  </w:r>
                </w:p>
                <w:p w:rsidR="00B20392" w:rsidRPr="00EF5876" w:rsidRDefault="00B20392" w:rsidP="009171C4">
                  <w:pPr>
                    <w:pStyle w:val="Odsekzoznamu"/>
                    <w:keepNext w:val="0"/>
                    <w:numPr>
                      <w:ilvl w:val="0"/>
                      <w:numId w:val="1"/>
                    </w:numPr>
                    <w:spacing w:before="0" w:after="0" w:line="276" w:lineRule="auto"/>
                    <w:ind w:left="257" w:hanging="257"/>
                    <w:jc w:val="left"/>
                    <w:rPr>
                      <w:rFonts w:ascii="Calibri" w:hAnsi="Calibri" w:cs="Calibri"/>
                      <w:sz w:val="22"/>
                      <w:szCs w:val="22"/>
                    </w:rPr>
                  </w:pPr>
                  <w:r w:rsidRPr="00EF5876">
                    <w:rPr>
                      <w:rFonts w:ascii="Calibri" w:hAnsi="Calibri" w:cs="Calibri"/>
                      <w:sz w:val="22"/>
                      <w:szCs w:val="22"/>
                    </w:rPr>
                    <w:t>Odhad celkových ročných emisií SO</w:t>
                  </w:r>
                  <w:r w:rsidRPr="00EF5876">
                    <w:rPr>
                      <w:rFonts w:ascii="Calibri" w:hAnsi="Calibri" w:cs="Calibri"/>
                      <w:sz w:val="22"/>
                      <w:szCs w:val="22"/>
                      <w:vertAlign w:val="subscript"/>
                    </w:rPr>
                    <w:t>2</w:t>
                  </w:r>
                  <w:r w:rsidRPr="00EF5876">
                    <w:rPr>
                      <w:rFonts w:ascii="Calibri" w:hAnsi="Calibri" w:cs="Calibri"/>
                      <w:sz w:val="22"/>
                      <w:szCs w:val="22"/>
                    </w:rPr>
                    <w:t>, NO</w:t>
                  </w:r>
                  <w:r w:rsidRPr="00EF5876">
                    <w:rPr>
                      <w:rFonts w:ascii="Calibri" w:hAnsi="Calibri" w:cs="Calibri"/>
                      <w:sz w:val="22"/>
                      <w:szCs w:val="22"/>
                      <w:vertAlign w:val="subscript"/>
                    </w:rPr>
                    <w:t>x</w:t>
                  </w:r>
                  <w:r w:rsidRPr="00EF5876">
                    <w:rPr>
                      <w:rFonts w:ascii="Calibri" w:hAnsi="Calibri" w:cs="Calibri"/>
                      <w:sz w:val="22"/>
                      <w:szCs w:val="22"/>
                    </w:rPr>
                    <w:t xml:space="preserve"> a TZL, podľa druhu spaľovacieho zariadenia, druhu paliva a kapacitnej triedy</w:t>
                  </w:r>
                </w:p>
              </w:tc>
              <w:tc>
                <w:tcPr>
                  <w:tcW w:w="1950" w:type="dxa"/>
                  <w:tcBorders>
                    <w:top w:val="single" w:sz="4" w:space="0" w:color="auto"/>
                    <w:left w:val="single" w:sz="4" w:space="0" w:color="auto"/>
                    <w:bottom w:val="single" w:sz="4" w:space="0" w:color="auto"/>
                    <w:right w:val="single" w:sz="4" w:space="0" w:color="auto"/>
                  </w:tcBorders>
                  <w:vAlign w:val="center"/>
                </w:tcPr>
                <w:p w:rsidR="00B20392" w:rsidRPr="00EF5876" w:rsidRDefault="00B20392" w:rsidP="00603CC4">
                  <w:pPr>
                    <w:pStyle w:val="Odsekzoznamu"/>
                    <w:keepNext w:val="0"/>
                    <w:spacing w:before="0" w:after="0" w:line="276" w:lineRule="auto"/>
                    <w:ind w:left="0"/>
                    <w:jc w:val="left"/>
                    <w:rPr>
                      <w:rFonts w:ascii="Calibri" w:hAnsi="Calibri" w:cs="Calibri"/>
                      <w:sz w:val="22"/>
                      <w:szCs w:val="22"/>
                    </w:rPr>
                  </w:pPr>
                  <w:r w:rsidRPr="00EF5876">
                    <w:rPr>
                      <w:rFonts w:ascii="Calibri" w:hAnsi="Calibri" w:cs="Calibri"/>
                      <w:sz w:val="22"/>
                      <w:szCs w:val="22"/>
                    </w:rPr>
                    <w:t>Do 1. októbra 2026</w:t>
                  </w:r>
                </w:p>
                <w:p w:rsidR="00B20392" w:rsidRPr="00EF5876" w:rsidRDefault="00B20392" w:rsidP="00603CC4">
                  <w:pPr>
                    <w:pStyle w:val="Odsekzoznamu"/>
                    <w:keepNext w:val="0"/>
                    <w:spacing w:before="0" w:after="0" w:line="276" w:lineRule="auto"/>
                    <w:ind w:left="0"/>
                    <w:jc w:val="left"/>
                    <w:rPr>
                      <w:rFonts w:ascii="Calibri" w:hAnsi="Calibri" w:cs="Calibri"/>
                      <w:sz w:val="22"/>
                      <w:szCs w:val="22"/>
                    </w:rPr>
                  </w:pPr>
                  <w:r w:rsidRPr="00EF5876">
                    <w:rPr>
                      <w:rFonts w:ascii="Calibri" w:hAnsi="Calibri" w:cs="Calibri"/>
                      <w:sz w:val="22"/>
                      <w:szCs w:val="22"/>
                    </w:rPr>
                    <w:t xml:space="preserve">Do 1. októbra 2031 </w:t>
                  </w:r>
                </w:p>
              </w:tc>
            </w:tr>
            <w:tr w:rsidR="009171C4" w:rsidRPr="00EF5876" w:rsidTr="006E65C5">
              <w:tc>
                <w:tcPr>
                  <w:tcW w:w="2123" w:type="dxa"/>
                  <w:tcBorders>
                    <w:top w:val="single" w:sz="4" w:space="0" w:color="auto"/>
                    <w:left w:val="single" w:sz="4" w:space="0" w:color="auto"/>
                    <w:bottom w:val="single" w:sz="4" w:space="0" w:color="auto"/>
                    <w:right w:val="single" w:sz="4" w:space="0" w:color="auto"/>
                  </w:tcBorders>
                  <w:vAlign w:val="center"/>
                </w:tcPr>
                <w:p w:rsidR="00B20392" w:rsidRPr="00EF5876" w:rsidRDefault="00B20392" w:rsidP="009171C4">
                  <w:pPr>
                    <w:pStyle w:val="Odsekzoznamu"/>
                    <w:keepNext w:val="0"/>
                    <w:spacing w:before="0" w:after="0" w:line="276" w:lineRule="auto"/>
                    <w:ind w:left="0"/>
                    <w:jc w:val="left"/>
                    <w:rPr>
                      <w:rFonts w:ascii="Calibri" w:hAnsi="Calibri" w:cs="Calibri"/>
                      <w:sz w:val="22"/>
                      <w:szCs w:val="22"/>
                    </w:rPr>
                  </w:pPr>
                  <w:r w:rsidRPr="00EF5876">
                    <w:rPr>
                      <w:rFonts w:ascii="Calibri" w:hAnsi="Calibri" w:cs="Calibri"/>
                      <w:sz w:val="22"/>
                      <w:szCs w:val="22"/>
                    </w:rPr>
                    <w:t>Správa  o odhade celkových ročných emisií CO</w:t>
                  </w:r>
                </w:p>
              </w:tc>
              <w:tc>
                <w:tcPr>
                  <w:tcW w:w="4931" w:type="dxa"/>
                  <w:tcBorders>
                    <w:top w:val="single" w:sz="4" w:space="0" w:color="auto"/>
                    <w:left w:val="single" w:sz="4" w:space="0" w:color="auto"/>
                    <w:bottom w:val="single" w:sz="4" w:space="0" w:color="auto"/>
                    <w:right w:val="single" w:sz="4" w:space="0" w:color="auto"/>
                  </w:tcBorders>
                  <w:vAlign w:val="center"/>
                </w:tcPr>
                <w:p w:rsidR="00B20392" w:rsidRPr="00EF5876" w:rsidRDefault="00B20392" w:rsidP="009171C4">
                  <w:pPr>
                    <w:pStyle w:val="Odsekzoznamu"/>
                    <w:keepNext w:val="0"/>
                    <w:spacing w:before="0" w:after="0" w:line="276" w:lineRule="auto"/>
                    <w:ind w:left="0"/>
                    <w:jc w:val="left"/>
                    <w:rPr>
                      <w:rFonts w:ascii="Calibri" w:hAnsi="Calibri" w:cs="Calibri"/>
                      <w:sz w:val="22"/>
                      <w:szCs w:val="22"/>
                    </w:rPr>
                  </w:pPr>
                  <w:r w:rsidRPr="00EF5876">
                    <w:rPr>
                      <w:rFonts w:ascii="Calibri" w:hAnsi="Calibri" w:cs="Calibri"/>
                      <w:sz w:val="22"/>
                      <w:szCs w:val="22"/>
                    </w:rPr>
                    <w:t>Odhad  celkových ročných emisií CO  a všetky dostupné informácie o koncentráciách CO zo stredne veľkých spaľovacích zariadení  podľa druhu paliva a kapacitnej triedy</w:t>
                  </w:r>
                </w:p>
              </w:tc>
              <w:tc>
                <w:tcPr>
                  <w:tcW w:w="1950" w:type="dxa"/>
                  <w:tcBorders>
                    <w:top w:val="single" w:sz="4" w:space="0" w:color="auto"/>
                    <w:left w:val="single" w:sz="4" w:space="0" w:color="auto"/>
                    <w:bottom w:val="single" w:sz="4" w:space="0" w:color="auto"/>
                    <w:right w:val="single" w:sz="4" w:space="0" w:color="auto"/>
                  </w:tcBorders>
                  <w:vAlign w:val="center"/>
                </w:tcPr>
                <w:p w:rsidR="00B20392" w:rsidRPr="00EF5876" w:rsidRDefault="00B20392" w:rsidP="00603CC4">
                  <w:pPr>
                    <w:pStyle w:val="Odsekzoznamu"/>
                    <w:keepNext w:val="0"/>
                    <w:spacing w:before="0" w:after="200" w:line="276" w:lineRule="auto"/>
                    <w:ind w:left="0"/>
                    <w:jc w:val="left"/>
                    <w:rPr>
                      <w:rFonts w:ascii="Calibri" w:hAnsi="Calibri" w:cs="Calibri"/>
                      <w:sz w:val="22"/>
                      <w:szCs w:val="22"/>
                    </w:rPr>
                  </w:pPr>
                  <w:r w:rsidRPr="00EF5876">
                    <w:rPr>
                      <w:rFonts w:ascii="Calibri" w:hAnsi="Calibri" w:cs="Calibri"/>
                      <w:sz w:val="22"/>
                      <w:szCs w:val="22"/>
                    </w:rPr>
                    <w:t xml:space="preserve">Do. 1. januára 2021 </w:t>
                  </w:r>
                </w:p>
              </w:tc>
            </w:tr>
            <w:tr w:rsidR="009171C4" w:rsidRPr="00EF5876" w:rsidTr="006E65C5">
              <w:tc>
                <w:tcPr>
                  <w:tcW w:w="2123" w:type="dxa"/>
                  <w:vMerge w:val="restart"/>
                  <w:tcBorders>
                    <w:top w:val="single" w:sz="4" w:space="0" w:color="auto"/>
                    <w:left w:val="single" w:sz="4" w:space="0" w:color="auto"/>
                    <w:bottom w:val="single" w:sz="4" w:space="0" w:color="auto"/>
                    <w:right w:val="single" w:sz="4" w:space="0" w:color="auto"/>
                  </w:tcBorders>
                  <w:vAlign w:val="center"/>
                </w:tcPr>
                <w:p w:rsidR="00B20392" w:rsidRPr="00EF5876" w:rsidRDefault="00B20392" w:rsidP="009171C4">
                  <w:pPr>
                    <w:pStyle w:val="Odsekzoznamu"/>
                    <w:keepNext w:val="0"/>
                    <w:spacing w:before="0" w:after="0" w:line="276" w:lineRule="auto"/>
                    <w:ind w:left="0"/>
                    <w:jc w:val="left"/>
                    <w:rPr>
                      <w:rFonts w:ascii="Calibri" w:hAnsi="Calibri" w:cs="Calibri"/>
                      <w:sz w:val="22"/>
                      <w:szCs w:val="22"/>
                    </w:rPr>
                  </w:pPr>
                  <w:r w:rsidRPr="00EF5876">
                    <w:rPr>
                      <w:rFonts w:ascii="Calibri" w:hAnsi="Calibri" w:cs="Calibri"/>
                      <w:sz w:val="22"/>
                      <w:szCs w:val="22"/>
                    </w:rPr>
                    <w:t xml:space="preserve">Oznámenie o uplatnení výnimky z emisných limitov </w:t>
                  </w:r>
                </w:p>
              </w:tc>
              <w:tc>
                <w:tcPr>
                  <w:tcW w:w="4931" w:type="dxa"/>
                  <w:tcBorders>
                    <w:top w:val="single" w:sz="4" w:space="0" w:color="auto"/>
                    <w:left w:val="single" w:sz="4" w:space="0" w:color="auto"/>
                    <w:bottom w:val="single" w:sz="4" w:space="0" w:color="auto"/>
                    <w:right w:val="single" w:sz="4" w:space="0" w:color="auto"/>
                  </w:tcBorders>
                  <w:vAlign w:val="center"/>
                </w:tcPr>
                <w:p w:rsidR="00B20392" w:rsidRPr="00EF5876" w:rsidRDefault="00B20392" w:rsidP="009171C4">
                  <w:pPr>
                    <w:pStyle w:val="Odsekzoznamu"/>
                    <w:keepNext w:val="0"/>
                    <w:spacing w:before="0" w:after="0" w:line="276" w:lineRule="auto"/>
                    <w:ind w:left="0"/>
                    <w:jc w:val="left"/>
                    <w:rPr>
                      <w:rFonts w:ascii="Calibri" w:hAnsi="Calibri" w:cs="Calibri"/>
                      <w:sz w:val="22"/>
                      <w:szCs w:val="22"/>
                    </w:rPr>
                  </w:pPr>
                  <w:r w:rsidRPr="00EF5876">
                    <w:rPr>
                      <w:rFonts w:ascii="Calibri" w:hAnsi="Calibri" w:cs="Calibri"/>
                      <w:sz w:val="22"/>
                      <w:szCs w:val="22"/>
                    </w:rPr>
                    <w:t xml:space="preserve">Pre nedostatok </w:t>
                  </w:r>
                  <w:proofErr w:type="spellStart"/>
                  <w:r w:rsidRPr="00EF5876">
                    <w:rPr>
                      <w:rFonts w:ascii="Calibri" w:hAnsi="Calibri" w:cs="Calibri"/>
                      <w:sz w:val="22"/>
                      <w:szCs w:val="22"/>
                    </w:rPr>
                    <w:t>nízkosírneho</w:t>
                  </w:r>
                  <w:proofErr w:type="spellEnd"/>
                  <w:r w:rsidRPr="00EF5876">
                    <w:rPr>
                      <w:rFonts w:ascii="Calibri" w:hAnsi="Calibri" w:cs="Calibri"/>
                      <w:sz w:val="22"/>
                      <w:szCs w:val="22"/>
                    </w:rPr>
                    <w:t xml:space="preserve"> paliva</w:t>
                  </w:r>
                </w:p>
              </w:tc>
              <w:tc>
                <w:tcPr>
                  <w:tcW w:w="1950" w:type="dxa"/>
                  <w:tcBorders>
                    <w:top w:val="single" w:sz="4" w:space="0" w:color="auto"/>
                    <w:left w:val="single" w:sz="4" w:space="0" w:color="auto"/>
                    <w:bottom w:val="single" w:sz="4" w:space="0" w:color="auto"/>
                    <w:right w:val="single" w:sz="4" w:space="0" w:color="auto"/>
                  </w:tcBorders>
                  <w:vAlign w:val="center"/>
                </w:tcPr>
                <w:p w:rsidR="00B20392" w:rsidRPr="00EF5876" w:rsidRDefault="00B20392" w:rsidP="00603CC4">
                  <w:pPr>
                    <w:pStyle w:val="Odsekzoznamu"/>
                    <w:keepNext w:val="0"/>
                    <w:spacing w:before="0" w:after="0" w:line="276" w:lineRule="auto"/>
                    <w:ind w:left="0"/>
                    <w:jc w:val="left"/>
                    <w:rPr>
                      <w:rFonts w:ascii="Calibri" w:hAnsi="Calibri" w:cs="Calibri"/>
                      <w:sz w:val="22"/>
                      <w:szCs w:val="22"/>
                    </w:rPr>
                  </w:pPr>
                  <w:r w:rsidRPr="00EF5876">
                    <w:rPr>
                      <w:rFonts w:ascii="Calibri" w:hAnsi="Calibri" w:cs="Calibri"/>
                      <w:sz w:val="22"/>
                      <w:szCs w:val="22"/>
                    </w:rPr>
                    <w:t>Do 1 mesiaca</w:t>
                  </w:r>
                </w:p>
              </w:tc>
            </w:tr>
            <w:tr w:rsidR="009171C4" w:rsidRPr="00EF5876" w:rsidTr="006E65C5">
              <w:tc>
                <w:tcPr>
                  <w:tcW w:w="2123" w:type="dxa"/>
                  <w:vMerge/>
                  <w:tcBorders>
                    <w:top w:val="single" w:sz="4" w:space="0" w:color="auto"/>
                    <w:left w:val="single" w:sz="4" w:space="0" w:color="auto"/>
                    <w:bottom w:val="single" w:sz="4" w:space="0" w:color="auto"/>
                    <w:right w:val="single" w:sz="4" w:space="0" w:color="auto"/>
                  </w:tcBorders>
                  <w:vAlign w:val="center"/>
                </w:tcPr>
                <w:p w:rsidR="00B20392" w:rsidRPr="00EF5876" w:rsidRDefault="00B20392" w:rsidP="009171C4">
                  <w:pPr>
                    <w:pStyle w:val="Odsekzoznamu"/>
                    <w:keepNext w:val="0"/>
                    <w:spacing w:before="0" w:after="0" w:line="276" w:lineRule="auto"/>
                    <w:ind w:left="0"/>
                    <w:jc w:val="left"/>
                    <w:rPr>
                      <w:rFonts w:ascii="Calibri" w:hAnsi="Calibri" w:cs="Calibri"/>
                      <w:sz w:val="22"/>
                      <w:szCs w:val="22"/>
                    </w:rPr>
                  </w:pPr>
                </w:p>
              </w:tc>
              <w:tc>
                <w:tcPr>
                  <w:tcW w:w="4931" w:type="dxa"/>
                  <w:tcBorders>
                    <w:top w:val="single" w:sz="4" w:space="0" w:color="auto"/>
                    <w:left w:val="single" w:sz="4" w:space="0" w:color="auto"/>
                    <w:bottom w:val="single" w:sz="4" w:space="0" w:color="auto"/>
                    <w:right w:val="single" w:sz="4" w:space="0" w:color="auto"/>
                  </w:tcBorders>
                  <w:vAlign w:val="center"/>
                </w:tcPr>
                <w:p w:rsidR="00B20392" w:rsidRPr="00EF5876" w:rsidRDefault="00B20392" w:rsidP="009171C4">
                  <w:pPr>
                    <w:pStyle w:val="Odsekzoznamu"/>
                    <w:keepNext w:val="0"/>
                    <w:spacing w:before="0" w:after="0" w:line="276" w:lineRule="auto"/>
                    <w:ind w:left="0"/>
                    <w:jc w:val="left"/>
                    <w:rPr>
                      <w:rFonts w:ascii="Calibri" w:hAnsi="Calibri" w:cs="Calibri"/>
                      <w:sz w:val="22"/>
                      <w:szCs w:val="22"/>
                    </w:rPr>
                  </w:pPr>
                  <w:r w:rsidRPr="00EF5876">
                    <w:rPr>
                      <w:rFonts w:ascii="Calibri" w:hAnsi="Calibri" w:cs="Calibri"/>
                      <w:sz w:val="22"/>
                      <w:szCs w:val="22"/>
                    </w:rPr>
                    <w:t xml:space="preserve">Pri prerušení dodávky plynu, ak ide o zariadenie, ktoré používa v riadnej prevádzke len plynné palivá. </w:t>
                  </w:r>
                </w:p>
              </w:tc>
              <w:tc>
                <w:tcPr>
                  <w:tcW w:w="1950" w:type="dxa"/>
                  <w:tcBorders>
                    <w:top w:val="single" w:sz="4" w:space="0" w:color="auto"/>
                    <w:left w:val="single" w:sz="4" w:space="0" w:color="auto"/>
                    <w:bottom w:val="single" w:sz="4" w:space="0" w:color="auto"/>
                    <w:right w:val="single" w:sz="4" w:space="0" w:color="auto"/>
                  </w:tcBorders>
                  <w:vAlign w:val="center"/>
                </w:tcPr>
                <w:p w:rsidR="00B20392" w:rsidRPr="00EF5876" w:rsidRDefault="00B20392" w:rsidP="00603CC4">
                  <w:pPr>
                    <w:pStyle w:val="Odsekzoznamu"/>
                    <w:keepNext w:val="0"/>
                    <w:spacing w:before="0" w:after="200" w:line="276" w:lineRule="auto"/>
                    <w:ind w:left="0"/>
                    <w:jc w:val="left"/>
                    <w:rPr>
                      <w:rFonts w:ascii="Calibri" w:hAnsi="Calibri" w:cs="Calibri"/>
                      <w:sz w:val="22"/>
                      <w:szCs w:val="22"/>
                    </w:rPr>
                  </w:pPr>
                  <w:r w:rsidRPr="00EF5876">
                    <w:rPr>
                      <w:rFonts w:ascii="Calibri" w:hAnsi="Calibri" w:cs="Calibri"/>
                      <w:sz w:val="22"/>
                      <w:szCs w:val="22"/>
                    </w:rPr>
                    <w:t>Do 1 mesiaca</w:t>
                  </w:r>
                </w:p>
              </w:tc>
            </w:tr>
          </w:tbl>
          <w:p w:rsidR="00B20392" w:rsidRPr="00EF5876"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pPr>
            <w:r w:rsidRPr="00603CC4">
              <w:t>O:3</w:t>
            </w:r>
          </w:p>
        </w:tc>
        <w:tc>
          <w:tcPr>
            <w:tcW w:w="5771" w:type="dxa"/>
            <w:vAlign w:val="center"/>
          </w:tcPr>
          <w:p w:rsidR="00B20392" w:rsidRPr="00603CC4" w:rsidRDefault="00B20392" w:rsidP="00AA667D">
            <w:pPr>
              <w:pStyle w:val="Normlny1"/>
              <w:rPr>
                <w:rFonts w:ascii="Calibri" w:hAnsi="Calibri" w:cs="Calibri"/>
                <w:color w:val="000000"/>
                <w:sz w:val="22"/>
                <w:szCs w:val="22"/>
              </w:rPr>
            </w:pPr>
            <w:r w:rsidRPr="00603CC4">
              <w:rPr>
                <w:rFonts w:ascii="Calibri" w:hAnsi="Calibri" w:cs="Calibri"/>
                <w:color w:val="000000"/>
                <w:sz w:val="22"/>
                <w:szCs w:val="22"/>
              </w:rPr>
              <w:t>3. Na účely podávania správ uvedených v odsekoch 1 a 2 Komisia členským štátom poskytne elektronický nástroj na predkladanie správ.</w:t>
            </w:r>
          </w:p>
          <w:p w:rsidR="00B20392" w:rsidRPr="00603CC4" w:rsidRDefault="00B20392" w:rsidP="00AA667D">
            <w:pPr>
              <w:pStyle w:val="Normlny1"/>
              <w:rPr>
                <w:rFonts w:ascii="Calibri" w:hAnsi="Calibri" w:cs="Calibri"/>
                <w:color w:val="000000"/>
                <w:sz w:val="22"/>
                <w:szCs w:val="22"/>
              </w:rPr>
            </w:pPr>
            <w:r w:rsidRPr="00603CC4">
              <w:rPr>
                <w:rFonts w:ascii="Calibri" w:hAnsi="Calibri" w:cs="Calibri"/>
                <w:color w:val="000000"/>
                <w:sz w:val="22"/>
                <w:szCs w:val="22"/>
              </w:rPr>
              <w:t xml:space="preserve">Komisia prostredníctvom vykonávacích aktov spresní technické formáty na podávanie správ s cieľom zjednodušiť a zefektívniť povinnosti ukladané členským štátom v súvislosti s podávaním správ, pokiaľ ide o informácie uvedené v odsekoch 1 a 2 tohto článku. Uvedené vykonávacie akty sa </w:t>
            </w:r>
            <w:r w:rsidRPr="00603CC4">
              <w:rPr>
                <w:rFonts w:ascii="Calibri" w:hAnsi="Calibri" w:cs="Calibri"/>
                <w:color w:val="000000"/>
                <w:sz w:val="22"/>
                <w:szCs w:val="22"/>
              </w:rPr>
              <w:lastRenderedPageBreak/>
              <w:t>prijmú v súlade s postupom preskúmania uvedeným v článku 15.</w:t>
            </w:r>
          </w:p>
          <w:p w:rsidR="00B20392" w:rsidRPr="00603CC4" w:rsidRDefault="00B20392" w:rsidP="00603CC4">
            <w:pPr>
              <w:spacing w:before="120" w:after="0" w:line="240" w:lineRule="auto"/>
              <w:jc w:val="both"/>
              <w:rPr>
                <w:color w:val="000000"/>
              </w:rPr>
            </w:pPr>
          </w:p>
        </w:tc>
        <w:tc>
          <w:tcPr>
            <w:tcW w:w="397" w:type="dxa"/>
            <w:vAlign w:val="center"/>
          </w:tcPr>
          <w:p w:rsidR="00B20392" w:rsidRPr="00603CC4" w:rsidRDefault="00670CE1" w:rsidP="00603CC4">
            <w:pPr>
              <w:spacing w:after="0" w:line="240" w:lineRule="auto"/>
            </w:pPr>
            <w:proofErr w:type="spellStart"/>
            <w:r>
              <w:lastRenderedPageBreak/>
              <w:t>n.a</w:t>
            </w:r>
            <w:proofErr w:type="spellEnd"/>
            <w:r>
              <w:t>.</w:t>
            </w:r>
          </w:p>
        </w:tc>
        <w:tc>
          <w:tcPr>
            <w:tcW w:w="708" w:type="dxa"/>
            <w:vAlign w:val="center"/>
          </w:tcPr>
          <w:p w:rsidR="00B20392" w:rsidRPr="00603CC4" w:rsidRDefault="00B20392" w:rsidP="00603CC4">
            <w:pPr>
              <w:spacing w:after="0" w:line="240" w:lineRule="auto"/>
            </w:pPr>
          </w:p>
        </w:tc>
        <w:tc>
          <w:tcPr>
            <w:tcW w:w="596" w:type="dxa"/>
            <w:vAlign w:val="center"/>
          </w:tcPr>
          <w:p w:rsidR="00B20392" w:rsidRPr="00603CC4" w:rsidRDefault="00B20392" w:rsidP="00603CC4">
            <w:pPr>
              <w:spacing w:after="0" w:line="240" w:lineRule="auto"/>
            </w:pPr>
          </w:p>
        </w:tc>
        <w:tc>
          <w:tcPr>
            <w:tcW w:w="6396" w:type="dxa"/>
            <w:vAlign w:val="center"/>
          </w:tcPr>
          <w:p w:rsidR="00B20392" w:rsidRPr="00EF5876"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pPr>
            <w:r w:rsidRPr="00603CC4">
              <w:lastRenderedPageBreak/>
              <w:t>O:4</w:t>
            </w:r>
          </w:p>
        </w:tc>
        <w:tc>
          <w:tcPr>
            <w:tcW w:w="5771" w:type="dxa"/>
            <w:vAlign w:val="center"/>
          </w:tcPr>
          <w:p w:rsidR="00B20392" w:rsidRPr="00603CC4" w:rsidRDefault="00B20392" w:rsidP="00603CC4">
            <w:pPr>
              <w:spacing w:before="120" w:after="0" w:line="240" w:lineRule="auto"/>
              <w:jc w:val="both"/>
              <w:rPr>
                <w:color w:val="000000"/>
              </w:rPr>
            </w:pPr>
            <w:r w:rsidRPr="00603CC4">
              <w:rPr>
                <w:color w:val="000000"/>
              </w:rPr>
              <w:t>4. Komisia do dvanástich mesiacov od prijatia správ členských štátov v súlade s odsekom 1 tohto článku a s prihliadnutím na informácie sprístupnené v súlade s článkom 6 ods. 11 a článkom 6 ods. 12 predloží Európskemu parlamentu a Rade súhrnnú správu.</w:t>
            </w:r>
          </w:p>
        </w:tc>
        <w:tc>
          <w:tcPr>
            <w:tcW w:w="397" w:type="dxa"/>
            <w:vAlign w:val="center"/>
          </w:tcPr>
          <w:p w:rsidR="00B20392" w:rsidRPr="00603CC4" w:rsidRDefault="00670CE1" w:rsidP="00603CC4">
            <w:pPr>
              <w:spacing w:after="0" w:line="240" w:lineRule="auto"/>
            </w:pPr>
            <w:proofErr w:type="spellStart"/>
            <w:r>
              <w:t>n.a</w:t>
            </w:r>
            <w:proofErr w:type="spellEnd"/>
            <w:r>
              <w:t>.</w:t>
            </w:r>
          </w:p>
        </w:tc>
        <w:tc>
          <w:tcPr>
            <w:tcW w:w="708" w:type="dxa"/>
            <w:vAlign w:val="center"/>
          </w:tcPr>
          <w:p w:rsidR="00B20392" w:rsidRPr="00603CC4" w:rsidRDefault="00B20392" w:rsidP="00603CC4">
            <w:pPr>
              <w:spacing w:after="0" w:line="240" w:lineRule="auto"/>
            </w:pPr>
          </w:p>
        </w:tc>
        <w:tc>
          <w:tcPr>
            <w:tcW w:w="596" w:type="dxa"/>
            <w:vAlign w:val="center"/>
          </w:tcPr>
          <w:p w:rsidR="00B20392" w:rsidRPr="00603CC4" w:rsidRDefault="00B20392" w:rsidP="00603CC4">
            <w:pPr>
              <w:spacing w:after="0" w:line="240" w:lineRule="auto"/>
            </w:pPr>
          </w:p>
        </w:tc>
        <w:tc>
          <w:tcPr>
            <w:tcW w:w="6396" w:type="dxa"/>
            <w:vAlign w:val="center"/>
          </w:tcPr>
          <w:p w:rsidR="00B20392" w:rsidRPr="00EF5876"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tcBorders>
            <w:vAlign w:val="center"/>
          </w:tcPr>
          <w:p w:rsidR="00B20392" w:rsidRPr="00603CC4" w:rsidRDefault="00B20392" w:rsidP="00603CC4">
            <w:pPr>
              <w:spacing w:after="0" w:line="240" w:lineRule="auto"/>
            </w:pPr>
            <w:r w:rsidRPr="00603CC4">
              <w:t>O:5</w:t>
            </w:r>
          </w:p>
        </w:tc>
        <w:tc>
          <w:tcPr>
            <w:tcW w:w="5771" w:type="dxa"/>
            <w:vAlign w:val="center"/>
          </w:tcPr>
          <w:p w:rsidR="00B20392" w:rsidRPr="00603CC4" w:rsidRDefault="00B20392" w:rsidP="00603CC4">
            <w:pPr>
              <w:spacing w:before="120" w:after="0" w:line="240" w:lineRule="auto"/>
              <w:jc w:val="both"/>
              <w:rPr>
                <w:color w:val="000000"/>
              </w:rPr>
            </w:pPr>
            <w:r w:rsidRPr="00603CC4">
              <w:rPr>
                <w:color w:val="000000"/>
              </w:rPr>
              <w:t>5. Pri plnení povinností vyplývajúcich z odsekov 3 a 4 pomáha Komisii Európska environmentálna agentúra.</w:t>
            </w:r>
          </w:p>
        </w:tc>
        <w:tc>
          <w:tcPr>
            <w:tcW w:w="397" w:type="dxa"/>
            <w:vAlign w:val="center"/>
          </w:tcPr>
          <w:p w:rsidR="00B20392" w:rsidRPr="00603CC4" w:rsidRDefault="00670CE1" w:rsidP="00603CC4">
            <w:pPr>
              <w:spacing w:after="0" w:line="240" w:lineRule="auto"/>
            </w:pPr>
            <w:proofErr w:type="spellStart"/>
            <w:r>
              <w:t>n.a</w:t>
            </w:r>
            <w:proofErr w:type="spellEnd"/>
            <w:r>
              <w:t>.</w:t>
            </w:r>
          </w:p>
        </w:tc>
        <w:tc>
          <w:tcPr>
            <w:tcW w:w="708" w:type="dxa"/>
            <w:vAlign w:val="center"/>
          </w:tcPr>
          <w:p w:rsidR="00B20392" w:rsidRPr="00603CC4" w:rsidRDefault="00B20392" w:rsidP="00603CC4">
            <w:pPr>
              <w:spacing w:after="0" w:line="240" w:lineRule="auto"/>
            </w:pPr>
          </w:p>
        </w:tc>
        <w:tc>
          <w:tcPr>
            <w:tcW w:w="596" w:type="dxa"/>
            <w:vAlign w:val="center"/>
          </w:tcPr>
          <w:p w:rsidR="00B20392" w:rsidRPr="00603CC4" w:rsidRDefault="00B20392" w:rsidP="00603CC4">
            <w:pPr>
              <w:spacing w:after="0" w:line="240" w:lineRule="auto"/>
            </w:pPr>
          </w:p>
        </w:tc>
        <w:tc>
          <w:tcPr>
            <w:tcW w:w="6396" w:type="dxa"/>
            <w:vAlign w:val="center"/>
          </w:tcPr>
          <w:p w:rsidR="00B20392" w:rsidRPr="00EF5876" w:rsidRDefault="00B20392" w:rsidP="00603CC4">
            <w:pPr>
              <w:spacing w:after="0" w:line="240" w:lineRule="auto"/>
            </w:pPr>
          </w:p>
        </w:tc>
        <w:tc>
          <w:tcPr>
            <w:tcW w:w="508" w:type="dxa"/>
            <w:tcBorders>
              <w:top w:val="nil"/>
            </w:tcBorders>
            <w:vAlign w:val="center"/>
          </w:tcPr>
          <w:p w:rsidR="00B20392" w:rsidRPr="00603CC4" w:rsidRDefault="00B20392" w:rsidP="00603CC4">
            <w:pPr>
              <w:spacing w:after="0" w:line="240" w:lineRule="auto"/>
            </w:pPr>
          </w:p>
        </w:tc>
        <w:tc>
          <w:tcPr>
            <w:tcW w:w="508" w:type="dxa"/>
            <w:tcBorders>
              <w:top w:val="nil"/>
            </w:tcBorders>
            <w:vAlign w:val="center"/>
          </w:tcPr>
          <w:p w:rsidR="00B20392" w:rsidRPr="00603CC4" w:rsidRDefault="00B20392" w:rsidP="00603CC4">
            <w:pPr>
              <w:spacing w:after="0" w:line="240" w:lineRule="auto"/>
            </w:pPr>
          </w:p>
        </w:tc>
      </w:tr>
      <w:tr w:rsidR="00B20392" w:rsidRPr="00603CC4" w:rsidTr="00EF5876">
        <w:tc>
          <w:tcPr>
            <w:tcW w:w="709" w:type="dxa"/>
            <w:tcBorders>
              <w:bottom w:val="nil"/>
            </w:tcBorders>
            <w:vAlign w:val="center"/>
          </w:tcPr>
          <w:p w:rsidR="00B20392" w:rsidRPr="00603CC4" w:rsidRDefault="00B20392" w:rsidP="00603CC4">
            <w:pPr>
              <w:spacing w:after="0" w:line="240" w:lineRule="auto"/>
            </w:pPr>
            <w:r w:rsidRPr="00603CC4">
              <w:t>Č:12</w:t>
            </w:r>
          </w:p>
        </w:tc>
        <w:tc>
          <w:tcPr>
            <w:tcW w:w="5771" w:type="dxa"/>
            <w:vAlign w:val="center"/>
          </w:tcPr>
          <w:p w:rsidR="00B20392" w:rsidRPr="00603CC4" w:rsidRDefault="00B20392" w:rsidP="00603CC4">
            <w:pPr>
              <w:spacing w:before="120" w:after="0" w:line="240" w:lineRule="auto"/>
              <w:jc w:val="both"/>
              <w:rPr>
                <w:color w:val="000000"/>
              </w:rPr>
            </w:pPr>
            <w:r w:rsidRPr="00603CC4">
              <w:rPr>
                <w:color w:val="000000"/>
              </w:rPr>
              <w:t>Preskúmanie</w:t>
            </w:r>
          </w:p>
        </w:tc>
        <w:tc>
          <w:tcPr>
            <w:tcW w:w="397" w:type="dxa"/>
            <w:vAlign w:val="center"/>
          </w:tcPr>
          <w:p w:rsidR="00B20392" w:rsidRPr="00603CC4" w:rsidRDefault="00B20392" w:rsidP="00603CC4">
            <w:pPr>
              <w:spacing w:after="0" w:line="240" w:lineRule="auto"/>
            </w:pPr>
          </w:p>
        </w:tc>
        <w:tc>
          <w:tcPr>
            <w:tcW w:w="708" w:type="dxa"/>
            <w:vAlign w:val="center"/>
          </w:tcPr>
          <w:p w:rsidR="00B20392" w:rsidRPr="00603CC4" w:rsidRDefault="00B20392" w:rsidP="00603CC4">
            <w:pPr>
              <w:spacing w:after="0" w:line="240" w:lineRule="auto"/>
            </w:pPr>
          </w:p>
        </w:tc>
        <w:tc>
          <w:tcPr>
            <w:tcW w:w="596" w:type="dxa"/>
            <w:vAlign w:val="center"/>
          </w:tcPr>
          <w:p w:rsidR="00B20392" w:rsidRPr="00603CC4" w:rsidRDefault="00B20392" w:rsidP="00603CC4">
            <w:pPr>
              <w:spacing w:after="0" w:line="240" w:lineRule="auto"/>
            </w:pPr>
          </w:p>
        </w:tc>
        <w:tc>
          <w:tcPr>
            <w:tcW w:w="6396" w:type="dxa"/>
            <w:vAlign w:val="center"/>
          </w:tcPr>
          <w:p w:rsidR="00B20392" w:rsidRPr="00EF5876" w:rsidRDefault="00B20392" w:rsidP="00603CC4">
            <w:pPr>
              <w:spacing w:after="0" w:line="240" w:lineRule="auto"/>
            </w:pPr>
          </w:p>
        </w:tc>
        <w:tc>
          <w:tcPr>
            <w:tcW w:w="508" w:type="dxa"/>
            <w:tcBorders>
              <w:bottom w:val="nil"/>
            </w:tcBorders>
            <w:vAlign w:val="center"/>
          </w:tcPr>
          <w:p w:rsidR="00B20392" w:rsidRPr="00603CC4" w:rsidRDefault="00B20392" w:rsidP="00603CC4">
            <w:pPr>
              <w:spacing w:after="0" w:line="240" w:lineRule="auto"/>
            </w:pPr>
          </w:p>
        </w:tc>
        <w:tc>
          <w:tcPr>
            <w:tcW w:w="508" w:type="dxa"/>
            <w:tcBorders>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pPr>
            <w:r w:rsidRPr="00603CC4">
              <w:t>O:1</w:t>
            </w:r>
          </w:p>
        </w:tc>
        <w:tc>
          <w:tcPr>
            <w:tcW w:w="5771" w:type="dxa"/>
            <w:vAlign w:val="center"/>
          </w:tcPr>
          <w:p w:rsidR="00B20392" w:rsidRPr="00603CC4" w:rsidRDefault="00B20392" w:rsidP="00603CC4">
            <w:pPr>
              <w:spacing w:before="120" w:after="0" w:line="240" w:lineRule="auto"/>
              <w:jc w:val="both"/>
              <w:rPr>
                <w:color w:val="000000"/>
              </w:rPr>
            </w:pPr>
            <w:r w:rsidRPr="00603CC4">
              <w:rPr>
                <w:color w:val="000000"/>
              </w:rPr>
              <w:t>1. Komisia do 1. januára 2020 preskúma pokrok dosiahnutý v súvislosti s energetickou účinnosťou stredne veľkých spaľovacích zariadení a posúdi prínosy stanovenia minimálnych noriem energetickej účinnosti v súlade s najlepšími dostupnými technikami.</w:t>
            </w:r>
          </w:p>
        </w:tc>
        <w:tc>
          <w:tcPr>
            <w:tcW w:w="397" w:type="dxa"/>
            <w:vAlign w:val="center"/>
          </w:tcPr>
          <w:p w:rsidR="00B20392" w:rsidRPr="00603CC4" w:rsidRDefault="00670CE1" w:rsidP="00603CC4">
            <w:pPr>
              <w:spacing w:after="0" w:line="240" w:lineRule="auto"/>
            </w:pPr>
            <w:proofErr w:type="spellStart"/>
            <w:r>
              <w:t>n.a</w:t>
            </w:r>
            <w:proofErr w:type="spellEnd"/>
            <w:r>
              <w:t>.</w:t>
            </w:r>
          </w:p>
        </w:tc>
        <w:tc>
          <w:tcPr>
            <w:tcW w:w="708" w:type="dxa"/>
            <w:vAlign w:val="center"/>
          </w:tcPr>
          <w:p w:rsidR="00B20392" w:rsidRPr="00603CC4" w:rsidRDefault="00B20392" w:rsidP="00603CC4">
            <w:pPr>
              <w:spacing w:after="0" w:line="240" w:lineRule="auto"/>
            </w:pPr>
          </w:p>
        </w:tc>
        <w:tc>
          <w:tcPr>
            <w:tcW w:w="596" w:type="dxa"/>
            <w:vAlign w:val="center"/>
          </w:tcPr>
          <w:p w:rsidR="00B20392" w:rsidRPr="00603CC4" w:rsidRDefault="00B20392" w:rsidP="00603CC4">
            <w:pPr>
              <w:spacing w:after="0" w:line="240" w:lineRule="auto"/>
            </w:pPr>
          </w:p>
        </w:tc>
        <w:tc>
          <w:tcPr>
            <w:tcW w:w="6396" w:type="dxa"/>
            <w:vAlign w:val="center"/>
          </w:tcPr>
          <w:p w:rsidR="00B20392" w:rsidRPr="00EF5876"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pPr>
            <w:r w:rsidRPr="00603CC4">
              <w:t>O:2</w:t>
            </w:r>
          </w:p>
        </w:tc>
        <w:tc>
          <w:tcPr>
            <w:tcW w:w="5771" w:type="dxa"/>
            <w:vAlign w:val="center"/>
          </w:tcPr>
          <w:p w:rsidR="00B20392" w:rsidRPr="00603CC4" w:rsidRDefault="00B20392" w:rsidP="00F56A63">
            <w:pPr>
              <w:pStyle w:val="Normlny1"/>
              <w:rPr>
                <w:rFonts w:ascii="Calibri" w:hAnsi="Calibri" w:cs="Calibri"/>
                <w:color w:val="000000"/>
                <w:sz w:val="22"/>
                <w:szCs w:val="22"/>
              </w:rPr>
            </w:pPr>
            <w:r w:rsidRPr="00603CC4">
              <w:rPr>
                <w:rFonts w:ascii="Calibri" w:hAnsi="Calibri" w:cs="Calibri"/>
                <w:color w:val="000000"/>
                <w:sz w:val="22"/>
                <w:szCs w:val="22"/>
              </w:rPr>
              <w:t>2. Komisia do 1. januára 2023 posúdi, či je potrebné preskúmať ustanovenia týkajúce sa zariadení, ktoré sú súčasťou malej izolovanej sústavy (SIS) alebo izolovanej mikrosústavy (MIS), ako aj časť 2 prílohy II, na základe najmodernejších technológií.</w:t>
            </w:r>
          </w:p>
          <w:p w:rsidR="00B20392" w:rsidRPr="00603CC4" w:rsidRDefault="00B20392" w:rsidP="00F56A63">
            <w:pPr>
              <w:pStyle w:val="Normlny1"/>
              <w:rPr>
                <w:rFonts w:ascii="Calibri" w:hAnsi="Calibri" w:cs="Calibri"/>
                <w:color w:val="000000"/>
                <w:sz w:val="22"/>
                <w:szCs w:val="22"/>
              </w:rPr>
            </w:pPr>
            <w:r w:rsidRPr="00603CC4">
              <w:rPr>
                <w:rFonts w:ascii="Calibri" w:hAnsi="Calibri" w:cs="Calibri"/>
                <w:color w:val="000000"/>
                <w:sz w:val="22"/>
                <w:szCs w:val="22"/>
              </w:rPr>
              <w:t>V rámci tohto preskúmania posúdi aj to, či je v prípade určitých druhov stredne veľkých spaľovacích zariadení potrebné regulovať emisie CO.</w:t>
            </w:r>
          </w:p>
          <w:p w:rsidR="00B20392" w:rsidRPr="008A7D67" w:rsidRDefault="00B20392" w:rsidP="008A7D67">
            <w:pPr>
              <w:pStyle w:val="Normlny1"/>
              <w:rPr>
                <w:rFonts w:ascii="Calibri" w:hAnsi="Calibri" w:cs="Calibri"/>
                <w:color w:val="000000"/>
                <w:sz w:val="22"/>
                <w:szCs w:val="22"/>
              </w:rPr>
            </w:pPr>
            <w:r w:rsidRPr="00603CC4">
              <w:rPr>
                <w:rFonts w:ascii="Calibri" w:hAnsi="Calibri" w:cs="Calibri"/>
                <w:color w:val="000000"/>
                <w:sz w:val="22"/>
                <w:szCs w:val="22"/>
              </w:rPr>
              <w:t>Preskúmanie sa preto vykonáva každých desať rokov a jeho súčasťou je aj posúdenie toho, či je vhodné stanoviť prísnejšie emisné limity, najmä pre nové stred</w:t>
            </w:r>
            <w:r w:rsidR="008A7D67">
              <w:rPr>
                <w:rFonts w:ascii="Calibri" w:hAnsi="Calibri" w:cs="Calibri"/>
                <w:color w:val="000000"/>
                <w:sz w:val="22"/>
                <w:szCs w:val="22"/>
              </w:rPr>
              <w:t>ne veľké spaľovacie zariadenia.</w:t>
            </w:r>
          </w:p>
        </w:tc>
        <w:tc>
          <w:tcPr>
            <w:tcW w:w="397" w:type="dxa"/>
            <w:vAlign w:val="center"/>
          </w:tcPr>
          <w:p w:rsidR="00B20392" w:rsidRPr="00603CC4" w:rsidRDefault="00670CE1" w:rsidP="00603CC4">
            <w:pPr>
              <w:spacing w:after="0" w:line="240" w:lineRule="auto"/>
            </w:pPr>
            <w:proofErr w:type="spellStart"/>
            <w:r>
              <w:t>n.a</w:t>
            </w:r>
            <w:proofErr w:type="spellEnd"/>
            <w:r>
              <w:t>.</w:t>
            </w:r>
          </w:p>
        </w:tc>
        <w:tc>
          <w:tcPr>
            <w:tcW w:w="708" w:type="dxa"/>
            <w:vAlign w:val="center"/>
          </w:tcPr>
          <w:p w:rsidR="00B20392" w:rsidRPr="00603CC4" w:rsidRDefault="00B20392" w:rsidP="00603CC4">
            <w:pPr>
              <w:spacing w:after="0" w:line="240" w:lineRule="auto"/>
            </w:pPr>
          </w:p>
        </w:tc>
        <w:tc>
          <w:tcPr>
            <w:tcW w:w="596" w:type="dxa"/>
            <w:vAlign w:val="center"/>
          </w:tcPr>
          <w:p w:rsidR="00B20392" w:rsidRPr="00603CC4" w:rsidRDefault="00B20392" w:rsidP="00603CC4">
            <w:pPr>
              <w:spacing w:after="0" w:line="240" w:lineRule="auto"/>
            </w:pPr>
          </w:p>
        </w:tc>
        <w:tc>
          <w:tcPr>
            <w:tcW w:w="6396" w:type="dxa"/>
            <w:vAlign w:val="center"/>
          </w:tcPr>
          <w:p w:rsidR="00B20392" w:rsidRPr="00EF5876"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tcBorders>
            <w:vAlign w:val="center"/>
          </w:tcPr>
          <w:p w:rsidR="00B20392" w:rsidRPr="00603CC4" w:rsidRDefault="00B20392" w:rsidP="00603CC4">
            <w:pPr>
              <w:spacing w:after="0" w:line="240" w:lineRule="auto"/>
            </w:pPr>
            <w:r w:rsidRPr="00603CC4">
              <w:t>O:3</w:t>
            </w:r>
          </w:p>
        </w:tc>
        <w:tc>
          <w:tcPr>
            <w:tcW w:w="5771" w:type="dxa"/>
            <w:vAlign w:val="center"/>
          </w:tcPr>
          <w:p w:rsidR="00B20392" w:rsidRPr="00603CC4" w:rsidRDefault="00B20392" w:rsidP="00603CC4">
            <w:pPr>
              <w:spacing w:before="120" w:after="0" w:line="240" w:lineRule="auto"/>
              <w:jc w:val="both"/>
              <w:rPr>
                <w:color w:val="000000"/>
              </w:rPr>
            </w:pPr>
            <w:r w:rsidRPr="00603CC4">
              <w:rPr>
                <w:color w:val="000000"/>
              </w:rPr>
              <w:t>3. Komisia predloží správu o výsledkoch preskúmaní uvedených v odsekoch 1 a 2 Európskemu parlamentu a Rade a v prípade potreby k správe priloží aj legislatívny návrh.</w:t>
            </w:r>
          </w:p>
        </w:tc>
        <w:tc>
          <w:tcPr>
            <w:tcW w:w="397" w:type="dxa"/>
            <w:vAlign w:val="center"/>
          </w:tcPr>
          <w:p w:rsidR="00B20392" w:rsidRPr="00603CC4" w:rsidRDefault="00670CE1" w:rsidP="00603CC4">
            <w:pPr>
              <w:spacing w:after="0" w:line="240" w:lineRule="auto"/>
            </w:pPr>
            <w:proofErr w:type="spellStart"/>
            <w:r>
              <w:t>n.a</w:t>
            </w:r>
            <w:proofErr w:type="spellEnd"/>
            <w:r>
              <w:t>.</w:t>
            </w:r>
          </w:p>
        </w:tc>
        <w:tc>
          <w:tcPr>
            <w:tcW w:w="708" w:type="dxa"/>
            <w:vAlign w:val="center"/>
          </w:tcPr>
          <w:p w:rsidR="00B20392" w:rsidRPr="00603CC4" w:rsidRDefault="00B20392" w:rsidP="00603CC4">
            <w:pPr>
              <w:spacing w:after="0" w:line="240" w:lineRule="auto"/>
            </w:pPr>
          </w:p>
        </w:tc>
        <w:tc>
          <w:tcPr>
            <w:tcW w:w="596" w:type="dxa"/>
            <w:vAlign w:val="center"/>
          </w:tcPr>
          <w:p w:rsidR="00B20392" w:rsidRPr="00603CC4" w:rsidRDefault="00B20392" w:rsidP="00603CC4">
            <w:pPr>
              <w:spacing w:after="0" w:line="240" w:lineRule="auto"/>
            </w:pPr>
          </w:p>
        </w:tc>
        <w:tc>
          <w:tcPr>
            <w:tcW w:w="6396" w:type="dxa"/>
            <w:vAlign w:val="center"/>
          </w:tcPr>
          <w:p w:rsidR="00B20392" w:rsidRPr="00EF5876" w:rsidRDefault="00B20392" w:rsidP="00603CC4">
            <w:pPr>
              <w:spacing w:after="0" w:line="240" w:lineRule="auto"/>
            </w:pPr>
          </w:p>
        </w:tc>
        <w:tc>
          <w:tcPr>
            <w:tcW w:w="508" w:type="dxa"/>
            <w:tcBorders>
              <w:top w:val="nil"/>
            </w:tcBorders>
            <w:vAlign w:val="center"/>
          </w:tcPr>
          <w:p w:rsidR="00B20392" w:rsidRPr="00603CC4" w:rsidRDefault="00B20392" w:rsidP="00603CC4">
            <w:pPr>
              <w:spacing w:after="0" w:line="240" w:lineRule="auto"/>
            </w:pPr>
          </w:p>
        </w:tc>
        <w:tc>
          <w:tcPr>
            <w:tcW w:w="508" w:type="dxa"/>
            <w:tcBorders>
              <w:top w:val="nil"/>
            </w:tcBorders>
            <w:vAlign w:val="center"/>
          </w:tcPr>
          <w:p w:rsidR="00B20392" w:rsidRPr="00603CC4" w:rsidRDefault="00B20392" w:rsidP="00603CC4">
            <w:pPr>
              <w:spacing w:after="0" w:line="240" w:lineRule="auto"/>
            </w:pPr>
          </w:p>
        </w:tc>
      </w:tr>
      <w:tr w:rsidR="00B20392" w:rsidRPr="00603CC4" w:rsidTr="00EF5876">
        <w:tc>
          <w:tcPr>
            <w:tcW w:w="709" w:type="dxa"/>
            <w:tcBorders>
              <w:bottom w:val="nil"/>
            </w:tcBorders>
            <w:vAlign w:val="center"/>
          </w:tcPr>
          <w:p w:rsidR="00B20392" w:rsidRPr="00603CC4" w:rsidRDefault="00B20392" w:rsidP="00603CC4">
            <w:pPr>
              <w:spacing w:after="0" w:line="240" w:lineRule="auto"/>
            </w:pPr>
            <w:r w:rsidRPr="00603CC4">
              <w:lastRenderedPageBreak/>
              <w:t>Č:13</w:t>
            </w:r>
          </w:p>
        </w:tc>
        <w:tc>
          <w:tcPr>
            <w:tcW w:w="5771" w:type="dxa"/>
            <w:vAlign w:val="center"/>
          </w:tcPr>
          <w:p w:rsidR="00B20392" w:rsidRPr="00603CC4" w:rsidRDefault="00B20392" w:rsidP="00603CC4">
            <w:pPr>
              <w:spacing w:before="120" w:after="0" w:line="240" w:lineRule="auto"/>
              <w:jc w:val="both"/>
              <w:rPr>
                <w:color w:val="000000"/>
              </w:rPr>
            </w:pPr>
            <w:r w:rsidRPr="00603CC4">
              <w:rPr>
                <w:color w:val="000000"/>
              </w:rPr>
              <w:t>Zmena príloh</w:t>
            </w:r>
          </w:p>
        </w:tc>
        <w:tc>
          <w:tcPr>
            <w:tcW w:w="397" w:type="dxa"/>
            <w:vAlign w:val="center"/>
          </w:tcPr>
          <w:p w:rsidR="00B20392" w:rsidRPr="00603CC4" w:rsidRDefault="00B20392" w:rsidP="00603CC4">
            <w:pPr>
              <w:spacing w:after="0" w:line="240" w:lineRule="auto"/>
            </w:pPr>
          </w:p>
        </w:tc>
        <w:tc>
          <w:tcPr>
            <w:tcW w:w="708" w:type="dxa"/>
            <w:vAlign w:val="center"/>
          </w:tcPr>
          <w:p w:rsidR="00B20392" w:rsidRPr="00603CC4" w:rsidRDefault="00B20392" w:rsidP="00603CC4">
            <w:pPr>
              <w:spacing w:after="0" w:line="240" w:lineRule="auto"/>
            </w:pPr>
          </w:p>
        </w:tc>
        <w:tc>
          <w:tcPr>
            <w:tcW w:w="596" w:type="dxa"/>
            <w:vAlign w:val="center"/>
          </w:tcPr>
          <w:p w:rsidR="00B20392" w:rsidRPr="00603CC4" w:rsidRDefault="00B20392" w:rsidP="00603CC4">
            <w:pPr>
              <w:spacing w:after="0" w:line="240" w:lineRule="auto"/>
            </w:pPr>
          </w:p>
        </w:tc>
        <w:tc>
          <w:tcPr>
            <w:tcW w:w="6396" w:type="dxa"/>
            <w:vAlign w:val="center"/>
          </w:tcPr>
          <w:p w:rsidR="00B20392" w:rsidRPr="00EF5876" w:rsidRDefault="00B20392" w:rsidP="00603CC4">
            <w:pPr>
              <w:spacing w:after="0" w:line="240" w:lineRule="auto"/>
            </w:pPr>
          </w:p>
        </w:tc>
        <w:tc>
          <w:tcPr>
            <w:tcW w:w="508" w:type="dxa"/>
            <w:tcBorders>
              <w:bottom w:val="nil"/>
            </w:tcBorders>
            <w:vAlign w:val="center"/>
          </w:tcPr>
          <w:p w:rsidR="00B20392" w:rsidRPr="00603CC4" w:rsidRDefault="00B20392" w:rsidP="00603CC4">
            <w:pPr>
              <w:spacing w:after="0" w:line="240" w:lineRule="auto"/>
            </w:pPr>
          </w:p>
        </w:tc>
        <w:tc>
          <w:tcPr>
            <w:tcW w:w="508" w:type="dxa"/>
            <w:tcBorders>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tcBorders>
            <w:vAlign w:val="center"/>
          </w:tcPr>
          <w:p w:rsidR="00B20392" w:rsidRPr="00603CC4" w:rsidRDefault="00B20392" w:rsidP="00603CC4">
            <w:pPr>
              <w:spacing w:after="0" w:line="240" w:lineRule="auto"/>
            </w:pPr>
            <w:r w:rsidRPr="00603CC4">
              <w:t>O:1</w:t>
            </w:r>
          </w:p>
        </w:tc>
        <w:tc>
          <w:tcPr>
            <w:tcW w:w="5771" w:type="dxa"/>
            <w:vAlign w:val="center"/>
          </w:tcPr>
          <w:p w:rsidR="00B20392" w:rsidRPr="00603CC4" w:rsidRDefault="00B20392" w:rsidP="00603CC4">
            <w:pPr>
              <w:spacing w:before="120" w:after="0" w:line="240" w:lineRule="auto"/>
              <w:jc w:val="both"/>
              <w:rPr>
                <w:color w:val="000000"/>
              </w:rPr>
            </w:pPr>
            <w:r w:rsidRPr="00603CC4">
              <w:rPr>
                <w:color w:val="000000"/>
              </w:rPr>
              <w:t>Komisia sa splnomocňuje prijímať delegované akty v súlade s článkom 14 na účel prispôsobenia bodu 2 časti 2 prílohy III technickému a vedeckému pokroku.</w:t>
            </w:r>
          </w:p>
        </w:tc>
        <w:tc>
          <w:tcPr>
            <w:tcW w:w="397" w:type="dxa"/>
            <w:vAlign w:val="center"/>
          </w:tcPr>
          <w:p w:rsidR="00B20392" w:rsidRPr="00603CC4" w:rsidRDefault="00670CE1" w:rsidP="00603CC4">
            <w:pPr>
              <w:spacing w:after="0" w:line="240" w:lineRule="auto"/>
            </w:pPr>
            <w:proofErr w:type="spellStart"/>
            <w:r>
              <w:t>n.a</w:t>
            </w:r>
            <w:proofErr w:type="spellEnd"/>
            <w:r>
              <w:t>.</w:t>
            </w:r>
          </w:p>
        </w:tc>
        <w:tc>
          <w:tcPr>
            <w:tcW w:w="708" w:type="dxa"/>
            <w:vAlign w:val="center"/>
          </w:tcPr>
          <w:p w:rsidR="00B20392" w:rsidRPr="00603CC4" w:rsidRDefault="00B20392" w:rsidP="00603CC4">
            <w:pPr>
              <w:spacing w:after="0" w:line="240" w:lineRule="auto"/>
            </w:pPr>
          </w:p>
        </w:tc>
        <w:tc>
          <w:tcPr>
            <w:tcW w:w="596" w:type="dxa"/>
            <w:vAlign w:val="center"/>
          </w:tcPr>
          <w:p w:rsidR="00B20392" w:rsidRPr="00603CC4" w:rsidRDefault="00B20392" w:rsidP="00603CC4">
            <w:pPr>
              <w:spacing w:after="0" w:line="240" w:lineRule="auto"/>
            </w:pPr>
          </w:p>
        </w:tc>
        <w:tc>
          <w:tcPr>
            <w:tcW w:w="6396" w:type="dxa"/>
            <w:vAlign w:val="center"/>
          </w:tcPr>
          <w:p w:rsidR="00B20392" w:rsidRPr="00EF5876" w:rsidRDefault="00B20392" w:rsidP="00603CC4">
            <w:pPr>
              <w:spacing w:after="0" w:line="240" w:lineRule="auto"/>
            </w:pPr>
          </w:p>
        </w:tc>
        <w:tc>
          <w:tcPr>
            <w:tcW w:w="508" w:type="dxa"/>
            <w:tcBorders>
              <w:top w:val="nil"/>
            </w:tcBorders>
            <w:vAlign w:val="center"/>
          </w:tcPr>
          <w:p w:rsidR="00B20392" w:rsidRPr="00603CC4" w:rsidRDefault="00B20392" w:rsidP="00603CC4">
            <w:pPr>
              <w:spacing w:after="0" w:line="240" w:lineRule="auto"/>
            </w:pPr>
          </w:p>
        </w:tc>
        <w:tc>
          <w:tcPr>
            <w:tcW w:w="508" w:type="dxa"/>
            <w:tcBorders>
              <w:top w:val="nil"/>
            </w:tcBorders>
            <w:vAlign w:val="center"/>
          </w:tcPr>
          <w:p w:rsidR="00B20392" w:rsidRPr="00603CC4" w:rsidRDefault="00B20392" w:rsidP="00603CC4">
            <w:pPr>
              <w:spacing w:after="0" w:line="240" w:lineRule="auto"/>
            </w:pPr>
          </w:p>
        </w:tc>
      </w:tr>
      <w:tr w:rsidR="00B20392" w:rsidRPr="00603CC4" w:rsidTr="00EF5876">
        <w:tc>
          <w:tcPr>
            <w:tcW w:w="709" w:type="dxa"/>
            <w:tcBorders>
              <w:bottom w:val="nil"/>
            </w:tcBorders>
            <w:vAlign w:val="center"/>
          </w:tcPr>
          <w:p w:rsidR="00B20392" w:rsidRPr="00603CC4" w:rsidRDefault="00B20392" w:rsidP="00603CC4">
            <w:pPr>
              <w:spacing w:after="0" w:line="240" w:lineRule="auto"/>
            </w:pPr>
            <w:r w:rsidRPr="00603CC4">
              <w:t>Č:14</w:t>
            </w:r>
          </w:p>
        </w:tc>
        <w:tc>
          <w:tcPr>
            <w:tcW w:w="5771" w:type="dxa"/>
            <w:vAlign w:val="center"/>
          </w:tcPr>
          <w:p w:rsidR="00B20392" w:rsidRPr="00603CC4" w:rsidRDefault="00B20392" w:rsidP="00603CC4">
            <w:pPr>
              <w:spacing w:before="120" w:after="0" w:line="240" w:lineRule="auto"/>
              <w:jc w:val="both"/>
              <w:rPr>
                <w:color w:val="000000"/>
              </w:rPr>
            </w:pPr>
            <w:r w:rsidRPr="00603CC4">
              <w:rPr>
                <w:color w:val="000000"/>
              </w:rPr>
              <w:t>Vykonávanie delegovania právomocí</w:t>
            </w:r>
          </w:p>
        </w:tc>
        <w:tc>
          <w:tcPr>
            <w:tcW w:w="397" w:type="dxa"/>
            <w:vAlign w:val="center"/>
          </w:tcPr>
          <w:p w:rsidR="00B20392" w:rsidRPr="00603CC4" w:rsidRDefault="00B20392" w:rsidP="00603CC4">
            <w:pPr>
              <w:spacing w:after="0" w:line="240" w:lineRule="auto"/>
            </w:pPr>
          </w:p>
        </w:tc>
        <w:tc>
          <w:tcPr>
            <w:tcW w:w="708" w:type="dxa"/>
            <w:vAlign w:val="center"/>
          </w:tcPr>
          <w:p w:rsidR="00B20392" w:rsidRPr="00603CC4" w:rsidRDefault="00B20392" w:rsidP="00603CC4">
            <w:pPr>
              <w:spacing w:after="0" w:line="240" w:lineRule="auto"/>
            </w:pPr>
          </w:p>
        </w:tc>
        <w:tc>
          <w:tcPr>
            <w:tcW w:w="596" w:type="dxa"/>
            <w:vAlign w:val="center"/>
          </w:tcPr>
          <w:p w:rsidR="00B20392" w:rsidRPr="00603CC4" w:rsidRDefault="00B20392" w:rsidP="00603CC4">
            <w:pPr>
              <w:spacing w:after="0" w:line="240" w:lineRule="auto"/>
            </w:pPr>
          </w:p>
        </w:tc>
        <w:tc>
          <w:tcPr>
            <w:tcW w:w="6396" w:type="dxa"/>
            <w:vAlign w:val="center"/>
          </w:tcPr>
          <w:p w:rsidR="00B20392" w:rsidRPr="00EF5876" w:rsidRDefault="00B20392" w:rsidP="00603CC4">
            <w:pPr>
              <w:spacing w:after="0" w:line="240" w:lineRule="auto"/>
            </w:pPr>
          </w:p>
        </w:tc>
        <w:tc>
          <w:tcPr>
            <w:tcW w:w="508" w:type="dxa"/>
            <w:tcBorders>
              <w:bottom w:val="nil"/>
            </w:tcBorders>
            <w:vAlign w:val="center"/>
          </w:tcPr>
          <w:p w:rsidR="00B20392" w:rsidRPr="00603CC4" w:rsidRDefault="00B20392" w:rsidP="00603CC4">
            <w:pPr>
              <w:spacing w:after="0" w:line="240" w:lineRule="auto"/>
            </w:pPr>
          </w:p>
        </w:tc>
        <w:tc>
          <w:tcPr>
            <w:tcW w:w="508" w:type="dxa"/>
            <w:tcBorders>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pPr>
            <w:r w:rsidRPr="00603CC4">
              <w:t>O:1</w:t>
            </w:r>
          </w:p>
        </w:tc>
        <w:tc>
          <w:tcPr>
            <w:tcW w:w="5771" w:type="dxa"/>
            <w:vAlign w:val="center"/>
          </w:tcPr>
          <w:p w:rsidR="00B20392" w:rsidRPr="00603CC4" w:rsidRDefault="00B20392" w:rsidP="00603CC4">
            <w:pPr>
              <w:spacing w:before="120" w:after="0" w:line="240" w:lineRule="auto"/>
              <w:jc w:val="both"/>
              <w:rPr>
                <w:color w:val="000000"/>
              </w:rPr>
            </w:pPr>
            <w:r w:rsidRPr="00603CC4">
              <w:rPr>
                <w:color w:val="000000"/>
              </w:rPr>
              <w:t>1. Komisii sa udeľuje právomoc prijímať delegované akty za podmienok stanovených v tomto článku.</w:t>
            </w:r>
          </w:p>
        </w:tc>
        <w:tc>
          <w:tcPr>
            <w:tcW w:w="397" w:type="dxa"/>
            <w:vAlign w:val="center"/>
          </w:tcPr>
          <w:p w:rsidR="00B20392" w:rsidRPr="00603CC4" w:rsidRDefault="00670CE1" w:rsidP="00603CC4">
            <w:pPr>
              <w:spacing w:after="0" w:line="240" w:lineRule="auto"/>
            </w:pPr>
            <w:proofErr w:type="spellStart"/>
            <w:r>
              <w:t>n.a</w:t>
            </w:r>
            <w:proofErr w:type="spellEnd"/>
            <w:r>
              <w:t>.</w:t>
            </w:r>
          </w:p>
        </w:tc>
        <w:tc>
          <w:tcPr>
            <w:tcW w:w="708" w:type="dxa"/>
            <w:vAlign w:val="center"/>
          </w:tcPr>
          <w:p w:rsidR="00B20392" w:rsidRPr="00603CC4" w:rsidRDefault="00B20392" w:rsidP="00603CC4">
            <w:pPr>
              <w:spacing w:after="0" w:line="240" w:lineRule="auto"/>
            </w:pPr>
          </w:p>
        </w:tc>
        <w:tc>
          <w:tcPr>
            <w:tcW w:w="596" w:type="dxa"/>
            <w:vAlign w:val="center"/>
          </w:tcPr>
          <w:p w:rsidR="00B20392" w:rsidRPr="00603CC4" w:rsidRDefault="00B20392" w:rsidP="00603CC4">
            <w:pPr>
              <w:spacing w:after="0" w:line="240" w:lineRule="auto"/>
            </w:pPr>
          </w:p>
        </w:tc>
        <w:tc>
          <w:tcPr>
            <w:tcW w:w="6396" w:type="dxa"/>
            <w:vAlign w:val="center"/>
          </w:tcPr>
          <w:p w:rsidR="00B20392" w:rsidRPr="00EF5876"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pPr>
            <w:r w:rsidRPr="00603CC4">
              <w:t>O:2</w:t>
            </w:r>
          </w:p>
        </w:tc>
        <w:tc>
          <w:tcPr>
            <w:tcW w:w="5771" w:type="dxa"/>
            <w:vAlign w:val="center"/>
          </w:tcPr>
          <w:p w:rsidR="00B20392" w:rsidRPr="00603CC4" w:rsidRDefault="00B20392" w:rsidP="00603CC4">
            <w:pPr>
              <w:spacing w:before="120" w:after="0" w:line="240" w:lineRule="auto"/>
              <w:jc w:val="both"/>
              <w:rPr>
                <w:color w:val="000000"/>
              </w:rPr>
            </w:pPr>
            <w:r w:rsidRPr="00603CC4">
              <w:rPr>
                <w:color w:val="000000"/>
              </w:rPr>
              <w:t>2. Právomoc prijímať delegované akty uvedené v článku 13 sa Komisii udeľuje na obdobie piatich rokov od 18. decembra 2015. Komisia vypracuje správu týkajúcu sa delegovania právomoci najneskôr deväť mesiacov pred uplynutím tohto päťročného obdobia. Delegovanie právomoci sa automaticky predlžuje o rovnako dlhé obdobia, pokiaľ Európsky parlament alebo Rada nevznesú voči takémuto predĺženiu námietku najneskôr tri mesiace pred koncom každého obdobia.</w:t>
            </w:r>
          </w:p>
        </w:tc>
        <w:tc>
          <w:tcPr>
            <w:tcW w:w="397" w:type="dxa"/>
            <w:vAlign w:val="center"/>
          </w:tcPr>
          <w:p w:rsidR="00B20392" w:rsidRPr="00603CC4" w:rsidRDefault="00670CE1" w:rsidP="00603CC4">
            <w:pPr>
              <w:spacing w:after="0" w:line="240" w:lineRule="auto"/>
            </w:pPr>
            <w:proofErr w:type="spellStart"/>
            <w:r>
              <w:t>n.a</w:t>
            </w:r>
            <w:proofErr w:type="spellEnd"/>
            <w:r>
              <w:t>.</w:t>
            </w:r>
          </w:p>
        </w:tc>
        <w:tc>
          <w:tcPr>
            <w:tcW w:w="708" w:type="dxa"/>
            <w:vAlign w:val="center"/>
          </w:tcPr>
          <w:p w:rsidR="00B20392" w:rsidRPr="00603CC4" w:rsidRDefault="00B20392" w:rsidP="00603CC4">
            <w:pPr>
              <w:spacing w:after="0" w:line="240" w:lineRule="auto"/>
            </w:pPr>
          </w:p>
        </w:tc>
        <w:tc>
          <w:tcPr>
            <w:tcW w:w="596" w:type="dxa"/>
            <w:vAlign w:val="center"/>
          </w:tcPr>
          <w:p w:rsidR="00B20392" w:rsidRPr="00603CC4" w:rsidRDefault="00B20392" w:rsidP="00603CC4">
            <w:pPr>
              <w:spacing w:after="0" w:line="240" w:lineRule="auto"/>
            </w:pPr>
          </w:p>
        </w:tc>
        <w:tc>
          <w:tcPr>
            <w:tcW w:w="6396" w:type="dxa"/>
            <w:vAlign w:val="center"/>
          </w:tcPr>
          <w:p w:rsidR="00B20392" w:rsidRPr="00EF5876"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pPr>
            <w:r w:rsidRPr="00603CC4">
              <w:t>O:3</w:t>
            </w:r>
          </w:p>
        </w:tc>
        <w:tc>
          <w:tcPr>
            <w:tcW w:w="5771" w:type="dxa"/>
            <w:vAlign w:val="center"/>
          </w:tcPr>
          <w:p w:rsidR="00B20392" w:rsidRPr="00603CC4" w:rsidRDefault="00B20392" w:rsidP="00603CC4">
            <w:pPr>
              <w:spacing w:before="120" w:after="0" w:line="240" w:lineRule="auto"/>
              <w:jc w:val="both"/>
              <w:rPr>
                <w:color w:val="000000"/>
              </w:rPr>
            </w:pPr>
            <w:r w:rsidRPr="00603CC4">
              <w:rPr>
                <w:color w:val="000000"/>
              </w:rPr>
              <w:t xml:space="preserve">3. Delegovanie právomoci uvedené v článku 13 môže Európsky parlament alebo Rada kedykoľvek odvolať. Rozhodnutím o odvolaní sa ukončuje delegovanie právomoci, ktoré sa v ňom uvádza. Rozhodnutie nadobúda účinnosť dňom nasledujúcim po jeho uverejnení v </w:t>
            </w:r>
            <w:r w:rsidRPr="00603CC4">
              <w:rPr>
                <w:rStyle w:val="italic"/>
                <w:color w:val="000000"/>
              </w:rPr>
              <w:t>Úradnom vestníku Európskej únie</w:t>
            </w:r>
            <w:r w:rsidRPr="00603CC4">
              <w:rPr>
                <w:color w:val="000000"/>
              </w:rPr>
              <w:t xml:space="preserve"> alebo k neskoršiemu dátumu, ktorý je v ňom určený. Nie je ním dotknutá platnosť akýchkoľvek delegovaných aktov, ktoré už nadobudli účinnosť.</w:t>
            </w:r>
          </w:p>
        </w:tc>
        <w:tc>
          <w:tcPr>
            <w:tcW w:w="397" w:type="dxa"/>
            <w:vAlign w:val="center"/>
          </w:tcPr>
          <w:p w:rsidR="00B20392" w:rsidRPr="00603CC4" w:rsidRDefault="00670CE1" w:rsidP="00603CC4">
            <w:pPr>
              <w:spacing w:after="0" w:line="240" w:lineRule="auto"/>
            </w:pPr>
            <w:proofErr w:type="spellStart"/>
            <w:r>
              <w:t>n.a</w:t>
            </w:r>
            <w:proofErr w:type="spellEnd"/>
            <w:r>
              <w:t>.</w:t>
            </w:r>
          </w:p>
        </w:tc>
        <w:tc>
          <w:tcPr>
            <w:tcW w:w="708" w:type="dxa"/>
            <w:vAlign w:val="center"/>
          </w:tcPr>
          <w:p w:rsidR="00B20392" w:rsidRPr="00603CC4" w:rsidRDefault="00B20392" w:rsidP="00603CC4">
            <w:pPr>
              <w:spacing w:after="0" w:line="240" w:lineRule="auto"/>
            </w:pPr>
          </w:p>
        </w:tc>
        <w:tc>
          <w:tcPr>
            <w:tcW w:w="596" w:type="dxa"/>
            <w:vAlign w:val="center"/>
          </w:tcPr>
          <w:p w:rsidR="00B20392" w:rsidRPr="00603CC4" w:rsidRDefault="00B20392" w:rsidP="00603CC4">
            <w:pPr>
              <w:spacing w:after="0" w:line="240" w:lineRule="auto"/>
            </w:pPr>
          </w:p>
        </w:tc>
        <w:tc>
          <w:tcPr>
            <w:tcW w:w="6396" w:type="dxa"/>
            <w:vAlign w:val="center"/>
          </w:tcPr>
          <w:p w:rsidR="00B20392" w:rsidRPr="00EF5876"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pPr>
            <w:r w:rsidRPr="00603CC4">
              <w:t>O:4</w:t>
            </w:r>
          </w:p>
        </w:tc>
        <w:tc>
          <w:tcPr>
            <w:tcW w:w="5771" w:type="dxa"/>
            <w:vAlign w:val="center"/>
          </w:tcPr>
          <w:p w:rsidR="00B20392" w:rsidRPr="00603CC4" w:rsidRDefault="00B20392" w:rsidP="00603CC4">
            <w:pPr>
              <w:spacing w:before="120" w:after="0" w:line="240" w:lineRule="auto"/>
              <w:jc w:val="both"/>
              <w:rPr>
                <w:color w:val="000000"/>
              </w:rPr>
            </w:pPr>
            <w:r w:rsidRPr="00603CC4">
              <w:rPr>
                <w:color w:val="000000"/>
              </w:rPr>
              <w:t>4. Komisia oznamuje delegovaný akt hneď po prijatí súčasne Európskemu parlamentu a Rade.</w:t>
            </w:r>
          </w:p>
        </w:tc>
        <w:tc>
          <w:tcPr>
            <w:tcW w:w="397" w:type="dxa"/>
            <w:vAlign w:val="center"/>
          </w:tcPr>
          <w:p w:rsidR="00B20392" w:rsidRPr="00603CC4" w:rsidRDefault="00670CE1" w:rsidP="00603CC4">
            <w:pPr>
              <w:spacing w:after="0" w:line="240" w:lineRule="auto"/>
            </w:pPr>
            <w:proofErr w:type="spellStart"/>
            <w:r>
              <w:t>n.a</w:t>
            </w:r>
            <w:proofErr w:type="spellEnd"/>
            <w:r>
              <w:t>.</w:t>
            </w:r>
          </w:p>
        </w:tc>
        <w:tc>
          <w:tcPr>
            <w:tcW w:w="708" w:type="dxa"/>
            <w:vAlign w:val="center"/>
          </w:tcPr>
          <w:p w:rsidR="00B20392" w:rsidRPr="00603CC4" w:rsidRDefault="00B20392" w:rsidP="00603CC4">
            <w:pPr>
              <w:spacing w:after="0" w:line="240" w:lineRule="auto"/>
            </w:pPr>
          </w:p>
        </w:tc>
        <w:tc>
          <w:tcPr>
            <w:tcW w:w="596" w:type="dxa"/>
            <w:vAlign w:val="center"/>
          </w:tcPr>
          <w:p w:rsidR="00B20392" w:rsidRPr="00603CC4" w:rsidRDefault="00B20392" w:rsidP="00603CC4">
            <w:pPr>
              <w:spacing w:after="0" w:line="240" w:lineRule="auto"/>
            </w:pPr>
          </w:p>
        </w:tc>
        <w:tc>
          <w:tcPr>
            <w:tcW w:w="6396" w:type="dxa"/>
            <w:vAlign w:val="center"/>
          </w:tcPr>
          <w:p w:rsidR="00B20392" w:rsidRPr="00EF5876"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tcBorders>
            <w:vAlign w:val="center"/>
          </w:tcPr>
          <w:p w:rsidR="00B20392" w:rsidRPr="00603CC4" w:rsidRDefault="00B20392" w:rsidP="00603CC4">
            <w:pPr>
              <w:spacing w:after="0" w:line="240" w:lineRule="auto"/>
            </w:pPr>
            <w:r w:rsidRPr="00603CC4">
              <w:t>O:5</w:t>
            </w:r>
          </w:p>
        </w:tc>
        <w:tc>
          <w:tcPr>
            <w:tcW w:w="5771" w:type="dxa"/>
            <w:vAlign w:val="center"/>
          </w:tcPr>
          <w:p w:rsidR="00B20392" w:rsidRPr="00603CC4" w:rsidRDefault="00B20392" w:rsidP="00603CC4">
            <w:pPr>
              <w:spacing w:before="120" w:after="0" w:line="240" w:lineRule="auto"/>
              <w:jc w:val="both"/>
              <w:rPr>
                <w:color w:val="000000"/>
              </w:rPr>
            </w:pPr>
            <w:r w:rsidRPr="00603CC4">
              <w:rPr>
                <w:color w:val="000000"/>
              </w:rPr>
              <w:t xml:space="preserve">5. Delegovaný akt prijatý podľa článku 13 nadobúda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w:t>
            </w:r>
            <w:r w:rsidRPr="00603CC4">
              <w:rPr>
                <w:color w:val="000000"/>
              </w:rPr>
              <w:lastRenderedPageBreak/>
              <w:t>Na podnet Európskeho parlamentu alebo Rady sa táto lehota predĺži o dva mesiace.</w:t>
            </w:r>
          </w:p>
        </w:tc>
        <w:tc>
          <w:tcPr>
            <w:tcW w:w="397" w:type="dxa"/>
            <w:vAlign w:val="center"/>
          </w:tcPr>
          <w:p w:rsidR="00B20392" w:rsidRPr="00603CC4" w:rsidRDefault="00670CE1" w:rsidP="00603CC4">
            <w:pPr>
              <w:spacing w:after="0" w:line="240" w:lineRule="auto"/>
            </w:pPr>
            <w:proofErr w:type="spellStart"/>
            <w:r>
              <w:lastRenderedPageBreak/>
              <w:t>n.a</w:t>
            </w:r>
            <w:proofErr w:type="spellEnd"/>
            <w:r>
              <w:t>.</w:t>
            </w:r>
          </w:p>
        </w:tc>
        <w:tc>
          <w:tcPr>
            <w:tcW w:w="708" w:type="dxa"/>
            <w:vAlign w:val="center"/>
          </w:tcPr>
          <w:p w:rsidR="00B20392" w:rsidRPr="00603CC4" w:rsidRDefault="00B20392" w:rsidP="00603CC4">
            <w:pPr>
              <w:spacing w:after="0" w:line="240" w:lineRule="auto"/>
            </w:pPr>
          </w:p>
        </w:tc>
        <w:tc>
          <w:tcPr>
            <w:tcW w:w="596" w:type="dxa"/>
            <w:vAlign w:val="center"/>
          </w:tcPr>
          <w:p w:rsidR="00B20392" w:rsidRPr="00603CC4" w:rsidRDefault="00B20392" w:rsidP="00603CC4">
            <w:pPr>
              <w:spacing w:after="0" w:line="240" w:lineRule="auto"/>
            </w:pPr>
          </w:p>
        </w:tc>
        <w:tc>
          <w:tcPr>
            <w:tcW w:w="6396" w:type="dxa"/>
            <w:vAlign w:val="center"/>
          </w:tcPr>
          <w:p w:rsidR="00B20392" w:rsidRPr="00EF5876" w:rsidRDefault="00B20392" w:rsidP="00603CC4">
            <w:pPr>
              <w:spacing w:after="0" w:line="240" w:lineRule="auto"/>
            </w:pPr>
          </w:p>
        </w:tc>
        <w:tc>
          <w:tcPr>
            <w:tcW w:w="508" w:type="dxa"/>
            <w:tcBorders>
              <w:top w:val="nil"/>
            </w:tcBorders>
            <w:vAlign w:val="center"/>
          </w:tcPr>
          <w:p w:rsidR="00B20392" w:rsidRPr="00603CC4" w:rsidRDefault="00B20392" w:rsidP="00603CC4">
            <w:pPr>
              <w:spacing w:after="0" w:line="240" w:lineRule="auto"/>
            </w:pPr>
          </w:p>
        </w:tc>
        <w:tc>
          <w:tcPr>
            <w:tcW w:w="508" w:type="dxa"/>
            <w:tcBorders>
              <w:top w:val="nil"/>
            </w:tcBorders>
            <w:vAlign w:val="center"/>
          </w:tcPr>
          <w:p w:rsidR="00B20392" w:rsidRPr="00603CC4" w:rsidRDefault="00B20392" w:rsidP="00603CC4">
            <w:pPr>
              <w:spacing w:after="0" w:line="240" w:lineRule="auto"/>
            </w:pPr>
          </w:p>
        </w:tc>
      </w:tr>
      <w:tr w:rsidR="00B20392" w:rsidRPr="00603CC4" w:rsidTr="00EF5876">
        <w:tc>
          <w:tcPr>
            <w:tcW w:w="709" w:type="dxa"/>
            <w:tcBorders>
              <w:bottom w:val="nil"/>
            </w:tcBorders>
            <w:vAlign w:val="center"/>
          </w:tcPr>
          <w:p w:rsidR="00B20392" w:rsidRPr="00603CC4" w:rsidRDefault="00B20392" w:rsidP="00603CC4">
            <w:pPr>
              <w:spacing w:after="0" w:line="240" w:lineRule="auto"/>
            </w:pPr>
            <w:r w:rsidRPr="00603CC4">
              <w:lastRenderedPageBreak/>
              <w:t>Č:15</w:t>
            </w:r>
          </w:p>
        </w:tc>
        <w:tc>
          <w:tcPr>
            <w:tcW w:w="5771" w:type="dxa"/>
            <w:vAlign w:val="center"/>
          </w:tcPr>
          <w:p w:rsidR="00B20392" w:rsidRPr="00603CC4" w:rsidRDefault="00B20392" w:rsidP="00603CC4">
            <w:pPr>
              <w:spacing w:before="120" w:after="0" w:line="240" w:lineRule="auto"/>
              <w:jc w:val="both"/>
              <w:rPr>
                <w:color w:val="000000"/>
              </w:rPr>
            </w:pPr>
            <w:r w:rsidRPr="00603CC4">
              <w:rPr>
                <w:color w:val="000000"/>
              </w:rPr>
              <w:t>Postup výboru</w:t>
            </w:r>
          </w:p>
        </w:tc>
        <w:tc>
          <w:tcPr>
            <w:tcW w:w="397" w:type="dxa"/>
            <w:vAlign w:val="center"/>
          </w:tcPr>
          <w:p w:rsidR="00B20392" w:rsidRPr="00603CC4" w:rsidRDefault="00B20392" w:rsidP="00603CC4">
            <w:pPr>
              <w:spacing w:after="0" w:line="240" w:lineRule="auto"/>
            </w:pPr>
          </w:p>
        </w:tc>
        <w:tc>
          <w:tcPr>
            <w:tcW w:w="708" w:type="dxa"/>
            <w:vAlign w:val="center"/>
          </w:tcPr>
          <w:p w:rsidR="00B20392" w:rsidRPr="00603CC4" w:rsidRDefault="00B20392" w:rsidP="00603CC4">
            <w:pPr>
              <w:spacing w:after="0" w:line="240" w:lineRule="auto"/>
            </w:pPr>
          </w:p>
        </w:tc>
        <w:tc>
          <w:tcPr>
            <w:tcW w:w="596" w:type="dxa"/>
            <w:vAlign w:val="center"/>
          </w:tcPr>
          <w:p w:rsidR="00B20392" w:rsidRPr="00603CC4" w:rsidRDefault="00B20392" w:rsidP="00603CC4">
            <w:pPr>
              <w:spacing w:after="0" w:line="240" w:lineRule="auto"/>
            </w:pPr>
          </w:p>
        </w:tc>
        <w:tc>
          <w:tcPr>
            <w:tcW w:w="6396" w:type="dxa"/>
            <w:vAlign w:val="center"/>
          </w:tcPr>
          <w:p w:rsidR="00B20392" w:rsidRPr="00EF5876" w:rsidRDefault="00B20392" w:rsidP="00603CC4">
            <w:pPr>
              <w:spacing w:after="0" w:line="240" w:lineRule="auto"/>
            </w:pPr>
          </w:p>
        </w:tc>
        <w:tc>
          <w:tcPr>
            <w:tcW w:w="508" w:type="dxa"/>
            <w:tcBorders>
              <w:bottom w:val="nil"/>
            </w:tcBorders>
            <w:vAlign w:val="center"/>
          </w:tcPr>
          <w:p w:rsidR="00B20392" w:rsidRPr="00603CC4" w:rsidRDefault="00B20392" w:rsidP="00603CC4">
            <w:pPr>
              <w:spacing w:after="0" w:line="240" w:lineRule="auto"/>
            </w:pPr>
          </w:p>
        </w:tc>
        <w:tc>
          <w:tcPr>
            <w:tcW w:w="508" w:type="dxa"/>
            <w:tcBorders>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pPr>
            <w:r w:rsidRPr="00603CC4">
              <w:t>O:1</w:t>
            </w:r>
          </w:p>
        </w:tc>
        <w:tc>
          <w:tcPr>
            <w:tcW w:w="5771" w:type="dxa"/>
            <w:vAlign w:val="center"/>
          </w:tcPr>
          <w:p w:rsidR="00B20392" w:rsidRPr="00603CC4" w:rsidRDefault="00B20392" w:rsidP="00603CC4">
            <w:pPr>
              <w:spacing w:before="120" w:after="0" w:line="240" w:lineRule="auto"/>
              <w:jc w:val="both"/>
              <w:rPr>
                <w:color w:val="000000"/>
              </w:rPr>
            </w:pPr>
            <w:r w:rsidRPr="00603CC4">
              <w:rPr>
                <w:color w:val="000000"/>
              </w:rPr>
              <w:t>1. Komisii pomáha výbor zriadený na základe článku 75 ods. 1 smernice 2010/75/EÚ. Uvedený výbor je výborom v zmysle nariadenia (EÚ) č. 182/2011.</w:t>
            </w:r>
          </w:p>
        </w:tc>
        <w:tc>
          <w:tcPr>
            <w:tcW w:w="397" w:type="dxa"/>
            <w:vAlign w:val="center"/>
          </w:tcPr>
          <w:p w:rsidR="00B20392" w:rsidRPr="00603CC4" w:rsidRDefault="00670CE1" w:rsidP="00603CC4">
            <w:pPr>
              <w:spacing w:after="0" w:line="240" w:lineRule="auto"/>
            </w:pPr>
            <w:proofErr w:type="spellStart"/>
            <w:r>
              <w:t>n.a</w:t>
            </w:r>
            <w:proofErr w:type="spellEnd"/>
            <w:r>
              <w:t>.</w:t>
            </w:r>
          </w:p>
        </w:tc>
        <w:tc>
          <w:tcPr>
            <w:tcW w:w="708" w:type="dxa"/>
            <w:vAlign w:val="center"/>
          </w:tcPr>
          <w:p w:rsidR="00B20392" w:rsidRPr="00603CC4" w:rsidRDefault="00B20392" w:rsidP="00603CC4">
            <w:pPr>
              <w:spacing w:after="0" w:line="240" w:lineRule="auto"/>
            </w:pPr>
          </w:p>
        </w:tc>
        <w:tc>
          <w:tcPr>
            <w:tcW w:w="596" w:type="dxa"/>
            <w:vAlign w:val="center"/>
          </w:tcPr>
          <w:p w:rsidR="00B20392" w:rsidRPr="00603CC4" w:rsidRDefault="00B20392" w:rsidP="00603CC4">
            <w:pPr>
              <w:spacing w:after="0" w:line="240" w:lineRule="auto"/>
            </w:pPr>
          </w:p>
        </w:tc>
        <w:tc>
          <w:tcPr>
            <w:tcW w:w="6396" w:type="dxa"/>
            <w:vAlign w:val="center"/>
          </w:tcPr>
          <w:p w:rsidR="00B20392" w:rsidRPr="00EF5876"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pPr>
            <w:r w:rsidRPr="00603CC4">
              <w:t>O:2</w:t>
            </w:r>
          </w:p>
        </w:tc>
        <w:tc>
          <w:tcPr>
            <w:tcW w:w="5771" w:type="dxa"/>
            <w:vAlign w:val="center"/>
          </w:tcPr>
          <w:p w:rsidR="00B20392" w:rsidRPr="00603CC4" w:rsidRDefault="00B20392" w:rsidP="00603CC4">
            <w:pPr>
              <w:spacing w:before="120" w:after="0" w:line="240" w:lineRule="auto"/>
              <w:jc w:val="both"/>
              <w:rPr>
                <w:color w:val="000000"/>
              </w:rPr>
            </w:pPr>
            <w:r w:rsidRPr="00603CC4">
              <w:rPr>
                <w:color w:val="000000"/>
              </w:rPr>
              <w:t>2. Ak sa odkazuje sa na tento odsek, uplatňuje sa článok 5 nariadenia (EÚ) č. 182/2011.</w:t>
            </w:r>
          </w:p>
        </w:tc>
        <w:tc>
          <w:tcPr>
            <w:tcW w:w="397" w:type="dxa"/>
            <w:vAlign w:val="center"/>
          </w:tcPr>
          <w:p w:rsidR="00B20392" w:rsidRPr="00603CC4" w:rsidRDefault="00670CE1" w:rsidP="00603CC4">
            <w:pPr>
              <w:spacing w:after="0" w:line="240" w:lineRule="auto"/>
            </w:pPr>
            <w:proofErr w:type="spellStart"/>
            <w:r>
              <w:t>n.a</w:t>
            </w:r>
            <w:proofErr w:type="spellEnd"/>
            <w:r>
              <w:t>.</w:t>
            </w:r>
          </w:p>
        </w:tc>
        <w:tc>
          <w:tcPr>
            <w:tcW w:w="708" w:type="dxa"/>
            <w:vAlign w:val="center"/>
          </w:tcPr>
          <w:p w:rsidR="00B20392" w:rsidRPr="00603CC4" w:rsidRDefault="00B20392" w:rsidP="00603CC4">
            <w:pPr>
              <w:spacing w:after="0" w:line="240" w:lineRule="auto"/>
            </w:pPr>
          </w:p>
        </w:tc>
        <w:tc>
          <w:tcPr>
            <w:tcW w:w="596" w:type="dxa"/>
            <w:vAlign w:val="center"/>
          </w:tcPr>
          <w:p w:rsidR="00B20392" w:rsidRPr="00603CC4" w:rsidRDefault="00B20392" w:rsidP="00603CC4">
            <w:pPr>
              <w:spacing w:after="0" w:line="240" w:lineRule="auto"/>
            </w:pPr>
          </w:p>
        </w:tc>
        <w:tc>
          <w:tcPr>
            <w:tcW w:w="6396" w:type="dxa"/>
            <w:vAlign w:val="center"/>
          </w:tcPr>
          <w:p w:rsidR="00B20392" w:rsidRPr="00EF5876"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tcBorders>
            <w:vAlign w:val="center"/>
          </w:tcPr>
          <w:p w:rsidR="00B20392" w:rsidRPr="00603CC4" w:rsidRDefault="00B20392" w:rsidP="00603CC4">
            <w:pPr>
              <w:spacing w:after="0" w:line="240" w:lineRule="auto"/>
            </w:pPr>
            <w:r w:rsidRPr="00603CC4">
              <w:t>O:3</w:t>
            </w:r>
          </w:p>
        </w:tc>
        <w:tc>
          <w:tcPr>
            <w:tcW w:w="5771" w:type="dxa"/>
            <w:vAlign w:val="center"/>
          </w:tcPr>
          <w:p w:rsidR="00B20392" w:rsidRPr="00603CC4" w:rsidRDefault="00B20392" w:rsidP="00603CC4">
            <w:pPr>
              <w:spacing w:before="120" w:after="0" w:line="240" w:lineRule="auto"/>
              <w:jc w:val="both"/>
              <w:rPr>
                <w:color w:val="000000"/>
              </w:rPr>
            </w:pPr>
            <w:r w:rsidRPr="00603CC4">
              <w:rPr>
                <w:color w:val="000000"/>
              </w:rPr>
              <w:t xml:space="preserve">3. Ak výbor nepredloží žiadne stanovisko, Komisia neprijme návrh vykonávacieho aktu a uplatní sa článok 5 ods. 4 tretí </w:t>
            </w:r>
            <w:proofErr w:type="spellStart"/>
            <w:r w:rsidRPr="00603CC4">
              <w:rPr>
                <w:color w:val="000000"/>
              </w:rPr>
              <w:t>pododsek</w:t>
            </w:r>
            <w:proofErr w:type="spellEnd"/>
            <w:r w:rsidRPr="00603CC4">
              <w:rPr>
                <w:color w:val="000000"/>
              </w:rPr>
              <w:t xml:space="preserve"> nariadenia (EÚ) č. 182/2011</w:t>
            </w:r>
          </w:p>
        </w:tc>
        <w:tc>
          <w:tcPr>
            <w:tcW w:w="397" w:type="dxa"/>
            <w:vAlign w:val="center"/>
          </w:tcPr>
          <w:p w:rsidR="00B20392" w:rsidRPr="00603CC4" w:rsidRDefault="00670CE1" w:rsidP="00603CC4">
            <w:pPr>
              <w:spacing w:after="0" w:line="240" w:lineRule="auto"/>
            </w:pPr>
            <w:proofErr w:type="spellStart"/>
            <w:r>
              <w:t>n.a</w:t>
            </w:r>
            <w:proofErr w:type="spellEnd"/>
            <w:r>
              <w:t>.</w:t>
            </w:r>
          </w:p>
        </w:tc>
        <w:tc>
          <w:tcPr>
            <w:tcW w:w="708" w:type="dxa"/>
            <w:vAlign w:val="center"/>
          </w:tcPr>
          <w:p w:rsidR="00B20392" w:rsidRPr="00603CC4" w:rsidRDefault="00B20392" w:rsidP="00603CC4">
            <w:pPr>
              <w:spacing w:after="0" w:line="240" w:lineRule="auto"/>
            </w:pPr>
          </w:p>
        </w:tc>
        <w:tc>
          <w:tcPr>
            <w:tcW w:w="596" w:type="dxa"/>
            <w:vAlign w:val="center"/>
          </w:tcPr>
          <w:p w:rsidR="00B20392" w:rsidRPr="00603CC4" w:rsidRDefault="00B20392" w:rsidP="00603CC4">
            <w:pPr>
              <w:spacing w:after="0" w:line="240" w:lineRule="auto"/>
            </w:pPr>
          </w:p>
        </w:tc>
        <w:tc>
          <w:tcPr>
            <w:tcW w:w="6396" w:type="dxa"/>
            <w:vAlign w:val="center"/>
          </w:tcPr>
          <w:p w:rsidR="00B20392" w:rsidRPr="00EF5876" w:rsidRDefault="00B20392" w:rsidP="00603CC4">
            <w:pPr>
              <w:spacing w:after="0" w:line="240" w:lineRule="auto"/>
            </w:pPr>
          </w:p>
        </w:tc>
        <w:tc>
          <w:tcPr>
            <w:tcW w:w="508" w:type="dxa"/>
            <w:tcBorders>
              <w:top w:val="nil"/>
            </w:tcBorders>
            <w:vAlign w:val="center"/>
          </w:tcPr>
          <w:p w:rsidR="00B20392" w:rsidRPr="00603CC4" w:rsidRDefault="00B20392" w:rsidP="00603CC4">
            <w:pPr>
              <w:spacing w:after="0" w:line="240" w:lineRule="auto"/>
            </w:pPr>
          </w:p>
        </w:tc>
        <w:tc>
          <w:tcPr>
            <w:tcW w:w="508" w:type="dxa"/>
            <w:tcBorders>
              <w:top w:val="nil"/>
            </w:tcBorders>
            <w:vAlign w:val="center"/>
          </w:tcPr>
          <w:p w:rsidR="00B20392" w:rsidRPr="00603CC4" w:rsidRDefault="00B20392" w:rsidP="00603CC4">
            <w:pPr>
              <w:spacing w:after="0" w:line="240" w:lineRule="auto"/>
            </w:pPr>
          </w:p>
        </w:tc>
      </w:tr>
      <w:tr w:rsidR="00B20392" w:rsidRPr="00603CC4" w:rsidTr="00EF5876">
        <w:tc>
          <w:tcPr>
            <w:tcW w:w="709" w:type="dxa"/>
            <w:tcBorders>
              <w:bottom w:val="nil"/>
            </w:tcBorders>
            <w:vAlign w:val="center"/>
          </w:tcPr>
          <w:p w:rsidR="00B20392" w:rsidRPr="00603CC4" w:rsidRDefault="00B20392" w:rsidP="00603CC4">
            <w:pPr>
              <w:spacing w:after="0" w:line="240" w:lineRule="auto"/>
            </w:pPr>
            <w:r w:rsidRPr="00603CC4">
              <w:t>Č:16</w:t>
            </w:r>
          </w:p>
        </w:tc>
        <w:tc>
          <w:tcPr>
            <w:tcW w:w="5771" w:type="dxa"/>
            <w:vAlign w:val="center"/>
          </w:tcPr>
          <w:p w:rsidR="00B20392" w:rsidRPr="00603CC4" w:rsidRDefault="00B20392" w:rsidP="00603CC4">
            <w:pPr>
              <w:spacing w:before="120" w:after="0" w:line="240" w:lineRule="auto"/>
              <w:jc w:val="both"/>
              <w:rPr>
                <w:color w:val="000000"/>
              </w:rPr>
            </w:pPr>
            <w:r w:rsidRPr="00603CC4">
              <w:rPr>
                <w:color w:val="000000"/>
              </w:rPr>
              <w:t>Sankcie</w:t>
            </w:r>
          </w:p>
        </w:tc>
        <w:tc>
          <w:tcPr>
            <w:tcW w:w="397" w:type="dxa"/>
            <w:vAlign w:val="center"/>
          </w:tcPr>
          <w:p w:rsidR="00B20392" w:rsidRPr="00603CC4" w:rsidRDefault="00670CE1" w:rsidP="00603CC4">
            <w:pPr>
              <w:spacing w:after="0" w:line="240" w:lineRule="auto"/>
            </w:pPr>
            <w:r>
              <w:t>N</w:t>
            </w:r>
          </w:p>
        </w:tc>
        <w:tc>
          <w:tcPr>
            <w:tcW w:w="708" w:type="dxa"/>
            <w:vAlign w:val="center"/>
          </w:tcPr>
          <w:p w:rsidR="00B20392" w:rsidRPr="00603CC4" w:rsidRDefault="008A7D67" w:rsidP="00603CC4">
            <w:pPr>
              <w:spacing w:after="0" w:line="240" w:lineRule="auto"/>
            </w:pPr>
            <w:r>
              <w:t>Z</w:t>
            </w:r>
          </w:p>
        </w:tc>
        <w:tc>
          <w:tcPr>
            <w:tcW w:w="596" w:type="dxa"/>
            <w:vAlign w:val="center"/>
          </w:tcPr>
          <w:p w:rsidR="00B20392" w:rsidRPr="00603CC4" w:rsidRDefault="00350F06" w:rsidP="00FA5311">
            <w:pPr>
              <w:spacing w:after="0" w:line="240" w:lineRule="auto"/>
              <w:ind w:right="-79"/>
            </w:pPr>
            <w:r>
              <w:t>§:</w:t>
            </w:r>
            <w:r w:rsidR="00752715">
              <w:t>30</w:t>
            </w:r>
          </w:p>
        </w:tc>
        <w:tc>
          <w:tcPr>
            <w:tcW w:w="6396" w:type="dxa"/>
            <w:vAlign w:val="center"/>
          </w:tcPr>
          <w:p w:rsidR="00B20392" w:rsidRPr="00EF5876" w:rsidRDefault="00752715" w:rsidP="00752715">
            <w:pPr>
              <w:spacing w:line="264" w:lineRule="auto"/>
              <w:ind w:left="100" w:right="90"/>
              <w:jc w:val="center"/>
              <w:rPr>
                <w:lang w:eastAsia="sk-SK"/>
              </w:rPr>
            </w:pPr>
            <w:r w:rsidRPr="00EF5876">
              <w:rPr>
                <w:b/>
              </w:rPr>
              <w:t>Správne delikty</w:t>
            </w:r>
          </w:p>
        </w:tc>
        <w:tc>
          <w:tcPr>
            <w:tcW w:w="508" w:type="dxa"/>
            <w:tcBorders>
              <w:bottom w:val="nil"/>
            </w:tcBorders>
            <w:vAlign w:val="center"/>
          </w:tcPr>
          <w:p w:rsidR="00B20392" w:rsidRPr="00603CC4" w:rsidRDefault="00B20392" w:rsidP="00603CC4">
            <w:pPr>
              <w:spacing w:after="0" w:line="240" w:lineRule="auto"/>
            </w:pPr>
          </w:p>
        </w:tc>
        <w:tc>
          <w:tcPr>
            <w:tcW w:w="508" w:type="dxa"/>
            <w:tcBorders>
              <w:bottom w:val="nil"/>
            </w:tcBorders>
            <w:vAlign w:val="center"/>
          </w:tcPr>
          <w:p w:rsidR="00B20392" w:rsidRPr="00603CC4" w:rsidRDefault="00B20392" w:rsidP="00603CC4">
            <w:pPr>
              <w:spacing w:after="0" w:line="240" w:lineRule="auto"/>
            </w:pPr>
          </w:p>
        </w:tc>
      </w:tr>
      <w:tr w:rsidR="00B20392" w:rsidRPr="00603CC4" w:rsidTr="00EF5876">
        <w:trPr>
          <w:trHeight w:val="1040"/>
        </w:trPr>
        <w:tc>
          <w:tcPr>
            <w:tcW w:w="709" w:type="dxa"/>
            <w:tcBorders>
              <w:top w:val="nil"/>
            </w:tcBorders>
            <w:vAlign w:val="center"/>
          </w:tcPr>
          <w:p w:rsidR="00B20392" w:rsidRPr="00603CC4" w:rsidRDefault="00B20392" w:rsidP="00603CC4">
            <w:pPr>
              <w:spacing w:after="0" w:line="240" w:lineRule="auto"/>
            </w:pPr>
            <w:r w:rsidRPr="00603CC4">
              <w:t>O:1</w:t>
            </w:r>
          </w:p>
        </w:tc>
        <w:tc>
          <w:tcPr>
            <w:tcW w:w="5771" w:type="dxa"/>
            <w:vAlign w:val="center"/>
          </w:tcPr>
          <w:p w:rsidR="00B20392" w:rsidRPr="00603CC4" w:rsidRDefault="00B20392" w:rsidP="00603CC4">
            <w:pPr>
              <w:spacing w:before="120" w:after="0" w:line="240" w:lineRule="auto"/>
              <w:jc w:val="both"/>
              <w:rPr>
                <w:color w:val="000000"/>
              </w:rPr>
            </w:pPr>
            <w:r w:rsidRPr="00603CC4">
              <w:rPr>
                <w:color w:val="000000"/>
              </w:rPr>
              <w:t>Členské štáty stanovia pravidlá týkajúce sa sankcií uplatniteľných v prípade porušenia vnútroštátnych ustanovení prijatých podľa tejto smernice a prijmú všetky nevyhnutné opatrenia na zabezpečenie ich uplatňovania. Stanovené sankcie musia byť účinné, primerané a odrádzajúce. Členské štáty oznámia Komisii uvedené ustanovenia najneskôr do 19. decembra 2017 a bezodkladne jej oznámia každú následnú zmenu, ktorá sa ich dotýka.</w:t>
            </w:r>
          </w:p>
        </w:tc>
        <w:tc>
          <w:tcPr>
            <w:tcW w:w="397" w:type="dxa"/>
            <w:vAlign w:val="center"/>
          </w:tcPr>
          <w:p w:rsidR="00B20392" w:rsidRPr="00603CC4" w:rsidRDefault="00670CE1" w:rsidP="00603CC4">
            <w:pPr>
              <w:spacing w:after="0" w:line="240" w:lineRule="auto"/>
            </w:pPr>
            <w:r>
              <w:t>N</w:t>
            </w:r>
          </w:p>
        </w:tc>
        <w:tc>
          <w:tcPr>
            <w:tcW w:w="708" w:type="dxa"/>
            <w:vAlign w:val="center"/>
          </w:tcPr>
          <w:p w:rsidR="00B20392" w:rsidRPr="00603CC4" w:rsidRDefault="008A7D67" w:rsidP="00603CC4">
            <w:pPr>
              <w:spacing w:after="0" w:line="240" w:lineRule="auto"/>
            </w:pPr>
            <w:r>
              <w:t>Z</w:t>
            </w:r>
          </w:p>
        </w:tc>
        <w:tc>
          <w:tcPr>
            <w:tcW w:w="596" w:type="dxa"/>
            <w:vAlign w:val="center"/>
          </w:tcPr>
          <w:p w:rsidR="00BD232C" w:rsidRDefault="00350F06" w:rsidP="00FA5311">
            <w:pPr>
              <w:spacing w:after="0" w:line="240" w:lineRule="auto"/>
              <w:ind w:right="-79"/>
            </w:pPr>
            <w:r>
              <w:t>§:</w:t>
            </w:r>
            <w:r w:rsidR="00BD232C">
              <w:t>30</w:t>
            </w:r>
          </w:p>
          <w:p w:rsidR="00B20392" w:rsidRPr="00603CC4" w:rsidRDefault="00BD232C" w:rsidP="00BD232C">
            <w:pPr>
              <w:spacing w:after="0" w:line="240" w:lineRule="auto"/>
            </w:pPr>
            <w:r>
              <w:t>O</w:t>
            </w:r>
            <w:r w:rsidR="00350F06">
              <w:t>:</w:t>
            </w:r>
            <w:r>
              <w:t>2,3,4</w:t>
            </w:r>
          </w:p>
        </w:tc>
        <w:tc>
          <w:tcPr>
            <w:tcW w:w="6396" w:type="dxa"/>
            <w:vAlign w:val="center"/>
          </w:tcPr>
          <w:p w:rsidR="00BD232C" w:rsidRPr="00EF5876" w:rsidRDefault="00BD232C" w:rsidP="00BD232C">
            <w:pPr>
              <w:spacing w:after="99" w:line="261" w:lineRule="auto"/>
              <w:ind w:left="227"/>
              <w:jc w:val="both"/>
              <w:rPr>
                <w:lang w:eastAsia="sk-SK"/>
              </w:rPr>
            </w:pPr>
            <w:r w:rsidRPr="00EF5876">
              <w:t>(2)Okresný úrad alebo inšpekcia uloží pokutu od 330 eur do 170 000 eur</w:t>
            </w:r>
          </w:p>
          <w:p w:rsidR="00BD232C" w:rsidRPr="00EF5876" w:rsidRDefault="00BD232C" w:rsidP="00215280">
            <w:pPr>
              <w:numPr>
                <w:ilvl w:val="0"/>
                <w:numId w:val="10"/>
              </w:numPr>
              <w:spacing w:after="99" w:line="261" w:lineRule="auto"/>
              <w:ind w:hanging="283"/>
              <w:jc w:val="both"/>
            </w:pPr>
            <w:r w:rsidRPr="00EF5876">
              <w:t xml:space="preserve">prevádzkovateľovi veľkého zdroja, ak poruší povinnosti ustanovené v § 14 ods. 2, § 15 ods. 1 písm. a) až c), h), i), l), n), v), y), z), </w:t>
            </w:r>
            <w:proofErr w:type="spellStart"/>
            <w:r w:rsidRPr="00EF5876">
              <w:t>aa</w:t>
            </w:r>
            <w:proofErr w:type="spellEnd"/>
            <w:r w:rsidRPr="00EF5876">
              <w:t xml:space="preserve">) alebo </w:t>
            </w:r>
            <w:proofErr w:type="spellStart"/>
            <w:r w:rsidRPr="00EF5876">
              <w:t>af</w:t>
            </w:r>
            <w:proofErr w:type="spellEnd"/>
            <w:r w:rsidRPr="00EF5876">
              <w:t xml:space="preserve">), povinnosť plniť opatrenia podľa § 15 ods. 1 písm. f) a s), povinnosť prijať a vykonať opatrenia podľa § 15 ods. 1 písm. g), </w:t>
            </w:r>
            <w:proofErr w:type="spellStart"/>
            <w:r w:rsidRPr="00EF5876">
              <w:t>ab</w:t>
            </w:r>
            <w:proofErr w:type="spellEnd"/>
            <w:r w:rsidRPr="00EF5876">
              <w:t xml:space="preserve">) alebo ad) a povinnosť neprekročiť povolený prevádzkový čas podľa § 15 ods. 1 písm. </w:t>
            </w:r>
            <w:proofErr w:type="spellStart"/>
            <w:r w:rsidRPr="00EF5876">
              <w:t>ac</w:t>
            </w:r>
            <w:proofErr w:type="spellEnd"/>
            <w:r w:rsidRPr="00EF5876">
              <w:t>) alebo ak prevádzkuje stacionárny zdroj bez súhlasu podľa § 17 ods. 1 písm. f) alebo poruší zákaz ustanovený v § 14 ods. 8 písm. a),</w:t>
            </w:r>
          </w:p>
          <w:p w:rsidR="00752715" w:rsidRPr="00EF5876" w:rsidRDefault="00752715" w:rsidP="00EE10DB">
            <w:pPr>
              <w:spacing w:after="0"/>
              <w:ind w:left="237"/>
              <w:rPr>
                <w:lang w:eastAsia="sk-SK"/>
              </w:rPr>
            </w:pPr>
            <w:r w:rsidRPr="00EF5876">
              <w:t>(3) Okresný úrad alebo inšpekcia uloží pokutu od 160 eur do 33 000 eur</w:t>
            </w:r>
          </w:p>
          <w:p w:rsidR="00752715" w:rsidRPr="00EF5876" w:rsidRDefault="00752715" w:rsidP="00EE10DB">
            <w:pPr>
              <w:numPr>
                <w:ilvl w:val="0"/>
                <w:numId w:val="9"/>
              </w:numPr>
              <w:spacing w:after="0" w:line="261" w:lineRule="auto"/>
              <w:ind w:hanging="283"/>
              <w:jc w:val="both"/>
            </w:pPr>
            <w:r w:rsidRPr="00EF5876">
              <w:t>prevádzkovateľovi veľkého zdroja, ak poruší povinnosti ustanovené v § 15 ods. 1 písm. d), e), j),</w:t>
            </w:r>
          </w:p>
          <w:p w:rsidR="00752715" w:rsidRPr="00EF5876" w:rsidRDefault="00752715" w:rsidP="00EE10DB">
            <w:pPr>
              <w:spacing w:after="0"/>
              <w:ind w:left="293"/>
            </w:pPr>
            <w:r w:rsidRPr="00EF5876">
              <w:t xml:space="preserve">k), m), o) až r), t), u), w), </w:t>
            </w:r>
            <w:proofErr w:type="spellStart"/>
            <w:r w:rsidRPr="00EF5876">
              <w:t>ae</w:t>
            </w:r>
            <w:proofErr w:type="spellEnd"/>
            <w:r w:rsidRPr="00EF5876">
              <w:t xml:space="preserve">), </w:t>
            </w:r>
            <w:proofErr w:type="spellStart"/>
            <w:r w:rsidRPr="00EF5876">
              <w:t>ag</w:t>
            </w:r>
            <w:proofErr w:type="spellEnd"/>
            <w:r w:rsidRPr="00EF5876">
              <w:t xml:space="preserve">) alebo ah) povinnosť informovať ustanovenú v § 15 ods. 1 písm. g) alebo </w:t>
            </w:r>
            <w:proofErr w:type="spellStart"/>
            <w:r w:rsidRPr="00EF5876">
              <w:t>ab</w:t>
            </w:r>
            <w:proofErr w:type="spellEnd"/>
            <w:r w:rsidRPr="00EF5876">
              <w:t>), oznamovaciu povinnosť podľa § 15 ods. 1 písm. x) alebo povinnosť podieľať sa podľa § 15 ods. 1 písm. s),</w:t>
            </w:r>
          </w:p>
          <w:p w:rsidR="00752715" w:rsidRPr="00EF5876" w:rsidRDefault="00752715" w:rsidP="00EE10DB">
            <w:pPr>
              <w:numPr>
                <w:ilvl w:val="1"/>
                <w:numId w:val="9"/>
              </w:numPr>
              <w:spacing w:after="0" w:line="261" w:lineRule="auto"/>
              <w:ind w:left="0" w:firstLine="227"/>
              <w:jc w:val="both"/>
              <w:rPr>
                <w:lang w:eastAsia="sk-SK"/>
              </w:rPr>
            </w:pPr>
            <w:r w:rsidRPr="00EF5876">
              <w:lastRenderedPageBreak/>
              <w:t xml:space="preserve">Okresný úrad alebo inšpekcia uloží prevádzkovateľovi stredného zdroja pokutu od 160 eur do 33 000 eur, ak poruší povinnosti ustanovené v § 14 ods. 2, § 15 ods. 1 písm. a) až c), h), l), n), z) </w:t>
            </w:r>
            <w:proofErr w:type="spellStart"/>
            <w:r w:rsidRPr="00EF5876">
              <w:t>aa</w:t>
            </w:r>
            <w:proofErr w:type="spellEnd"/>
            <w:r w:rsidRPr="00EF5876">
              <w:t>) alebo </w:t>
            </w:r>
            <w:proofErr w:type="spellStart"/>
            <w:r w:rsidRPr="00EF5876">
              <w:t>af</w:t>
            </w:r>
            <w:proofErr w:type="spellEnd"/>
            <w:r w:rsidRPr="00EF5876">
              <w:t xml:space="preserve">), povinnosť plniť opatrenia podľa § 15 ods. 1 písm. f) alebo s) alebo povinnosť prijať a vykonať opatrenia podľa § 15 ods. 1 písm. g), </w:t>
            </w:r>
            <w:proofErr w:type="spellStart"/>
            <w:r w:rsidRPr="00EF5876">
              <w:t>ab</w:t>
            </w:r>
            <w:proofErr w:type="spellEnd"/>
            <w:r w:rsidRPr="00EF5876">
              <w:t>) alebo ad) ak prevádzkuje stacionárny zdroj bez súhlasu podľa § 17 ods. 1 písm. f) alebo poruší zákaz ustanovený v § 14 ods. 8 písm. a).</w:t>
            </w:r>
          </w:p>
          <w:p w:rsidR="00B20392" w:rsidRPr="00EF5876" w:rsidRDefault="00752715" w:rsidP="00EE10DB">
            <w:pPr>
              <w:numPr>
                <w:ilvl w:val="1"/>
                <w:numId w:val="9"/>
              </w:numPr>
              <w:spacing w:after="0" w:line="261" w:lineRule="auto"/>
              <w:ind w:left="0" w:firstLine="227"/>
              <w:jc w:val="both"/>
            </w:pPr>
            <w:r w:rsidRPr="00EF5876">
              <w:t xml:space="preserve">Okresný úrad alebo inšpekcia uloží prevádzkovateľovi stredného zdroja pokutu od 33 eur do 6 700 eur, ak poruší povinnosti ustanovené v § 15 ods. 1 písm. d), e), j), k), m), o) až r), t), u), </w:t>
            </w:r>
            <w:proofErr w:type="spellStart"/>
            <w:r w:rsidRPr="00EF5876">
              <w:t>ae</w:t>
            </w:r>
            <w:proofErr w:type="spellEnd"/>
            <w:r w:rsidRPr="00EF5876">
              <w:t xml:space="preserve">), </w:t>
            </w:r>
            <w:proofErr w:type="spellStart"/>
            <w:r w:rsidRPr="00EF5876">
              <w:t>ag</w:t>
            </w:r>
            <w:proofErr w:type="spellEnd"/>
            <w:r w:rsidRPr="00EF5876">
              <w:t xml:space="preserve">) alebo ah), povinnosť informovať ustanovenú v § 15 ods. 1 písm. g) alebo </w:t>
            </w:r>
            <w:proofErr w:type="spellStart"/>
            <w:r w:rsidRPr="00EF5876">
              <w:t>ab</w:t>
            </w:r>
            <w:proofErr w:type="spellEnd"/>
            <w:r w:rsidRPr="00EF5876">
              <w:t>) alebo povinnosť podieľať sa podľa § 15 ods. 1 písm. s).</w:t>
            </w:r>
          </w:p>
        </w:tc>
        <w:tc>
          <w:tcPr>
            <w:tcW w:w="508" w:type="dxa"/>
            <w:tcBorders>
              <w:top w:val="nil"/>
            </w:tcBorders>
            <w:vAlign w:val="center"/>
          </w:tcPr>
          <w:p w:rsidR="00B20392" w:rsidRPr="00603CC4" w:rsidRDefault="00B20392" w:rsidP="00603CC4">
            <w:pPr>
              <w:spacing w:after="0" w:line="240" w:lineRule="auto"/>
            </w:pPr>
          </w:p>
        </w:tc>
        <w:tc>
          <w:tcPr>
            <w:tcW w:w="508" w:type="dxa"/>
            <w:tcBorders>
              <w:top w:val="nil"/>
            </w:tcBorders>
            <w:vAlign w:val="center"/>
          </w:tcPr>
          <w:p w:rsidR="00B20392" w:rsidRPr="00603CC4" w:rsidRDefault="00B20392" w:rsidP="00603CC4">
            <w:pPr>
              <w:spacing w:after="0" w:line="240" w:lineRule="auto"/>
            </w:pPr>
          </w:p>
        </w:tc>
      </w:tr>
      <w:tr w:rsidR="00B20392" w:rsidRPr="00603CC4" w:rsidTr="00EF5876">
        <w:tc>
          <w:tcPr>
            <w:tcW w:w="709" w:type="dxa"/>
            <w:tcBorders>
              <w:bottom w:val="nil"/>
            </w:tcBorders>
            <w:vAlign w:val="center"/>
          </w:tcPr>
          <w:p w:rsidR="00B20392" w:rsidRPr="00603CC4" w:rsidRDefault="00B20392" w:rsidP="00603CC4">
            <w:pPr>
              <w:spacing w:after="0" w:line="240" w:lineRule="auto"/>
            </w:pPr>
            <w:r w:rsidRPr="00603CC4">
              <w:lastRenderedPageBreak/>
              <w:t>Č:17</w:t>
            </w:r>
          </w:p>
        </w:tc>
        <w:tc>
          <w:tcPr>
            <w:tcW w:w="5771" w:type="dxa"/>
            <w:vAlign w:val="center"/>
          </w:tcPr>
          <w:p w:rsidR="00B20392" w:rsidRPr="00603CC4" w:rsidRDefault="00B20392" w:rsidP="00603CC4">
            <w:pPr>
              <w:spacing w:before="120" w:after="0" w:line="240" w:lineRule="auto"/>
              <w:jc w:val="both"/>
              <w:rPr>
                <w:color w:val="000000"/>
              </w:rPr>
            </w:pPr>
            <w:r w:rsidRPr="00603CC4">
              <w:rPr>
                <w:color w:val="000000"/>
              </w:rPr>
              <w:t>Transpozícia</w:t>
            </w:r>
          </w:p>
        </w:tc>
        <w:tc>
          <w:tcPr>
            <w:tcW w:w="397" w:type="dxa"/>
            <w:vAlign w:val="center"/>
          </w:tcPr>
          <w:p w:rsidR="00B20392" w:rsidRPr="00603CC4" w:rsidRDefault="00B20392" w:rsidP="00603CC4">
            <w:pPr>
              <w:spacing w:after="0" w:line="240" w:lineRule="auto"/>
            </w:pPr>
          </w:p>
        </w:tc>
        <w:tc>
          <w:tcPr>
            <w:tcW w:w="708" w:type="dxa"/>
            <w:vAlign w:val="center"/>
          </w:tcPr>
          <w:p w:rsidR="00B20392" w:rsidRPr="00603CC4" w:rsidRDefault="00B20392" w:rsidP="00603CC4">
            <w:pPr>
              <w:spacing w:after="0" w:line="240" w:lineRule="auto"/>
            </w:pPr>
          </w:p>
        </w:tc>
        <w:tc>
          <w:tcPr>
            <w:tcW w:w="596" w:type="dxa"/>
            <w:vAlign w:val="center"/>
          </w:tcPr>
          <w:p w:rsidR="00B20392" w:rsidRPr="00603CC4" w:rsidRDefault="00B20392" w:rsidP="00603CC4">
            <w:pPr>
              <w:spacing w:after="0" w:line="240" w:lineRule="auto"/>
            </w:pPr>
          </w:p>
        </w:tc>
        <w:tc>
          <w:tcPr>
            <w:tcW w:w="6396" w:type="dxa"/>
            <w:vAlign w:val="center"/>
          </w:tcPr>
          <w:p w:rsidR="00B20392" w:rsidRPr="00EF5876" w:rsidRDefault="00B20392" w:rsidP="00603CC4">
            <w:pPr>
              <w:spacing w:after="0" w:line="240" w:lineRule="auto"/>
            </w:pPr>
          </w:p>
        </w:tc>
        <w:tc>
          <w:tcPr>
            <w:tcW w:w="508" w:type="dxa"/>
            <w:tcBorders>
              <w:bottom w:val="nil"/>
            </w:tcBorders>
            <w:vAlign w:val="center"/>
          </w:tcPr>
          <w:p w:rsidR="00B20392" w:rsidRPr="00603CC4" w:rsidRDefault="00B20392" w:rsidP="00603CC4">
            <w:pPr>
              <w:spacing w:after="0" w:line="240" w:lineRule="auto"/>
            </w:pPr>
          </w:p>
        </w:tc>
        <w:tc>
          <w:tcPr>
            <w:tcW w:w="508" w:type="dxa"/>
            <w:tcBorders>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pPr>
            <w:r w:rsidRPr="00603CC4">
              <w:t>O:1</w:t>
            </w:r>
          </w:p>
        </w:tc>
        <w:tc>
          <w:tcPr>
            <w:tcW w:w="5771" w:type="dxa"/>
            <w:vAlign w:val="center"/>
          </w:tcPr>
          <w:p w:rsidR="00B20392" w:rsidRPr="00603CC4" w:rsidRDefault="00B20392" w:rsidP="00574B4B">
            <w:pPr>
              <w:pStyle w:val="Normlny1"/>
              <w:rPr>
                <w:rFonts w:ascii="Calibri" w:hAnsi="Calibri" w:cs="Calibri"/>
                <w:color w:val="000000"/>
                <w:sz w:val="22"/>
                <w:szCs w:val="22"/>
              </w:rPr>
            </w:pPr>
            <w:r w:rsidRPr="00603CC4">
              <w:rPr>
                <w:rFonts w:ascii="Calibri" w:hAnsi="Calibri" w:cs="Calibri"/>
                <w:color w:val="000000"/>
                <w:sz w:val="22"/>
                <w:szCs w:val="22"/>
              </w:rPr>
              <w:t>1. Členské štáty uvedú do účinnosti zákony, iné právne predpisy a správne opatrenia potrebné na dosiahnutie súladu s touto smernicou do 19. decembra 2017. Bezodkladne o tom informujú Komisiu.</w:t>
            </w:r>
          </w:p>
          <w:p w:rsidR="00B20392" w:rsidRPr="007D7E3B" w:rsidRDefault="00B20392" w:rsidP="007D7E3B">
            <w:pPr>
              <w:pStyle w:val="Normlny1"/>
              <w:rPr>
                <w:rFonts w:ascii="Calibri" w:hAnsi="Calibri" w:cs="Calibri"/>
                <w:color w:val="000000"/>
                <w:sz w:val="22"/>
                <w:szCs w:val="22"/>
              </w:rPr>
            </w:pPr>
            <w:r w:rsidRPr="00603CC4">
              <w:rPr>
                <w:rFonts w:ascii="Calibri" w:hAnsi="Calibri" w:cs="Calibri"/>
                <w:color w:val="000000"/>
                <w:sz w:val="22"/>
                <w:szCs w:val="22"/>
              </w:rPr>
              <w:t xml:space="preserve">Členské štáty uvedú priamo v prijatých ustanoveniach alebo pri ich úradnom uverejnení odkaz na túto smernicu. Podrobnosti </w:t>
            </w:r>
            <w:r w:rsidR="007D7E3B">
              <w:rPr>
                <w:rFonts w:ascii="Calibri" w:hAnsi="Calibri" w:cs="Calibri"/>
                <w:color w:val="000000"/>
                <w:sz w:val="22"/>
                <w:szCs w:val="22"/>
              </w:rPr>
              <w:t>o odkaze upravia členské štáty.</w:t>
            </w:r>
          </w:p>
        </w:tc>
        <w:tc>
          <w:tcPr>
            <w:tcW w:w="397" w:type="dxa"/>
            <w:vAlign w:val="center"/>
          </w:tcPr>
          <w:p w:rsidR="00B20392" w:rsidRPr="00603CC4" w:rsidRDefault="00670CE1" w:rsidP="00603CC4">
            <w:pPr>
              <w:spacing w:after="0" w:line="240" w:lineRule="auto"/>
            </w:pPr>
            <w:r>
              <w:t>N</w:t>
            </w:r>
          </w:p>
        </w:tc>
        <w:tc>
          <w:tcPr>
            <w:tcW w:w="708" w:type="dxa"/>
            <w:vAlign w:val="center"/>
          </w:tcPr>
          <w:p w:rsidR="00B20392" w:rsidRPr="00603CC4" w:rsidRDefault="006C2E31" w:rsidP="00603CC4">
            <w:pPr>
              <w:spacing w:after="0" w:line="240" w:lineRule="auto"/>
            </w:pPr>
            <w:r>
              <w:t>NZ</w:t>
            </w:r>
          </w:p>
        </w:tc>
        <w:tc>
          <w:tcPr>
            <w:tcW w:w="596" w:type="dxa"/>
            <w:vAlign w:val="center"/>
          </w:tcPr>
          <w:p w:rsidR="00B20392" w:rsidRPr="00603CC4" w:rsidRDefault="00B20392" w:rsidP="00603CC4">
            <w:pPr>
              <w:spacing w:after="0" w:line="240" w:lineRule="auto"/>
            </w:pPr>
          </w:p>
        </w:tc>
        <w:tc>
          <w:tcPr>
            <w:tcW w:w="6396" w:type="dxa"/>
            <w:vAlign w:val="center"/>
          </w:tcPr>
          <w:p w:rsidR="00945A32" w:rsidRPr="00EF5876" w:rsidRDefault="00BD232C" w:rsidP="00945A32">
            <w:pPr>
              <w:spacing w:after="0" w:line="240" w:lineRule="auto"/>
            </w:pPr>
            <w:r w:rsidRPr="00EF5876">
              <w:t>Účinnosť</w:t>
            </w:r>
            <w:r w:rsidR="00945A32" w:rsidRPr="00EF5876">
              <w:t>:</w:t>
            </w:r>
          </w:p>
          <w:p w:rsidR="00945A32" w:rsidRPr="00EF5876" w:rsidRDefault="00945A32" w:rsidP="00945A32">
            <w:pPr>
              <w:spacing w:after="0" w:line="240" w:lineRule="auto"/>
            </w:pPr>
            <w:r w:rsidRPr="00EF5876">
              <w:t xml:space="preserve">Novely zákona č. 137/2010 Z. z. sa plánuje 1. október </w:t>
            </w:r>
          </w:p>
          <w:p w:rsidR="00B20392" w:rsidRPr="00EF5876" w:rsidRDefault="00945A32" w:rsidP="00945A32">
            <w:pPr>
              <w:spacing w:after="0" w:line="240" w:lineRule="auto"/>
            </w:pPr>
            <w:r w:rsidRPr="00EF5876">
              <w:t xml:space="preserve"> novely  vyhlášky  MŽP SR č. 410/2012 </w:t>
            </w:r>
            <w:proofErr w:type="spellStart"/>
            <w:r w:rsidRPr="00EF5876">
              <w:t>Z.z</w:t>
            </w:r>
            <w:proofErr w:type="spellEnd"/>
            <w:r w:rsidRPr="00EF5876">
              <w:t xml:space="preserve">. a vyhlášky 411/2012 Z. z. sa plánuje </w:t>
            </w:r>
            <w:r w:rsidR="00BD232C" w:rsidRPr="00EF5876">
              <w:t xml:space="preserve">: </w:t>
            </w:r>
            <w:r w:rsidRPr="00EF5876">
              <w:t xml:space="preserve">do </w:t>
            </w:r>
            <w:r w:rsidR="00BD232C" w:rsidRPr="00EF5876">
              <w:t>1</w:t>
            </w:r>
            <w:r w:rsidRPr="00EF5876">
              <w:t>9</w:t>
            </w:r>
            <w:r w:rsidR="00BD232C" w:rsidRPr="00EF5876">
              <w:t xml:space="preserve">. </w:t>
            </w:r>
            <w:r w:rsidRPr="00EF5876">
              <w:t>decem</w:t>
            </w:r>
            <w:r w:rsidR="00BD232C" w:rsidRPr="00EF5876">
              <w:t>bra 2017</w:t>
            </w:r>
          </w:p>
        </w:tc>
        <w:tc>
          <w:tcPr>
            <w:tcW w:w="508" w:type="dxa"/>
            <w:tcBorders>
              <w:top w:val="nil"/>
            </w:tcBorders>
            <w:vAlign w:val="center"/>
          </w:tcPr>
          <w:p w:rsidR="00B20392" w:rsidRPr="00603CC4" w:rsidRDefault="00B20392" w:rsidP="00603CC4">
            <w:pPr>
              <w:spacing w:after="0" w:line="240" w:lineRule="auto"/>
            </w:pPr>
          </w:p>
        </w:tc>
        <w:tc>
          <w:tcPr>
            <w:tcW w:w="508" w:type="dxa"/>
            <w:tcBorders>
              <w:top w:val="nil"/>
            </w:tcBorders>
            <w:vAlign w:val="center"/>
          </w:tcPr>
          <w:p w:rsidR="00B20392" w:rsidRPr="00603CC4" w:rsidRDefault="00B20392" w:rsidP="00603CC4">
            <w:pPr>
              <w:spacing w:after="0" w:line="240" w:lineRule="auto"/>
            </w:pPr>
          </w:p>
        </w:tc>
      </w:tr>
      <w:tr w:rsidR="00B20392" w:rsidRPr="00603CC4" w:rsidTr="007D7E3B">
        <w:trPr>
          <w:trHeight w:val="1313"/>
        </w:trPr>
        <w:tc>
          <w:tcPr>
            <w:tcW w:w="709" w:type="dxa"/>
            <w:tcBorders>
              <w:top w:val="nil"/>
            </w:tcBorders>
            <w:vAlign w:val="center"/>
          </w:tcPr>
          <w:p w:rsidR="00B20392" w:rsidRPr="00603CC4" w:rsidRDefault="00B20392" w:rsidP="00603CC4">
            <w:pPr>
              <w:spacing w:after="0" w:line="240" w:lineRule="auto"/>
            </w:pPr>
            <w:r w:rsidRPr="00603CC4">
              <w:t>O:2</w:t>
            </w:r>
          </w:p>
        </w:tc>
        <w:tc>
          <w:tcPr>
            <w:tcW w:w="5771" w:type="dxa"/>
            <w:vAlign w:val="center"/>
          </w:tcPr>
          <w:p w:rsidR="00B20392" w:rsidRPr="00603CC4" w:rsidRDefault="00B20392" w:rsidP="00603CC4">
            <w:pPr>
              <w:spacing w:before="120" w:after="0" w:line="240" w:lineRule="auto"/>
              <w:jc w:val="both"/>
              <w:rPr>
                <w:color w:val="000000"/>
              </w:rPr>
            </w:pPr>
            <w:r w:rsidRPr="00603CC4">
              <w:rPr>
                <w:color w:val="000000"/>
              </w:rPr>
              <w:t>2. Členské štáty oznámia Komisii znenie hlavných ustanovení vnútroštátnych právnych predpisov, ktoré prijmú v oblasti pôsobnosti tejto smernice.</w:t>
            </w:r>
          </w:p>
        </w:tc>
        <w:tc>
          <w:tcPr>
            <w:tcW w:w="397" w:type="dxa"/>
            <w:vAlign w:val="center"/>
          </w:tcPr>
          <w:p w:rsidR="00B20392" w:rsidRPr="00603CC4" w:rsidRDefault="00945A32" w:rsidP="00603CC4">
            <w:pPr>
              <w:spacing w:after="0" w:line="240" w:lineRule="auto"/>
            </w:pPr>
            <w:r>
              <w:t>N</w:t>
            </w:r>
          </w:p>
        </w:tc>
        <w:tc>
          <w:tcPr>
            <w:tcW w:w="708" w:type="dxa"/>
            <w:vAlign w:val="center"/>
          </w:tcPr>
          <w:p w:rsidR="00B20392" w:rsidRPr="00603CC4" w:rsidRDefault="00945A32" w:rsidP="00603CC4">
            <w:pPr>
              <w:spacing w:after="0" w:line="240" w:lineRule="auto"/>
            </w:pPr>
            <w:r>
              <w:t>Z</w:t>
            </w:r>
          </w:p>
        </w:tc>
        <w:tc>
          <w:tcPr>
            <w:tcW w:w="596" w:type="dxa"/>
            <w:vAlign w:val="center"/>
          </w:tcPr>
          <w:p w:rsidR="00B20392" w:rsidRPr="00603CC4" w:rsidRDefault="00945A32" w:rsidP="00FA5311">
            <w:pPr>
              <w:spacing w:after="0" w:line="240" w:lineRule="auto"/>
              <w:ind w:right="-79"/>
            </w:pPr>
            <w:r>
              <w:t>§: 23 P:n</w:t>
            </w:r>
          </w:p>
        </w:tc>
        <w:tc>
          <w:tcPr>
            <w:tcW w:w="6396" w:type="dxa"/>
            <w:vAlign w:val="center"/>
          </w:tcPr>
          <w:p w:rsidR="00945A32" w:rsidRPr="00EF5876" w:rsidRDefault="00945A32" w:rsidP="00945A32">
            <w:pPr>
              <w:spacing w:after="69" w:line="262" w:lineRule="auto"/>
              <w:jc w:val="both"/>
            </w:pPr>
            <w:r w:rsidRPr="00EF5876">
              <w:t>Ministerstvo</w:t>
            </w:r>
          </w:p>
          <w:p w:rsidR="00B20392" w:rsidRPr="00EF5876" w:rsidRDefault="00945A32" w:rsidP="007D7E3B">
            <w:pPr>
              <w:spacing w:after="69" w:line="262" w:lineRule="auto"/>
            </w:pPr>
            <w:r w:rsidRPr="00EF5876">
              <w:t>n) je vo vzťahu ku Komisii notifikačným orgánom, sprístupňuje a podáva jej ustanovené informácie a správy v oblasti ochrany ovzdušia v ustanovenom roz</w:t>
            </w:r>
            <w:r w:rsidR="007D7E3B">
              <w:t>sahu a v ustanovených lehotách,</w:t>
            </w:r>
          </w:p>
        </w:tc>
        <w:tc>
          <w:tcPr>
            <w:tcW w:w="508" w:type="dxa"/>
            <w:vAlign w:val="center"/>
          </w:tcPr>
          <w:p w:rsidR="00B20392" w:rsidRPr="00603CC4" w:rsidRDefault="00B20392" w:rsidP="00603CC4">
            <w:pPr>
              <w:spacing w:after="0" w:line="240" w:lineRule="auto"/>
            </w:pPr>
          </w:p>
        </w:tc>
        <w:tc>
          <w:tcPr>
            <w:tcW w:w="508" w:type="dxa"/>
            <w:vAlign w:val="center"/>
          </w:tcPr>
          <w:p w:rsidR="00B20392" w:rsidRPr="00603CC4" w:rsidRDefault="00B20392" w:rsidP="00603CC4">
            <w:pPr>
              <w:spacing w:after="0" w:line="240" w:lineRule="auto"/>
            </w:pPr>
          </w:p>
        </w:tc>
      </w:tr>
      <w:tr w:rsidR="00B20392" w:rsidRPr="00603CC4" w:rsidTr="00EF5876">
        <w:tc>
          <w:tcPr>
            <w:tcW w:w="709" w:type="dxa"/>
            <w:tcBorders>
              <w:bottom w:val="nil"/>
            </w:tcBorders>
            <w:vAlign w:val="center"/>
          </w:tcPr>
          <w:p w:rsidR="00B20392" w:rsidRPr="00603CC4" w:rsidRDefault="00B20392" w:rsidP="00603CC4">
            <w:pPr>
              <w:spacing w:after="0" w:line="240" w:lineRule="auto"/>
            </w:pPr>
            <w:r w:rsidRPr="00603CC4">
              <w:t>Č:18</w:t>
            </w:r>
          </w:p>
        </w:tc>
        <w:tc>
          <w:tcPr>
            <w:tcW w:w="5771" w:type="dxa"/>
            <w:vAlign w:val="center"/>
          </w:tcPr>
          <w:p w:rsidR="00B20392" w:rsidRPr="00603CC4" w:rsidRDefault="00B20392" w:rsidP="00603CC4">
            <w:pPr>
              <w:spacing w:before="120" w:after="0" w:line="240" w:lineRule="auto"/>
              <w:jc w:val="both"/>
              <w:rPr>
                <w:color w:val="000000"/>
              </w:rPr>
            </w:pPr>
            <w:r w:rsidRPr="00603CC4">
              <w:rPr>
                <w:color w:val="000000"/>
              </w:rPr>
              <w:t>Nadobudnutie účinnosti</w:t>
            </w:r>
          </w:p>
        </w:tc>
        <w:tc>
          <w:tcPr>
            <w:tcW w:w="397" w:type="dxa"/>
            <w:vAlign w:val="center"/>
          </w:tcPr>
          <w:p w:rsidR="00B20392" w:rsidRPr="00603CC4" w:rsidRDefault="00B20392" w:rsidP="00603CC4">
            <w:pPr>
              <w:spacing w:after="0" w:line="240" w:lineRule="auto"/>
            </w:pPr>
          </w:p>
        </w:tc>
        <w:tc>
          <w:tcPr>
            <w:tcW w:w="708" w:type="dxa"/>
            <w:vAlign w:val="center"/>
          </w:tcPr>
          <w:p w:rsidR="00B20392" w:rsidRPr="00603CC4" w:rsidRDefault="00B20392" w:rsidP="00603CC4">
            <w:pPr>
              <w:spacing w:after="0" w:line="240" w:lineRule="auto"/>
            </w:pPr>
          </w:p>
        </w:tc>
        <w:tc>
          <w:tcPr>
            <w:tcW w:w="596" w:type="dxa"/>
            <w:vAlign w:val="center"/>
          </w:tcPr>
          <w:p w:rsidR="00B20392" w:rsidRPr="00603CC4" w:rsidRDefault="00B20392" w:rsidP="00603CC4">
            <w:pPr>
              <w:spacing w:after="0" w:line="240" w:lineRule="auto"/>
            </w:pPr>
          </w:p>
        </w:tc>
        <w:tc>
          <w:tcPr>
            <w:tcW w:w="6396" w:type="dxa"/>
            <w:vAlign w:val="center"/>
          </w:tcPr>
          <w:p w:rsidR="00B20392" w:rsidRPr="00EF5876" w:rsidRDefault="00B20392" w:rsidP="00603CC4">
            <w:pPr>
              <w:spacing w:after="0" w:line="240" w:lineRule="auto"/>
            </w:pPr>
          </w:p>
        </w:tc>
        <w:tc>
          <w:tcPr>
            <w:tcW w:w="508" w:type="dxa"/>
            <w:tcBorders>
              <w:bottom w:val="nil"/>
            </w:tcBorders>
            <w:vAlign w:val="center"/>
          </w:tcPr>
          <w:p w:rsidR="00B20392" w:rsidRPr="00603CC4" w:rsidRDefault="00B20392" w:rsidP="00603CC4">
            <w:pPr>
              <w:spacing w:after="0" w:line="240" w:lineRule="auto"/>
            </w:pPr>
          </w:p>
        </w:tc>
        <w:tc>
          <w:tcPr>
            <w:tcW w:w="508" w:type="dxa"/>
            <w:tcBorders>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tcBorders>
            <w:vAlign w:val="center"/>
          </w:tcPr>
          <w:p w:rsidR="00B20392" w:rsidRPr="00603CC4" w:rsidRDefault="00B20392" w:rsidP="00603CC4">
            <w:pPr>
              <w:spacing w:after="0" w:line="240" w:lineRule="auto"/>
            </w:pPr>
            <w:r w:rsidRPr="00603CC4">
              <w:t>O:1</w:t>
            </w:r>
          </w:p>
        </w:tc>
        <w:tc>
          <w:tcPr>
            <w:tcW w:w="5771" w:type="dxa"/>
            <w:vAlign w:val="center"/>
          </w:tcPr>
          <w:p w:rsidR="00B20392" w:rsidRPr="00603CC4" w:rsidRDefault="00B20392" w:rsidP="00603CC4">
            <w:pPr>
              <w:spacing w:before="120" w:after="0" w:line="240" w:lineRule="auto"/>
              <w:jc w:val="both"/>
              <w:rPr>
                <w:color w:val="000000"/>
              </w:rPr>
            </w:pPr>
            <w:r w:rsidRPr="00603CC4">
              <w:rPr>
                <w:color w:val="000000"/>
              </w:rPr>
              <w:t xml:space="preserve">Táto smernica nadobúda účinnosť dvadsiatym dňom po jej uverejnení v </w:t>
            </w:r>
            <w:r w:rsidRPr="00603CC4">
              <w:rPr>
                <w:rStyle w:val="italic"/>
                <w:color w:val="000000"/>
              </w:rPr>
              <w:t>Úradnom vestníku Európskej únie</w:t>
            </w:r>
            <w:r w:rsidRPr="00603CC4">
              <w:rPr>
                <w:color w:val="000000"/>
              </w:rPr>
              <w:t>.</w:t>
            </w:r>
          </w:p>
        </w:tc>
        <w:tc>
          <w:tcPr>
            <w:tcW w:w="397" w:type="dxa"/>
            <w:vAlign w:val="center"/>
          </w:tcPr>
          <w:p w:rsidR="00B20392" w:rsidRPr="00603CC4" w:rsidRDefault="00945A32" w:rsidP="00603CC4">
            <w:pPr>
              <w:spacing w:after="0" w:line="240" w:lineRule="auto"/>
            </w:pPr>
            <w:proofErr w:type="spellStart"/>
            <w:r>
              <w:t>n.a</w:t>
            </w:r>
            <w:proofErr w:type="spellEnd"/>
            <w:r>
              <w:t>.</w:t>
            </w:r>
          </w:p>
        </w:tc>
        <w:tc>
          <w:tcPr>
            <w:tcW w:w="708" w:type="dxa"/>
            <w:vAlign w:val="center"/>
          </w:tcPr>
          <w:p w:rsidR="00B20392" w:rsidRPr="00603CC4" w:rsidRDefault="00B20392" w:rsidP="00603CC4">
            <w:pPr>
              <w:spacing w:after="0" w:line="240" w:lineRule="auto"/>
            </w:pPr>
          </w:p>
        </w:tc>
        <w:tc>
          <w:tcPr>
            <w:tcW w:w="596" w:type="dxa"/>
            <w:vAlign w:val="center"/>
          </w:tcPr>
          <w:p w:rsidR="00B20392" w:rsidRPr="00603CC4" w:rsidRDefault="00B20392" w:rsidP="00603CC4">
            <w:pPr>
              <w:spacing w:after="0" w:line="240" w:lineRule="auto"/>
            </w:pPr>
          </w:p>
        </w:tc>
        <w:tc>
          <w:tcPr>
            <w:tcW w:w="6396" w:type="dxa"/>
            <w:vAlign w:val="center"/>
          </w:tcPr>
          <w:p w:rsidR="00B20392" w:rsidRPr="00EF5876" w:rsidRDefault="00B20392" w:rsidP="00603CC4">
            <w:pPr>
              <w:spacing w:after="0" w:line="240" w:lineRule="auto"/>
            </w:pPr>
          </w:p>
        </w:tc>
        <w:tc>
          <w:tcPr>
            <w:tcW w:w="508" w:type="dxa"/>
            <w:tcBorders>
              <w:top w:val="nil"/>
            </w:tcBorders>
            <w:vAlign w:val="center"/>
          </w:tcPr>
          <w:p w:rsidR="00B20392" w:rsidRPr="00603CC4" w:rsidRDefault="00B20392" w:rsidP="00603CC4">
            <w:pPr>
              <w:spacing w:after="0" w:line="240" w:lineRule="auto"/>
            </w:pPr>
          </w:p>
        </w:tc>
        <w:tc>
          <w:tcPr>
            <w:tcW w:w="508" w:type="dxa"/>
            <w:tcBorders>
              <w:top w:val="nil"/>
            </w:tcBorders>
            <w:vAlign w:val="center"/>
          </w:tcPr>
          <w:p w:rsidR="00B20392" w:rsidRPr="00603CC4" w:rsidRDefault="00B20392" w:rsidP="00603CC4">
            <w:pPr>
              <w:spacing w:after="0" w:line="240" w:lineRule="auto"/>
            </w:pPr>
          </w:p>
        </w:tc>
      </w:tr>
      <w:tr w:rsidR="00B20392" w:rsidRPr="00603CC4" w:rsidTr="00EF5876">
        <w:tc>
          <w:tcPr>
            <w:tcW w:w="709" w:type="dxa"/>
            <w:tcBorders>
              <w:bottom w:val="nil"/>
            </w:tcBorders>
            <w:vAlign w:val="center"/>
          </w:tcPr>
          <w:p w:rsidR="00B20392" w:rsidRPr="00603CC4" w:rsidRDefault="00B20392" w:rsidP="00603CC4">
            <w:pPr>
              <w:spacing w:after="0" w:line="240" w:lineRule="auto"/>
            </w:pPr>
            <w:r w:rsidRPr="00603CC4">
              <w:t>Č:19</w:t>
            </w:r>
          </w:p>
        </w:tc>
        <w:tc>
          <w:tcPr>
            <w:tcW w:w="5771" w:type="dxa"/>
            <w:vAlign w:val="center"/>
          </w:tcPr>
          <w:p w:rsidR="00B20392" w:rsidRPr="00603CC4" w:rsidRDefault="00B20392" w:rsidP="00603CC4">
            <w:pPr>
              <w:spacing w:before="120" w:after="0" w:line="240" w:lineRule="auto"/>
              <w:jc w:val="both"/>
              <w:rPr>
                <w:color w:val="000000"/>
              </w:rPr>
            </w:pPr>
            <w:r w:rsidRPr="00603CC4">
              <w:rPr>
                <w:color w:val="000000"/>
              </w:rPr>
              <w:t>Adresáti</w:t>
            </w:r>
          </w:p>
        </w:tc>
        <w:tc>
          <w:tcPr>
            <w:tcW w:w="397" w:type="dxa"/>
            <w:vAlign w:val="center"/>
          </w:tcPr>
          <w:p w:rsidR="00B20392" w:rsidRPr="00603CC4" w:rsidRDefault="006E65C5" w:rsidP="00603CC4">
            <w:pPr>
              <w:spacing w:after="0" w:line="240" w:lineRule="auto"/>
            </w:pPr>
            <w:proofErr w:type="spellStart"/>
            <w:r>
              <w:t>n.a</w:t>
            </w:r>
            <w:proofErr w:type="spellEnd"/>
            <w:r>
              <w:t>.</w:t>
            </w:r>
          </w:p>
        </w:tc>
        <w:tc>
          <w:tcPr>
            <w:tcW w:w="708" w:type="dxa"/>
            <w:vAlign w:val="center"/>
          </w:tcPr>
          <w:p w:rsidR="00B20392" w:rsidRPr="00603CC4" w:rsidRDefault="00B20392" w:rsidP="00603CC4">
            <w:pPr>
              <w:spacing w:after="0" w:line="240" w:lineRule="auto"/>
            </w:pPr>
          </w:p>
        </w:tc>
        <w:tc>
          <w:tcPr>
            <w:tcW w:w="596" w:type="dxa"/>
            <w:vAlign w:val="center"/>
          </w:tcPr>
          <w:p w:rsidR="00B20392" w:rsidRPr="00603CC4" w:rsidRDefault="00B20392" w:rsidP="00603CC4">
            <w:pPr>
              <w:spacing w:after="0" w:line="240" w:lineRule="auto"/>
            </w:pPr>
          </w:p>
        </w:tc>
        <w:tc>
          <w:tcPr>
            <w:tcW w:w="6396" w:type="dxa"/>
            <w:vAlign w:val="center"/>
          </w:tcPr>
          <w:p w:rsidR="00B20392" w:rsidRPr="00EF5876" w:rsidRDefault="00B20392" w:rsidP="00603CC4">
            <w:pPr>
              <w:spacing w:after="0" w:line="240" w:lineRule="auto"/>
            </w:pPr>
          </w:p>
        </w:tc>
        <w:tc>
          <w:tcPr>
            <w:tcW w:w="508" w:type="dxa"/>
            <w:tcBorders>
              <w:bottom w:val="nil"/>
            </w:tcBorders>
            <w:vAlign w:val="center"/>
          </w:tcPr>
          <w:p w:rsidR="00B20392" w:rsidRPr="00603CC4" w:rsidRDefault="00B20392" w:rsidP="00603CC4">
            <w:pPr>
              <w:spacing w:after="0" w:line="240" w:lineRule="auto"/>
            </w:pPr>
          </w:p>
        </w:tc>
        <w:tc>
          <w:tcPr>
            <w:tcW w:w="508" w:type="dxa"/>
            <w:tcBorders>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bottom w:val="nil"/>
            </w:tcBorders>
            <w:vAlign w:val="center"/>
          </w:tcPr>
          <w:p w:rsidR="00B20392" w:rsidRPr="00603CC4" w:rsidRDefault="00B20392" w:rsidP="00603CC4">
            <w:pPr>
              <w:spacing w:after="0" w:line="240" w:lineRule="auto"/>
              <w:jc w:val="center"/>
            </w:pPr>
            <w:r w:rsidRPr="00603CC4">
              <w:lastRenderedPageBreak/>
              <w:t>Príloha   1</w:t>
            </w:r>
          </w:p>
        </w:tc>
        <w:tc>
          <w:tcPr>
            <w:tcW w:w="5771" w:type="dxa"/>
            <w:vAlign w:val="center"/>
          </w:tcPr>
          <w:p w:rsidR="00B20392" w:rsidRPr="00EE10DB" w:rsidRDefault="00B20392" w:rsidP="00EE10DB">
            <w:pPr>
              <w:spacing w:after="0" w:line="240" w:lineRule="auto"/>
              <w:jc w:val="both"/>
              <w:rPr>
                <w:lang w:eastAsia="sk-SK"/>
              </w:rPr>
            </w:pPr>
            <w:r w:rsidRPr="00603CC4">
              <w:rPr>
                <w:lang w:eastAsia="sk-SK"/>
              </w:rPr>
              <w:t>Informácie, ktoré má prevádzkovate</w:t>
            </w:r>
            <w:r w:rsidR="00EE10DB">
              <w:rPr>
                <w:lang w:eastAsia="sk-SK"/>
              </w:rPr>
              <w:t xml:space="preserve">ľ poskytnúť príslušnému orgánu </w:t>
            </w:r>
          </w:p>
        </w:tc>
        <w:tc>
          <w:tcPr>
            <w:tcW w:w="397" w:type="dxa"/>
            <w:vAlign w:val="center"/>
          </w:tcPr>
          <w:p w:rsidR="00B20392" w:rsidRPr="00603CC4" w:rsidRDefault="00945A32" w:rsidP="00603CC4">
            <w:pPr>
              <w:spacing w:after="0" w:line="240" w:lineRule="auto"/>
            </w:pPr>
            <w:r>
              <w:t>N</w:t>
            </w:r>
          </w:p>
        </w:tc>
        <w:tc>
          <w:tcPr>
            <w:tcW w:w="708" w:type="dxa"/>
            <w:vAlign w:val="center"/>
          </w:tcPr>
          <w:p w:rsidR="00B20392" w:rsidRPr="00603CC4" w:rsidRDefault="00B20392" w:rsidP="00603CC4">
            <w:pPr>
              <w:spacing w:after="0" w:line="240" w:lineRule="auto"/>
            </w:pPr>
          </w:p>
        </w:tc>
        <w:tc>
          <w:tcPr>
            <w:tcW w:w="596" w:type="dxa"/>
            <w:vAlign w:val="center"/>
          </w:tcPr>
          <w:p w:rsidR="00B20392" w:rsidRPr="00603CC4" w:rsidRDefault="00B20392" w:rsidP="00603CC4">
            <w:pPr>
              <w:spacing w:after="0" w:line="240" w:lineRule="auto"/>
            </w:pPr>
          </w:p>
        </w:tc>
        <w:tc>
          <w:tcPr>
            <w:tcW w:w="6396" w:type="dxa"/>
            <w:vAlign w:val="center"/>
          </w:tcPr>
          <w:p w:rsidR="00B20392" w:rsidRPr="00EF5876" w:rsidRDefault="00B20392" w:rsidP="00603CC4">
            <w:pPr>
              <w:spacing w:before="100" w:beforeAutospacing="1" w:after="100" w:afterAutospacing="1" w:line="240" w:lineRule="auto"/>
              <w:rPr>
                <w:lang w:eastAsia="sk-SK"/>
              </w:rPr>
            </w:pPr>
            <w:r w:rsidRPr="00EF5876">
              <w:rPr>
                <w:lang w:eastAsia="sk-SK"/>
              </w:rPr>
              <w:t>REGISTER  ÚDAJOV O STREDNE V</w:t>
            </w:r>
            <w:r w:rsidR="00EE10DB">
              <w:rPr>
                <w:lang w:eastAsia="sk-SK"/>
              </w:rPr>
              <w:t>EĽKÝCH SPAĽOVACÍCH ZARIADENIACH</w:t>
            </w:r>
          </w:p>
        </w:tc>
        <w:tc>
          <w:tcPr>
            <w:tcW w:w="508" w:type="dxa"/>
            <w:tcBorders>
              <w:bottom w:val="nil"/>
            </w:tcBorders>
            <w:vAlign w:val="center"/>
          </w:tcPr>
          <w:p w:rsidR="00B20392" w:rsidRPr="00603CC4" w:rsidRDefault="00B20392" w:rsidP="00603CC4">
            <w:pPr>
              <w:spacing w:after="0" w:line="240" w:lineRule="auto"/>
            </w:pPr>
          </w:p>
        </w:tc>
        <w:tc>
          <w:tcPr>
            <w:tcW w:w="508" w:type="dxa"/>
            <w:tcBorders>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jc w:val="center"/>
            </w:pPr>
            <w:r w:rsidRPr="00603CC4">
              <w:t>O:1</w:t>
            </w:r>
          </w:p>
        </w:tc>
        <w:tc>
          <w:tcPr>
            <w:tcW w:w="5771" w:type="dxa"/>
            <w:vAlign w:val="center"/>
          </w:tcPr>
          <w:p w:rsidR="00B20392" w:rsidRPr="00603CC4" w:rsidRDefault="00B20392" w:rsidP="00603CC4">
            <w:pPr>
              <w:spacing w:after="0" w:line="240" w:lineRule="auto"/>
              <w:jc w:val="both"/>
              <w:rPr>
                <w:lang w:eastAsia="sk-SK"/>
              </w:rPr>
            </w:pPr>
            <w:r w:rsidRPr="00603CC4">
              <w:rPr>
                <w:lang w:eastAsia="sk-SK"/>
              </w:rPr>
              <w:t>Menovitý tepelný príkon (MW) stredne ve</w:t>
            </w:r>
            <w:r w:rsidR="00EE10DB">
              <w:rPr>
                <w:lang w:eastAsia="sk-SK"/>
              </w:rPr>
              <w:t xml:space="preserve">ľkého spaľovacieho zariadenia; </w:t>
            </w:r>
          </w:p>
        </w:tc>
        <w:tc>
          <w:tcPr>
            <w:tcW w:w="397" w:type="dxa"/>
            <w:vAlign w:val="center"/>
          </w:tcPr>
          <w:p w:rsidR="00B20392" w:rsidRPr="00603CC4" w:rsidRDefault="00945A32" w:rsidP="00603CC4">
            <w:pPr>
              <w:spacing w:after="0" w:line="240" w:lineRule="auto"/>
            </w:pPr>
            <w:r>
              <w:t>N</w:t>
            </w:r>
          </w:p>
        </w:tc>
        <w:tc>
          <w:tcPr>
            <w:tcW w:w="708" w:type="dxa"/>
            <w:vAlign w:val="center"/>
          </w:tcPr>
          <w:p w:rsidR="00B20392" w:rsidRPr="00603CC4" w:rsidRDefault="00B20392" w:rsidP="00603CC4">
            <w:pPr>
              <w:spacing w:after="0" w:line="240" w:lineRule="auto"/>
            </w:pPr>
            <w:r w:rsidRPr="00603CC4">
              <w:t>V</w:t>
            </w:r>
          </w:p>
          <w:p w:rsidR="00B20392" w:rsidRPr="00603CC4" w:rsidRDefault="00FB4987" w:rsidP="00603CC4">
            <w:pPr>
              <w:spacing w:after="0" w:line="240" w:lineRule="auto"/>
            </w:pPr>
            <w:r>
              <w:t>231</w:t>
            </w:r>
          </w:p>
          <w:p w:rsidR="00B20392" w:rsidRPr="00603CC4" w:rsidRDefault="00B20392" w:rsidP="00603CC4">
            <w:pPr>
              <w:spacing w:after="0" w:line="240" w:lineRule="auto"/>
            </w:pPr>
          </w:p>
        </w:tc>
        <w:tc>
          <w:tcPr>
            <w:tcW w:w="596" w:type="dxa"/>
            <w:vAlign w:val="center"/>
          </w:tcPr>
          <w:p w:rsidR="00B20392" w:rsidRPr="00603CC4" w:rsidRDefault="00B20392" w:rsidP="00603CC4">
            <w:pPr>
              <w:spacing w:after="0" w:line="240" w:lineRule="auto"/>
            </w:pPr>
            <w:r w:rsidRPr="00603CC4">
              <w:t>Pr</w:t>
            </w:r>
            <w:r w:rsidR="00350F06">
              <w:t>:</w:t>
            </w:r>
            <w:r w:rsidRPr="00603CC4">
              <w:t>1</w:t>
            </w:r>
          </w:p>
          <w:p w:rsidR="00B20392" w:rsidRPr="00603CC4" w:rsidRDefault="00B20392" w:rsidP="00603CC4">
            <w:pPr>
              <w:spacing w:after="0" w:line="240" w:lineRule="auto"/>
            </w:pPr>
            <w:r w:rsidRPr="00603CC4">
              <w:t>B</w:t>
            </w:r>
            <w:r w:rsidR="00350F06">
              <w:t>:</w:t>
            </w:r>
            <w:r w:rsidRPr="00603CC4">
              <w:t>1</w:t>
            </w:r>
          </w:p>
        </w:tc>
        <w:tc>
          <w:tcPr>
            <w:tcW w:w="6396" w:type="dxa"/>
            <w:vAlign w:val="center"/>
          </w:tcPr>
          <w:p w:rsidR="00B20392" w:rsidRPr="00EF5876" w:rsidRDefault="00B20392" w:rsidP="00603CC4">
            <w:pPr>
              <w:spacing w:after="0" w:line="240" w:lineRule="auto"/>
            </w:pPr>
            <w:r w:rsidRPr="00EF5876">
              <w:rPr>
                <w:lang w:eastAsia="sk-SK"/>
              </w:rPr>
              <w:t xml:space="preserve">menovitý tepelný príkon (MW) </w:t>
            </w: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jc w:val="center"/>
            </w:pPr>
            <w:r w:rsidRPr="00603CC4">
              <w:t>O:2</w:t>
            </w:r>
          </w:p>
        </w:tc>
        <w:tc>
          <w:tcPr>
            <w:tcW w:w="5771" w:type="dxa"/>
            <w:vAlign w:val="center"/>
          </w:tcPr>
          <w:p w:rsidR="00B20392" w:rsidRPr="00603CC4" w:rsidRDefault="00B20392" w:rsidP="00603CC4">
            <w:pPr>
              <w:spacing w:after="0" w:line="240" w:lineRule="auto"/>
              <w:jc w:val="both"/>
              <w:rPr>
                <w:lang w:eastAsia="sk-SK"/>
              </w:rPr>
            </w:pPr>
            <w:r w:rsidRPr="00603CC4">
              <w:rPr>
                <w:lang w:eastAsia="sk-SK"/>
              </w:rPr>
              <w:t>typ stredne veľkého spaľovacieho zariadenia (naftový motor, plynová turbína, dvojpalivový motor, iný motor alebo iné stredne</w:t>
            </w:r>
            <w:r w:rsidR="00EE10DB">
              <w:rPr>
                <w:lang w:eastAsia="sk-SK"/>
              </w:rPr>
              <w:t xml:space="preserve"> veľké spaľovacie zariadenie); </w:t>
            </w:r>
          </w:p>
        </w:tc>
        <w:tc>
          <w:tcPr>
            <w:tcW w:w="397" w:type="dxa"/>
            <w:vAlign w:val="center"/>
          </w:tcPr>
          <w:p w:rsidR="00B20392" w:rsidRPr="00603CC4" w:rsidRDefault="00945A32" w:rsidP="00603CC4">
            <w:pPr>
              <w:spacing w:after="0" w:line="240" w:lineRule="auto"/>
            </w:pPr>
            <w:r>
              <w:t>N</w:t>
            </w:r>
          </w:p>
        </w:tc>
        <w:tc>
          <w:tcPr>
            <w:tcW w:w="708" w:type="dxa"/>
            <w:vAlign w:val="center"/>
          </w:tcPr>
          <w:p w:rsidR="00B20392" w:rsidRPr="00603CC4" w:rsidRDefault="00B20392" w:rsidP="00603CC4">
            <w:pPr>
              <w:spacing w:after="0" w:line="240" w:lineRule="auto"/>
            </w:pPr>
            <w:r w:rsidRPr="00603CC4">
              <w:t>V</w:t>
            </w:r>
            <w:r w:rsidR="00FB4987">
              <w:t>231</w:t>
            </w:r>
          </w:p>
        </w:tc>
        <w:tc>
          <w:tcPr>
            <w:tcW w:w="596" w:type="dxa"/>
            <w:vAlign w:val="center"/>
          </w:tcPr>
          <w:p w:rsidR="00B20392" w:rsidRPr="00603CC4" w:rsidRDefault="00B20392" w:rsidP="00603CC4">
            <w:pPr>
              <w:spacing w:after="0" w:line="240" w:lineRule="auto"/>
            </w:pPr>
            <w:r w:rsidRPr="00603CC4">
              <w:t>Pr</w:t>
            </w:r>
            <w:r w:rsidR="00350F06">
              <w:t>:</w:t>
            </w:r>
            <w:r w:rsidRPr="00603CC4">
              <w:t>1</w:t>
            </w:r>
          </w:p>
          <w:p w:rsidR="00B20392" w:rsidRPr="00603CC4" w:rsidRDefault="00B20392" w:rsidP="00603CC4">
            <w:pPr>
              <w:spacing w:after="0" w:line="240" w:lineRule="auto"/>
            </w:pPr>
            <w:r w:rsidRPr="00603CC4">
              <w:t>B</w:t>
            </w:r>
            <w:r w:rsidR="00350F06">
              <w:t>:</w:t>
            </w:r>
            <w:r w:rsidRPr="00603CC4">
              <w:t>2</w:t>
            </w:r>
          </w:p>
        </w:tc>
        <w:tc>
          <w:tcPr>
            <w:tcW w:w="6396" w:type="dxa"/>
            <w:vAlign w:val="center"/>
          </w:tcPr>
          <w:tbl>
            <w:tblPr>
              <w:tblW w:w="5000" w:type="pct"/>
              <w:tblCellSpacing w:w="0" w:type="dxa"/>
              <w:tblLayout w:type="fixed"/>
              <w:tblCellMar>
                <w:left w:w="0" w:type="dxa"/>
                <w:right w:w="0" w:type="dxa"/>
              </w:tblCellMar>
              <w:tblLook w:val="00A0" w:firstRow="1" w:lastRow="0" w:firstColumn="1" w:lastColumn="0" w:noHBand="0" w:noVBand="0"/>
            </w:tblPr>
            <w:tblGrid>
              <w:gridCol w:w="227"/>
              <w:gridCol w:w="5953"/>
            </w:tblGrid>
            <w:tr w:rsidR="00B20392" w:rsidRPr="00EF5876">
              <w:trPr>
                <w:tblCellSpacing w:w="0" w:type="dxa"/>
              </w:trPr>
              <w:tc>
                <w:tcPr>
                  <w:tcW w:w="168" w:type="dxa"/>
                </w:tcPr>
                <w:p w:rsidR="00B20392" w:rsidRPr="00EF5876" w:rsidRDefault="00B20392" w:rsidP="00D4510D">
                  <w:pPr>
                    <w:spacing w:before="100" w:beforeAutospacing="1" w:after="100" w:afterAutospacing="1"/>
                    <w:ind w:left="284" w:hanging="284"/>
                    <w:rPr>
                      <w:lang w:eastAsia="sk-SK"/>
                    </w:rPr>
                  </w:pPr>
                  <w:r w:rsidRPr="00EF5876">
                    <w:rPr>
                      <w:lang w:eastAsia="sk-SK"/>
                    </w:rPr>
                    <w:t>2.</w:t>
                  </w:r>
                </w:p>
              </w:tc>
              <w:tc>
                <w:tcPr>
                  <w:tcW w:w="4404" w:type="dxa"/>
                </w:tcPr>
                <w:p w:rsidR="00B20392" w:rsidRPr="00EF5876" w:rsidRDefault="00B20392" w:rsidP="0027667F">
                  <w:pPr>
                    <w:spacing w:before="100" w:beforeAutospacing="1" w:after="100" w:afterAutospacing="1"/>
                    <w:ind w:left="104" w:hanging="104"/>
                    <w:rPr>
                      <w:lang w:eastAsia="sk-SK"/>
                    </w:rPr>
                  </w:pPr>
                  <w:r w:rsidRPr="00EF5876">
                    <w:rPr>
                      <w:lang w:eastAsia="sk-SK"/>
                    </w:rPr>
                    <w:t xml:space="preserve"> typ (naftový motor, plynová turbína, dvojpalivový motor, iný motor alebo iné stredne veľké spaľovacie zariadenie),</w:t>
                  </w:r>
                </w:p>
              </w:tc>
            </w:tr>
          </w:tbl>
          <w:p w:rsidR="00B20392" w:rsidRPr="00EF5876" w:rsidRDefault="00B20392" w:rsidP="00603CC4">
            <w:pPr>
              <w:spacing w:after="0" w:line="240" w:lineRule="auto"/>
              <w:ind w:left="284" w:hanging="284"/>
              <w:rPr>
                <w:vanish/>
                <w:lang w:eastAsia="sk-SK"/>
              </w:rPr>
            </w:pPr>
          </w:p>
          <w:tbl>
            <w:tblPr>
              <w:tblW w:w="5000" w:type="pct"/>
              <w:tblCellSpacing w:w="0" w:type="dxa"/>
              <w:tblLayout w:type="fixed"/>
              <w:tblCellMar>
                <w:left w:w="0" w:type="dxa"/>
                <w:right w:w="0" w:type="dxa"/>
              </w:tblCellMar>
              <w:tblLook w:val="00A0" w:firstRow="1" w:lastRow="0" w:firstColumn="1" w:lastColumn="0" w:noHBand="0" w:noVBand="0"/>
            </w:tblPr>
            <w:tblGrid>
              <w:gridCol w:w="3090"/>
              <w:gridCol w:w="3090"/>
            </w:tblGrid>
            <w:tr w:rsidR="00B20392" w:rsidRPr="00EF5876">
              <w:trPr>
                <w:tblCellSpacing w:w="0" w:type="dxa"/>
              </w:trPr>
              <w:tc>
                <w:tcPr>
                  <w:tcW w:w="2286" w:type="dxa"/>
                </w:tcPr>
                <w:p w:rsidR="00B20392" w:rsidRPr="00EF5876" w:rsidRDefault="00B20392" w:rsidP="00D4510D">
                  <w:pPr>
                    <w:spacing w:before="100" w:beforeAutospacing="1" w:after="100" w:afterAutospacing="1"/>
                    <w:ind w:left="284" w:hanging="284"/>
                    <w:rPr>
                      <w:lang w:eastAsia="sk-SK"/>
                    </w:rPr>
                  </w:pPr>
                </w:p>
              </w:tc>
              <w:tc>
                <w:tcPr>
                  <w:tcW w:w="2286" w:type="dxa"/>
                </w:tcPr>
                <w:p w:rsidR="00B20392" w:rsidRPr="00EF5876" w:rsidRDefault="00B20392" w:rsidP="00D4510D">
                  <w:pPr>
                    <w:spacing w:before="100" w:beforeAutospacing="1" w:after="100" w:afterAutospacing="1"/>
                    <w:ind w:left="284" w:hanging="284"/>
                    <w:rPr>
                      <w:lang w:eastAsia="sk-SK"/>
                    </w:rPr>
                  </w:pPr>
                </w:p>
              </w:tc>
            </w:tr>
          </w:tbl>
          <w:p w:rsidR="00B20392" w:rsidRPr="00EF5876"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jc w:val="center"/>
            </w:pPr>
            <w:r w:rsidRPr="00603CC4">
              <w:t>O:3</w:t>
            </w:r>
          </w:p>
        </w:tc>
        <w:tc>
          <w:tcPr>
            <w:tcW w:w="5771" w:type="dxa"/>
            <w:vAlign w:val="center"/>
          </w:tcPr>
          <w:p w:rsidR="00B20392" w:rsidRPr="00603CC4" w:rsidRDefault="00B20392" w:rsidP="00603CC4">
            <w:pPr>
              <w:spacing w:after="0" w:line="240" w:lineRule="auto"/>
              <w:jc w:val="both"/>
              <w:rPr>
                <w:lang w:eastAsia="sk-SK"/>
              </w:rPr>
            </w:pPr>
            <w:r w:rsidRPr="00603CC4">
              <w:rPr>
                <w:lang w:eastAsia="sk-SK"/>
              </w:rPr>
              <w:t>typ a podiel použitých palív podľa kategórií p</w:t>
            </w:r>
            <w:r w:rsidR="00EE10DB">
              <w:rPr>
                <w:lang w:eastAsia="sk-SK"/>
              </w:rPr>
              <w:t xml:space="preserve">alív stanovených v prílohe II; </w:t>
            </w:r>
          </w:p>
        </w:tc>
        <w:tc>
          <w:tcPr>
            <w:tcW w:w="397" w:type="dxa"/>
            <w:vAlign w:val="center"/>
          </w:tcPr>
          <w:p w:rsidR="00B20392" w:rsidRPr="00603CC4" w:rsidRDefault="00945A32" w:rsidP="00603CC4">
            <w:pPr>
              <w:spacing w:after="0" w:line="240" w:lineRule="auto"/>
            </w:pPr>
            <w:r>
              <w:t>N</w:t>
            </w:r>
          </w:p>
        </w:tc>
        <w:tc>
          <w:tcPr>
            <w:tcW w:w="708" w:type="dxa"/>
            <w:vAlign w:val="center"/>
          </w:tcPr>
          <w:p w:rsidR="00B20392" w:rsidRPr="00603CC4" w:rsidRDefault="00B20392" w:rsidP="00603CC4">
            <w:pPr>
              <w:spacing w:after="0" w:line="240" w:lineRule="auto"/>
            </w:pPr>
            <w:r w:rsidRPr="00603CC4">
              <w:t>V</w:t>
            </w:r>
            <w:r w:rsidR="00FB4987">
              <w:t>231</w:t>
            </w:r>
          </w:p>
        </w:tc>
        <w:tc>
          <w:tcPr>
            <w:tcW w:w="596" w:type="dxa"/>
            <w:vAlign w:val="center"/>
          </w:tcPr>
          <w:p w:rsidR="00B20392" w:rsidRPr="00603CC4" w:rsidRDefault="00B20392" w:rsidP="00603CC4">
            <w:pPr>
              <w:spacing w:after="0" w:line="240" w:lineRule="auto"/>
            </w:pPr>
            <w:r w:rsidRPr="00603CC4">
              <w:t>Pr</w:t>
            </w:r>
            <w:r w:rsidR="00350F06">
              <w:t>:</w:t>
            </w:r>
            <w:r w:rsidRPr="00603CC4">
              <w:t>1</w:t>
            </w:r>
          </w:p>
          <w:p w:rsidR="00B20392" w:rsidRPr="00603CC4" w:rsidRDefault="00B20392" w:rsidP="00603CC4">
            <w:pPr>
              <w:spacing w:after="0" w:line="240" w:lineRule="auto"/>
            </w:pPr>
            <w:r w:rsidRPr="00603CC4">
              <w:t>B</w:t>
            </w:r>
            <w:r w:rsidR="00350F06">
              <w:t>:</w:t>
            </w:r>
            <w:r w:rsidRPr="00603CC4">
              <w:t>3</w:t>
            </w:r>
          </w:p>
        </w:tc>
        <w:tc>
          <w:tcPr>
            <w:tcW w:w="6396" w:type="dxa"/>
            <w:vAlign w:val="center"/>
          </w:tcPr>
          <w:p w:rsidR="00B20392" w:rsidRPr="00EF5876" w:rsidRDefault="00B20392" w:rsidP="00603CC4">
            <w:pPr>
              <w:spacing w:after="0" w:line="240" w:lineRule="auto"/>
            </w:pPr>
            <w:r w:rsidRPr="00EF5876">
              <w:rPr>
                <w:lang w:eastAsia="sk-SK"/>
              </w:rPr>
              <w:t>typ a podiel použitých palív podľa druhu palív,</w:t>
            </w: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jc w:val="center"/>
            </w:pPr>
            <w:r w:rsidRPr="00603CC4">
              <w:t>O:4</w:t>
            </w:r>
          </w:p>
        </w:tc>
        <w:tc>
          <w:tcPr>
            <w:tcW w:w="5771" w:type="dxa"/>
            <w:vAlign w:val="center"/>
          </w:tcPr>
          <w:p w:rsidR="00B20392" w:rsidRPr="00603CC4" w:rsidRDefault="00B20392" w:rsidP="00603CC4">
            <w:pPr>
              <w:spacing w:after="0" w:line="240" w:lineRule="auto"/>
              <w:jc w:val="both"/>
              <w:rPr>
                <w:lang w:eastAsia="sk-SK"/>
              </w:rPr>
            </w:pPr>
            <w:r w:rsidRPr="00603CC4">
              <w:rPr>
                <w:lang w:eastAsia="sk-SK"/>
              </w:rPr>
              <w:t>dátum spustenia prevádzky stredne veľkého spaľovacieho zariadenia, alebo ak presný dátum začatia prevádzky nie je známy, dôkaz o skutočnosti, že prevádzka bola spuste</w:t>
            </w:r>
            <w:r w:rsidR="00EE10DB">
              <w:rPr>
                <w:lang w:eastAsia="sk-SK"/>
              </w:rPr>
              <w:t xml:space="preserve">ná skôr ako 20. decembra 2018; </w:t>
            </w:r>
          </w:p>
        </w:tc>
        <w:tc>
          <w:tcPr>
            <w:tcW w:w="397" w:type="dxa"/>
            <w:vAlign w:val="center"/>
          </w:tcPr>
          <w:p w:rsidR="00B20392" w:rsidRPr="00603CC4" w:rsidRDefault="00945A32" w:rsidP="00603CC4">
            <w:pPr>
              <w:spacing w:after="0" w:line="240" w:lineRule="auto"/>
            </w:pPr>
            <w:r>
              <w:t>N</w:t>
            </w:r>
          </w:p>
        </w:tc>
        <w:tc>
          <w:tcPr>
            <w:tcW w:w="708" w:type="dxa"/>
            <w:vAlign w:val="center"/>
          </w:tcPr>
          <w:p w:rsidR="00B20392" w:rsidRPr="00603CC4" w:rsidRDefault="00B20392" w:rsidP="00603CC4">
            <w:pPr>
              <w:spacing w:after="0" w:line="240" w:lineRule="auto"/>
            </w:pPr>
            <w:r w:rsidRPr="00603CC4">
              <w:t>V</w:t>
            </w:r>
            <w:r w:rsidR="00FB4987">
              <w:t>231</w:t>
            </w:r>
          </w:p>
        </w:tc>
        <w:tc>
          <w:tcPr>
            <w:tcW w:w="596" w:type="dxa"/>
            <w:vAlign w:val="center"/>
          </w:tcPr>
          <w:p w:rsidR="00B20392" w:rsidRPr="00603CC4" w:rsidRDefault="00350F06" w:rsidP="00603CC4">
            <w:pPr>
              <w:spacing w:after="0" w:line="240" w:lineRule="auto"/>
            </w:pPr>
            <w:r>
              <w:t>Pr:</w:t>
            </w:r>
            <w:r w:rsidR="00B20392" w:rsidRPr="00603CC4">
              <w:t>1</w:t>
            </w:r>
          </w:p>
          <w:p w:rsidR="00B20392" w:rsidRPr="00603CC4" w:rsidRDefault="00B20392" w:rsidP="00603CC4">
            <w:pPr>
              <w:spacing w:after="0" w:line="240" w:lineRule="auto"/>
            </w:pPr>
            <w:r w:rsidRPr="00603CC4">
              <w:t>B</w:t>
            </w:r>
            <w:r w:rsidR="00350F06">
              <w:t>:</w:t>
            </w:r>
            <w:r w:rsidRPr="00603CC4">
              <w:t>4</w:t>
            </w:r>
          </w:p>
        </w:tc>
        <w:tc>
          <w:tcPr>
            <w:tcW w:w="6396" w:type="dxa"/>
            <w:vAlign w:val="center"/>
          </w:tcPr>
          <w:p w:rsidR="00B20392" w:rsidRPr="00EF5876" w:rsidRDefault="00B20392" w:rsidP="00603CC4">
            <w:pPr>
              <w:spacing w:after="0" w:line="240" w:lineRule="auto"/>
            </w:pPr>
            <w:r w:rsidRPr="00EF5876">
              <w:rPr>
                <w:lang w:eastAsia="sk-SK"/>
              </w:rPr>
              <w:t>dátum uvedenia do prevádzky alebo ak presný dátum začatia prevádzky nie je známy, dôkaz o skutočnosti, že prevádzka bola uvedená do prevádzky skôr ako 20. decembra 2018,</w:t>
            </w: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jc w:val="center"/>
            </w:pPr>
            <w:r w:rsidRPr="00603CC4">
              <w:t>O:5</w:t>
            </w:r>
          </w:p>
        </w:tc>
        <w:tc>
          <w:tcPr>
            <w:tcW w:w="5771" w:type="dxa"/>
            <w:vAlign w:val="center"/>
          </w:tcPr>
          <w:p w:rsidR="00B20392" w:rsidRPr="00603CC4" w:rsidRDefault="00B20392" w:rsidP="00603CC4">
            <w:pPr>
              <w:spacing w:after="0" w:line="240" w:lineRule="auto"/>
              <w:jc w:val="both"/>
              <w:rPr>
                <w:lang w:eastAsia="sk-SK"/>
              </w:rPr>
            </w:pPr>
            <w:r w:rsidRPr="00603CC4">
              <w:rPr>
                <w:lang w:eastAsia="sk-SK"/>
              </w:rPr>
              <w:t>sektor činnosti stredne veľkého spaľovacieho zariadenia alebo prevádzky, v</w:t>
            </w:r>
            <w:r w:rsidR="00EE10DB">
              <w:rPr>
                <w:lang w:eastAsia="sk-SK"/>
              </w:rPr>
              <w:t xml:space="preserve"> ktorej sa používa (kód NACE); </w:t>
            </w:r>
          </w:p>
        </w:tc>
        <w:tc>
          <w:tcPr>
            <w:tcW w:w="397" w:type="dxa"/>
            <w:vAlign w:val="center"/>
          </w:tcPr>
          <w:p w:rsidR="00B20392" w:rsidRPr="00603CC4" w:rsidRDefault="00945A32" w:rsidP="00603CC4">
            <w:pPr>
              <w:spacing w:after="0" w:line="240" w:lineRule="auto"/>
            </w:pPr>
            <w:r>
              <w:t>N</w:t>
            </w:r>
          </w:p>
        </w:tc>
        <w:tc>
          <w:tcPr>
            <w:tcW w:w="708" w:type="dxa"/>
            <w:vAlign w:val="center"/>
          </w:tcPr>
          <w:p w:rsidR="00B20392" w:rsidRPr="00603CC4" w:rsidRDefault="00B20392" w:rsidP="00603CC4">
            <w:pPr>
              <w:spacing w:after="0" w:line="240" w:lineRule="auto"/>
            </w:pPr>
            <w:r w:rsidRPr="00603CC4">
              <w:t>V</w:t>
            </w:r>
            <w:r w:rsidR="00FB4987">
              <w:t>231</w:t>
            </w:r>
          </w:p>
        </w:tc>
        <w:tc>
          <w:tcPr>
            <w:tcW w:w="596" w:type="dxa"/>
            <w:vAlign w:val="center"/>
          </w:tcPr>
          <w:p w:rsidR="00B20392" w:rsidRPr="00603CC4" w:rsidRDefault="00350F06" w:rsidP="00603CC4">
            <w:pPr>
              <w:spacing w:after="0" w:line="240" w:lineRule="auto"/>
            </w:pPr>
            <w:r>
              <w:t>Pr:</w:t>
            </w:r>
            <w:r w:rsidR="00B20392" w:rsidRPr="00603CC4">
              <w:t>1</w:t>
            </w:r>
          </w:p>
          <w:p w:rsidR="00B20392" w:rsidRPr="00603CC4" w:rsidRDefault="00B20392" w:rsidP="00603CC4">
            <w:pPr>
              <w:spacing w:after="0" w:line="240" w:lineRule="auto"/>
            </w:pPr>
            <w:r w:rsidRPr="00603CC4">
              <w:t>B</w:t>
            </w:r>
            <w:r w:rsidR="00350F06">
              <w:t>:</w:t>
            </w:r>
            <w:r w:rsidRPr="00603CC4">
              <w:t>5</w:t>
            </w:r>
          </w:p>
        </w:tc>
        <w:tc>
          <w:tcPr>
            <w:tcW w:w="6396" w:type="dxa"/>
            <w:vAlign w:val="center"/>
          </w:tcPr>
          <w:p w:rsidR="00B20392" w:rsidRPr="00EF5876" w:rsidRDefault="00B20392" w:rsidP="00603CC4">
            <w:pPr>
              <w:spacing w:after="0" w:line="240" w:lineRule="auto"/>
            </w:pPr>
            <w:r w:rsidRPr="00EF5876">
              <w:rPr>
                <w:lang w:eastAsia="sk-SK"/>
              </w:rPr>
              <w:t>sektor činnosti zariadenia alebo prevádzky, v ktorej sa používa (kód NACE),</w:t>
            </w: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pPr>
            <w:r w:rsidRPr="00603CC4">
              <w:t xml:space="preserve">   O:6</w:t>
            </w:r>
          </w:p>
        </w:tc>
        <w:tc>
          <w:tcPr>
            <w:tcW w:w="5771" w:type="dxa"/>
            <w:vAlign w:val="center"/>
          </w:tcPr>
          <w:p w:rsidR="00B20392" w:rsidRPr="00EE10DB" w:rsidRDefault="00B20392" w:rsidP="00EE10DB">
            <w:pPr>
              <w:spacing w:after="0" w:line="240" w:lineRule="auto"/>
              <w:jc w:val="both"/>
              <w:rPr>
                <w:lang w:eastAsia="sk-SK"/>
              </w:rPr>
            </w:pPr>
            <w:r w:rsidRPr="00603CC4">
              <w:rPr>
                <w:lang w:eastAsia="sk-SK"/>
              </w:rPr>
              <w:t>Očakávaný počet prevádzkových hodín stredne veľkého spaľovacieho zariadenia za rok a pr</w:t>
            </w:r>
            <w:r w:rsidR="00EE10DB">
              <w:rPr>
                <w:lang w:eastAsia="sk-SK"/>
              </w:rPr>
              <w:t xml:space="preserve">iemerné zaťaženie v prevádzke; </w:t>
            </w:r>
          </w:p>
        </w:tc>
        <w:tc>
          <w:tcPr>
            <w:tcW w:w="397" w:type="dxa"/>
            <w:vAlign w:val="center"/>
          </w:tcPr>
          <w:p w:rsidR="00B20392" w:rsidRPr="00603CC4" w:rsidRDefault="00945A32" w:rsidP="00603CC4">
            <w:pPr>
              <w:spacing w:after="0" w:line="240" w:lineRule="auto"/>
            </w:pPr>
            <w:r>
              <w:t>N</w:t>
            </w:r>
          </w:p>
        </w:tc>
        <w:tc>
          <w:tcPr>
            <w:tcW w:w="708" w:type="dxa"/>
            <w:vAlign w:val="center"/>
          </w:tcPr>
          <w:p w:rsidR="00B20392" w:rsidRPr="00603CC4" w:rsidRDefault="00B20392" w:rsidP="00603CC4">
            <w:pPr>
              <w:spacing w:after="0" w:line="240" w:lineRule="auto"/>
            </w:pPr>
            <w:r w:rsidRPr="00603CC4">
              <w:t>V</w:t>
            </w:r>
            <w:r w:rsidR="00FB4987">
              <w:t>231</w:t>
            </w:r>
          </w:p>
        </w:tc>
        <w:tc>
          <w:tcPr>
            <w:tcW w:w="596" w:type="dxa"/>
            <w:vAlign w:val="center"/>
          </w:tcPr>
          <w:p w:rsidR="00B20392" w:rsidRPr="00603CC4" w:rsidRDefault="00B20392" w:rsidP="00603CC4">
            <w:pPr>
              <w:spacing w:after="0" w:line="240" w:lineRule="auto"/>
            </w:pPr>
            <w:r w:rsidRPr="00603CC4">
              <w:t>Pr</w:t>
            </w:r>
            <w:r w:rsidR="00350F06">
              <w:t>:</w:t>
            </w:r>
            <w:r w:rsidRPr="00603CC4">
              <w:t>1</w:t>
            </w:r>
          </w:p>
          <w:p w:rsidR="00B20392" w:rsidRPr="00603CC4" w:rsidRDefault="00B20392" w:rsidP="00603CC4">
            <w:pPr>
              <w:spacing w:after="0" w:line="240" w:lineRule="auto"/>
            </w:pPr>
            <w:r w:rsidRPr="00603CC4">
              <w:t>B</w:t>
            </w:r>
            <w:r w:rsidR="00350F06">
              <w:t>:</w:t>
            </w:r>
            <w:r w:rsidRPr="00603CC4">
              <w:t>6</w:t>
            </w:r>
          </w:p>
        </w:tc>
        <w:tc>
          <w:tcPr>
            <w:tcW w:w="6396" w:type="dxa"/>
            <w:vAlign w:val="center"/>
          </w:tcPr>
          <w:tbl>
            <w:tblPr>
              <w:tblW w:w="5000" w:type="pct"/>
              <w:tblCellSpacing w:w="0" w:type="dxa"/>
              <w:tblLayout w:type="fixed"/>
              <w:tblCellMar>
                <w:left w:w="0" w:type="dxa"/>
                <w:right w:w="0" w:type="dxa"/>
              </w:tblCellMar>
              <w:tblLook w:val="00A0" w:firstRow="1" w:lastRow="0" w:firstColumn="1" w:lastColumn="0" w:noHBand="0" w:noVBand="0"/>
            </w:tblPr>
            <w:tblGrid>
              <w:gridCol w:w="227"/>
              <w:gridCol w:w="5953"/>
            </w:tblGrid>
            <w:tr w:rsidR="00B20392" w:rsidRPr="00EF5876">
              <w:trPr>
                <w:tblCellSpacing w:w="0" w:type="dxa"/>
              </w:trPr>
              <w:tc>
                <w:tcPr>
                  <w:tcW w:w="168" w:type="dxa"/>
                </w:tcPr>
                <w:p w:rsidR="00B20392" w:rsidRPr="00EF5876" w:rsidRDefault="00B20392" w:rsidP="00D4510D">
                  <w:pPr>
                    <w:spacing w:before="100" w:beforeAutospacing="1" w:after="100" w:afterAutospacing="1"/>
                    <w:ind w:left="284" w:hanging="284"/>
                    <w:rPr>
                      <w:lang w:eastAsia="sk-SK"/>
                    </w:rPr>
                  </w:pPr>
                  <w:r w:rsidRPr="00EF5876">
                    <w:rPr>
                      <w:lang w:eastAsia="sk-SK"/>
                    </w:rPr>
                    <w:t>6.</w:t>
                  </w:r>
                </w:p>
              </w:tc>
              <w:tc>
                <w:tcPr>
                  <w:tcW w:w="4404" w:type="dxa"/>
                </w:tcPr>
                <w:p w:rsidR="00B20392" w:rsidRPr="00EF5876" w:rsidRDefault="00B20392" w:rsidP="00D4510D">
                  <w:pPr>
                    <w:spacing w:before="100" w:beforeAutospacing="1" w:after="100" w:afterAutospacing="1"/>
                    <w:ind w:left="104"/>
                    <w:rPr>
                      <w:lang w:eastAsia="sk-SK"/>
                    </w:rPr>
                  </w:pPr>
                  <w:r w:rsidRPr="00EF5876">
                    <w:rPr>
                      <w:lang w:eastAsia="sk-SK"/>
                    </w:rPr>
                    <w:t>očakávaný počet prevádzkových hodín stredne veľkého spaľovacieho zariadenia za rok a priemerné zaťaženie v prevádzke,</w:t>
                  </w:r>
                </w:p>
              </w:tc>
            </w:tr>
          </w:tbl>
          <w:p w:rsidR="00B20392" w:rsidRPr="00EF5876"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jc w:val="center"/>
            </w:pPr>
            <w:r w:rsidRPr="00603CC4">
              <w:t>O:7</w:t>
            </w:r>
          </w:p>
        </w:tc>
        <w:tc>
          <w:tcPr>
            <w:tcW w:w="5771" w:type="dxa"/>
            <w:vAlign w:val="center"/>
          </w:tcPr>
          <w:p w:rsidR="00B20392" w:rsidRPr="00EE10DB" w:rsidRDefault="00B20392" w:rsidP="00EE10DB">
            <w:pPr>
              <w:spacing w:after="0" w:line="240" w:lineRule="auto"/>
              <w:jc w:val="both"/>
              <w:rPr>
                <w:lang w:eastAsia="sk-SK"/>
              </w:rPr>
            </w:pPr>
            <w:r w:rsidRPr="00603CC4">
              <w:rPr>
                <w:lang w:eastAsia="sk-SK"/>
              </w:rPr>
              <w:t>kde sa uplatňuje možnosť oslobodenia podľa článku 6 ods. 3 alebo článku 6 ods. 8, vyhlásenie podpísané prevádzkovateľom o tom, že stredne veľké spaľovacie zariadenie nebude v prevádzke dlhšie, ako je počet hodín u</w:t>
            </w:r>
            <w:r w:rsidR="00EE10DB">
              <w:rPr>
                <w:lang w:eastAsia="sk-SK"/>
              </w:rPr>
              <w:t xml:space="preserve">vedený v týchto odsekoch; </w:t>
            </w:r>
          </w:p>
        </w:tc>
        <w:tc>
          <w:tcPr>
            <w:tcW w:w="397" w:type="dxa"/>
            <w:vAlign w:val="center"/>
          </w:tcPr>
          <w:p w:rsidR="00B20392" w:rsidRPr="00603CC4" w:rsidRDefault="00945A32" w:rsidP="00603CC4">
            <w:pPr>
              <w:spacing w:after="0" w:line="240" w:lineRule="auto"/>
            </w:pPr>
            <w:r>
              <w:t>N</w:t>
            </w:r>
          </w:p>
        </w:tc>
        <w:tc>
          <w:tcPr>
            <w:tcW w:w="708" w:type="dxa"/>
            <w:vAlign w:val="center"/>
          </w:tcPr>
          <w:p w:rsidR="00B20392" w:rsidRPr="00603CC4" w:rsidRDefault="00B20392" w:rsidP="00603CC4">
            <w:pPr>
              <w:spacing w:after="0" w:line="240" w:lineRule="auto"/>
            </w:pPr>
            <w:r w:rsidRPr="00603CC4">
              <w:t>V</w:t>
            </w:r>
            <w:r w:rsidR="00FB4987">
              <w:t>231</w:t>
            </w:r>
          </w:p>
        </w:tc>
        <w:tc>
          <w:tcPr>
            <w:tcW w:w="596" w:type="dxa"/>
            <w:vAlign w:val="center"/>
          </w:tcPr>
          <w:p w:rsidR="00B20392" w:rsidRPr="00603CC4" w:rsidRDefault="00350F06" w:rsidP="00603CC4">
            <w:pPr>
              <w:spacing w:after="0" w:line="240" w:lineRule="auto"/>
            </w:pPr>
            <w:r>
              <w:t>P:</w:t>
            </w:r>
            <w:r w:rsidR="00B20392" w:rsidRPr="00603CC4">
              <w:t>1</w:t>
            </w:r>
          </w:p>
          <w:p w:rsidR="00B20392" w:rsidRPr="00603CC4" w:rsidRDefault="00B20392" w:rsidP="00603CC4">
            <w:pPr>
              <w:spacing w:after="0" w:line="240" w:lineRule="auto"/>
            </w:pPr>
            <w:r w:rsidRPr="00603CC4">
              <w:t>B</w:t>
            </w:r>
            <w:r w:rsidR="00350F06">
              <w:t>:</w:t>
            </w:r>
            <w:r w:rsidRPr="00603CC4">
              <w:t>7</w:t>
            </w:r>
          </w:p>
        </w:tc>
        <w:tc>
          <w:tcPr>
            <w:tcW w:w="6396" w:type="dxa"/>
            <w:vAlign w:val="center"/>
          </w:tcPr>
          <w:tbl>
            <w:tblPr>
              <w:tblW w:w="5000" w:type="pct"/>
              <w:tblCellSpacing w:w="0" w:type="dxa"/>
              <w:tblLayout w:type="fixed"/>
              <w:tblCellMar>
                <w:left w:w="0" w:type="dxa"/>
                <w:right w:w="0" w:type="dxa"/>
              </w:tblCellMar>
              <w:tblLook w:val="00A0" w:firstRow="1" w:lastRow="0" w:firstColumn="1" w:lastColumn="0" w:noHBand="0" w:noVBand="0"/>
            </w:tblPr>
            <w:tblGrid>
              <w:gridCol w:w="227"/>
              <w:gridCol w:w="5953"/>
            </w:tblGrid>
            <w:tr w:rsidR="00B20392" w:rsidRPr="00EF5876">
              <w:trPr>
                <w:tblCellSpacing w:w="0" w:type="dxa"/>
              </w:trPr>
              <w:tc>
                <w:tcPr>
                  <w:tcW w:w="168" w:type="dxa"/>
                </w:tcPr>
                <w:p w:rsidR="00B20392" w:rsidRPr="00EF5876" w:rsidRDefault="00B20392" w:rsidP="00D4510D">
                  <w:pPr>
                    <w:spacing w:before="100" w:beforeAutospacing="1" w:after="100" w:afterAutospacing="1"/>
                    <w:ind w:left="284" w:hanging="284"/>
                    <w:rPr>
                      <w:lang w:eastAsia="sk-SK"/>
                    </w:rPr>
                  </w:pPr>
                  <w:r w:rsidRPr="00EF5876">
                    <w:rPr>
                      <w:lang w:eastAsia="sk-SK"/>
                    </w:rPr>
                    <w:t>7.</w:t>
                  </w:r>
                </w:p>
              </w:tc>
              <w:tc>
                <w:tcPr>
                  <w:tcW w:w="4404" w:type="dxa"/>
                </w:tcPr>
                <w:p w:rsidR="00B20392" w:rsidRPr="00EF5876" w:rsidRDefault="00B20392" w:rsidP="00D4510D">
                  <w:pPr>
                    <w:spacing w:before="100" w:beforeAutospacing="1" w:after="100" w:afterAutospacing="1"/>
                    <w:ind w:left="104" w:hanging="104"/>
                    <w:rPr>
                      <w:lang w:eastAsia="sk-SK"/>
                    </w:rPr>
                  </w:pPr>
                  <w:r w:rsidRPr="00EF5876">
                    <w:rPr>
                      <w:lang w:eastAsia="sk-SK"/>
                    </w:rPr>
                    <w:t xml:space="preserve"> ak ide o zariadenie, ktoré plánuje využívať obmedzený prevádzkový režim, vyhlásenie podpísané prevádzkovateľom o tom, že stredne veľké spaľovacie zariadenie nebude v prevádzke dlhšie, ako uvedený počet hodín,</w:t>
                  </w:r>
                </w:p>
              </w:tc>
            </w:tr>
          </w:tbl>
          <w:p w:rsidR="00B20392" w:rsidRPr="00EF5876"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tcBorders>
            <w:vAlign w:val="center"/>
          </w:tcPr>
          <w:p w:rsidR="00B20392" w:rsidRPr="00603CC4" w:rsidRDefault="00B20392" w:rsidP="00603CC4">
            <w:pPr>
              <w:spacing w:after="0" w:line="240" w:lineRule="auto"/>
              <w:jc w:val="center"/>
            </w:pPr>
            <w:r w:rsidRPr="00603CC4">
              <w:t>O:8</w:t>
            </w:r>
          </w:p>
        </w:tc>
        <w:tc>
          <w:tcPr>
            <w:tcW w:w="5771" w:type="dxa"/>
            <w:vAlign w:val="center"/>
          </w:tcPr>
          <w:p w:rsidR="00B20392" w:rsidRPr="00603CC4" w:rsidRDefault="00B20392" w:rsidP="00603CC4">
            <w:pPr>
              <w:spacing w:after="0" w:line="240" w:lineRule="auto"/>
              <w:jc w:val="both"/>
              <w:rPr>
                <w:lang w:eastAsia="sk-SK"/>
              </w:rPr>
            </w:pPr>
            <w:r w:rsidRPr="00603CC4">
              <w:rPr>
                <w:lang w:eastAsia="sk-SK"/>
              </w:rPr>
              <w:t xml:space="preserve">názov prevádzkovateľa a jeho sídlo a v prípade stacionárnych stredne veľkých spaľovacích zariadení adresa, </w:t>
            </w:r>
          </w:p>
          <w:p w:rsidR="00B20392" w:rsidRPr="00EE10DB" w:rsidRDefault="00B20392" w:rsidP="00EE10DB">
            <w:pPr>
              <w:spacing w:after="0" w:line="240" w:lineRule="auto"/>
              <w:jc w:val="both"/>
              <w:rPr>
                <w:lang w:eastAsia="sk-SK"/>
              </w:rPr>
            </w:pPr>
            <w:r w:rsidRPr="00603CC4">
              <w:rPr>
                <w:lang w:eastAsia="sk-SK"/>
              </w:rPr>
              <w:t xml:space="preserve">na </w:t>
            </w:r>
            <w:r w:rsidR="00EE10DB">
              <w:rPr>
                <w:lang w:eastAsia="sk-SK"/>
              </w:rPr>
              <w:t xml:space="preserve">ktorej sa zariadenie nachádza. </w:t>
            </w:r>
          </w:p>
        </w:tc>
        <w:tc>
          <w:tcPr>
            <w:tcW w:w="397" w:type="dxa"/>
            <w:vAlign w:val="center"/>
          </w:tcPr>
          <w:p w:rsidR="00B20392" w:rsidRPr="00603CC4" w:rsidRDefault="00945A32" w:rsidP="00603CC4">
            <w:pPr>
              <w:spacing w:after="0" w:line="240" w:lineRule="auto"/>
            </w:pPr>
            <w:r>
              <w:t>N</w:t>
            </w:r>
          </w:p>
        </w:tc>
        <w:tc>
          <w:tcPr>
            <w:tcW w:w="708" w:type="dxa"/>
            <w:vAlign w:val="center"/>
          </w:tcPr>
          <w:p w:rsidR="00B20392" w:rsidRPr="00603CC4" w:rsidRDefault="00B20392" w:rsidP="00603CC4">
            <w:pPr>
              <w:spacing w:after="0" w:line="240" w:lineRule="auto"/>
            </w:pPr>
            <w:r w:rsidRPr="00603CC4">
              <w:t>V</w:t>
            </w:r>
            <w:r w:rsidR="00FB4987">
              <w:t>231</w:t>
            </w:r>
          </w:p>
        </w:tc>
        <w:tc>
          <w:tcPr>
            <w:tcW w:w="596" w:type="dxa"/>
            <w:vAlign w:val="center"/>
          </w:tcPr>
          <w:p w:rsidR="00B20392" w:rsidRPr="00603CC4" w:rsidRDefault="00350F06" w:rsidP="00603CC4">
            <w:pPr>
              <w:spacing w:after="0" w:line="240" w:lineRule="auto"/>
            </w:pPr>
            <w:r>
              <w:t>Pr:</w:t>
            </w:r>
            <w:r w:rsidR="00B20392" w:rsidRPr="00603CC4">
              <w:t>1</w:t>
            </w:r>
          </w:p>
          <w:p w:rsidR="00B20392" w:rsidRPr="00603CC4" w:rsidRDefault="00B20392" w:rsidP="00603CC4">
            <w:pPr>
              <w:spacing w:after="0" w:line="240" w:lineRule="auto"/>
            </w:pPr>
            <w:r w:rsidRPr="00603CC4">
              <w:t>B</w:t>
            </w:r>
            <w:r w:rsidR="00350F06">
              <w:t>:</w:t>
            </w:r>
            <w:r w:rsidRPr="00603CC4">
              <w:t>8</w:t>
            </w:r>
          </w:p>
        </w:tc>
        <w:tc>
          <w:tcPr>
            <w:tcW w:w="6396" w:type="dxa"/>
            <w:vAlign w:val="center"/>
          </w:tcPr>
          <w:p w:rsidR="00B20392" w:rsidRPr="00EF5876" w:rsidRDefault="00B20392" w:rsidP="00603CC4">
            <w:pPr>
              <w:spacing w:after="0" w:line="240" w:lineRule="auto"/>
            </w:pPr>
            <w:r w:rsidRPr="00EF5876">
              <w:rPr>
                <w:lang w:eastAsia="sk-SK"/>
              </w:rPr>
              <w:t>názov prevádzkovateľa a jeho sídlo a adresa, na ktorej sa stredne veľké spaľovacie zariadenie nachádza.“</w:t>
            </w:r>
          </w:p>
        </w:tc>
        <w:tc>
          <w:tcPr>
            <w:tcW w:w="508" w:type="dxa"/>
            <w:tcBorders>
              <w:top w:val="nil"/>
            </w:tcBorders>
            <w:vAlign w:val="center"/>
          </w:tcPr>
          <w:p w:rsidR="00B20392" w:rsidRPr="00603CC4" w:rsidRDefault="00B20392" w:rsidP="00603CC4">
            <w:pPr>
              <w:spacing w:after="0" w:line="240" w:lineRule="auto"/>
            </w:pPr>
          </w:p>
        </w:tc>
        <w:tc>
          <w:tcPr>
            <w:tcW w:w="508" w:type="dxa"/>
            <w:tcBorders>
              <w:top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7368A9" w:rsidP="00603CC4">
            <w:pPr>
              <w:spacing w:after="0" w:line="240" w:lineRule="auto"/>
              <w:jc w:val="center"/>
            </w:pPr>
            <w:r w:rsidRPr="00603CC4">
              <w:t>Príloha 2</w:t>
            </w:r>
            <w:r w:rsidR="00B20392" w:rsidRPr="00603CC4">
              <w:t>O:1</w:t>
            </w: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p w:rsidR="00B20392" w:rsidRPr="00603CC4" w:rsidRDefault="00B20392" w:rsidP="00603CC4">
            <w:pPr>
              <w:spacing w:after="0" w:line="240" w:lineRule="auto"/>
            </w:pPr>
          </w:p>
        </w:tc>
        <w:tc>
          <w:tcPr>
            <w:tcW w:w="5771" w:type="dxa"/>
            <w:vAlign w:val="center"/>
          </w:tcPr>
          <w:p w:rsidR="007368A9" w:rsidRPr="00603CC4" w:rsidRDefault="007368A9" w:rsidP="007368A9">
            <w:pPr>
              <w:spacing w:after="0" w:line="240" w:lineRule="auto"/>
              <w:jc w:val="both"/>
              <w:rPr>
                <w:lang w:eastAsia="sk-SK"/>
              </w:rPr>
            </w:pPr>
            <w:r w:rsidRPr="00603CC4">
              <w:rPr>
                <w:lang w:eastAsia="sk-SK"/>
              </w:rPr>
              <w:lastRenderedPageBreak/>
              <w:t xml:space="preserve">Emisné limity podľa článku 6 </w:t>
            </w:r>
          </w:p>
          <w:p w:rsidR="00B20392" w:rsidRPr="00603CC4" w:rsidRDefault="00B20392" w:rsidP="00603CC4">
            <w:pPr>
              <w:spacing w:after="0" w:line="240" w:lineRule="auto"/>
              <w:jc w:val="both"/>
              <w:rPr>
                <w:lang w:eastAsia="sk-SK"/>
              </w:rPr>
            </w:pPr>
            <w:r w:rsidRPr="00603CC4">
              <w:rPr>
                <w:lang w:eastAsia="sk-SK"/>
              </w:rPr>
              <w:t xml:space="preserve">Všetky emisné limity stanovené v tejto prílohe sú vymedzené pri teplote 273,15 K, tlaku 101,3 kPa a po korekcii obsahu vodných pár v odpadových plynoch a pri štandardnom obsahu O2, ktorý predstavuje 6 % pre stredne </w:t>
            </w:r>
          </w:p>
          <w:p w:rsidR="00B20392" w:rsidRPr="00EE10DB" w:rsidRDefault="00B20392" w:rsidP="00EE10DB">
            <w:pPr>
              <w:spacing w:after="0" w:line="240" w:lineRule="auto"/>
              <w:jc w:val="both"/>
              <w:rPr>
                <w:lang w:eastAsia="sk-SK"/>
              </w:rPr>
            </w:pPr>
            <w:r w:rsidRPr="00603CC4">
              <w:rPr>
                <w:lang w:eastAsia="sk-SK"/>
              </w:rPr>
              <w:t xml:space="preserve">veľké spaľovacie zariadenia používajúce tuhé palivá, 3 % pre stredne veľké spaľovacie zariadenia iné ako motory a plynové </w:t>
            </w:r>
            <w:r w:rsidRPr="00603CC4">
              <w:rPr>
                <w:lang w:eastAsia="sk-SK"/>
              </w:rPr>
              <w:lastRenderedPageBreak/>
              <w:t>turbíny používajúce kvapalné a plynné palivá a 15 %</w:t>
            </w:r>
            <w:r w:rsidR="00EE10DB">
              <w:rPr>
                <w:lang w:eastAsia="sk-SK"/>
              </w:rPr>
              <w:t xml:space="preserve"> pre motory a plynové turbíny. </w:t>
            </w:r>
          </w:p>
        </w:tc>
        <w:tc>
          <w:tcPr>
            <w:tcW w:w="397" w:type="dxa"/>
            <w:vAlign w:val="center"/>
          </w:tcPr>
          <w:p w:rsidR="00B20392" w:rsidRPr="00603CC4" w:rsidRDefault="00945A32" w:rsidP="00603CC4">
            <w:pPr>
              <w:spacing w:after="0" w:line="240" w:lineRule="auto"/>
            </w:pPr>
            <w:r>
              <w:lastRenderedPageBreak/>
              <w:t>N</w:t>
            </w:r>
          </w:p>
        </w:tc>
        <w:tc>
          <w:tcPr>
            <w:tcW w:w="708" w:type="dxa"/>
            <w:vAlign w:val="center"/>
          </w:tcPr>
          <w:p w:rsidR="00B20392" w:rsidRPr="00603CC4" w:rsidRDefault="00FB4987" w:rsidP="00603CC4">
            <w:pPr>
              <w:spacing w:after="0" w:line="240" w:lineRule="auto"/>
            </w:pPr>
            <w:r>
              <w:t>N410</w:t>
            </w:r>
          </w:p>
        </w:tc>
        <w:tc>
          <w:tcPr>
            <w:tcW w:w="596" w:type="dxa"/>
            <w:vAlign w:val="center"/>
          </w:tcPr>
          <w:p w:rsidR="00B20392" w:rsidRDefault="00FB4987" w:rsidP="007D7E3B">
            <w:pPr>
              <w:spacing w:after="0" w:line="240" w:lineRule="auto"/>
              <w:ind w:right="-79"/>
            </w:pPr>
            <w:r>
              <w:t>Pr. 4</w:t>
            </w:r>
          </w:p>
          <w:p w:rsidR="00FB4987" w:rsidRPr="00603CC4" w:rsidRDefault="00FB4987" w:rsidP="007D7E3B">
            <w:pPr>
              <w:spacing w:after="0" w:line="240" w:lineRule="auto"/>
              <w:ind w:right="-79"/>
            </w:pPr>
            <w:r>
              <w:t>Časť IV</w:t>
            </w:r>
          </w:p>
        </w:tc>
        <w:tc>
          <w:tcPr>
            <w:tcW w:w="6396" w:type="dxa"/>
            <w:vAlign w:val="center"/>
          </w:tcPr>
          <w:p w:rsidR="00215280" w:rsidRPr="00EF5876" w:rsidRDefault="00215280" w:rsidP="00215280">
            <w:r w:rsidRPr="00EF5876">
              <w:t xml:space="preserve">Štandardné stavové podmienky, suchý plyn, </w:t>
            </w:r>
          </w:p>
          <w:p w:rsidR="00215280" w:rsidRPr="00EF5876" w:rsidRDefault="00215280" w:rsidP="00215280">
            <w:pPr>
              <w:spacing w:after="0" w:line="240" w:lineRule="auto"/>
            </w:pPr>
            <w:r w:rsidRPr="00EF5876">
              <w:t>Tuhé palivá vrátane biomasy: O</w:t>
            </w:r>
            <w:r w:rsidRPr="00EF5876">
              <w:rPr>
                <w:vertAlign w:val="subscript"/>
              </w:rPr>
              <w:t xml:space="preserve">2 </w:t>
            </w:r>
            <w:proofErr w:type="spellStart"/>
            <w:r w:rsidRPr="00EF5876">
              <w:rPr>
                <w:vertAlign w:val="subscript"/>
              </w:rPr>
              <w:t>ref</w:t>
            </w:r>
            <w:proofErr w:type="spellEnd"/>
            <w:r w:rsidRPr="00EF5876">
              <w:t>: 6 % objemu Kvapalné a plynné palivá: O</w:t>
            </w:r>
            <w:r w:rsidRPr="00EF5876">
              <w:rPr>
                <w:vertAlign w:val="subscript"/>
              </w:rPr>
              <w:t xml:space="preserve">2 </w:t>
            </w:r>
            <w:proofErr w:type="spellStart"/>
            <w:r w:rsidRPr="00EF5876">
              <w:rPr>
                <w:vertAlign w:val="subscript"/>
              </w:rPr>
              <w:t>ref</w:t>
            </w:r>
            <w:proofErr w:type="spellEnd"/>
            <w:r w:rsidRPr="00EF5876">
              <w:t>: 3 % objemu,</w:t>
            </w:r>
          </w:p>
          <w:p w:rsidR="00215280" w:rsidRPr="00EF5876" w:rsidRDefault="00215280" w:rsidP="00215280">
            <w:pPr>
              <w:spacing w:after="0" w:line="240" w:lineRule="auto"/>
            </w:pPr>
            <w:r w:rsidRPr="00EF5876">
              <w:t xml:space="preserve">Plynové turbíny a piestové spaľovacie motory </w:t>
            </w:r>
          </w:p>
          <w:p w:rsidR="00B20392" w:rsidRPr="00EF5876" w:rsidRDefault="00215280" w:rsidP="00215280">
            <w:pPr>
              <w:spacing w:after="0" w:line="240" w:lineRule="auto"/>
            </w:pPr>
            <w:r w:rsidRPr="00EF5876">
              <w:t xml:space="preserve"> Štandardné stavové podmienky, suchý plyn, O</w:t>
            </w:r>
            <w:r w:rsidRPr="00EF5876">
              <w:rPr>
                <w:vertAlign w:val="subscript"/>
              </w:rPr>
              <w:t xml:space="preserve">2 </w:t>
            </w:r>
            <w:proofErr w:type="spellStart"/>
            <w:r w:rsidRPr="00EF5876">
              <w:rPr>
                <w:vertAlign w:val="subscript"/>
              </w:rPr>
              <w:t>ref</w:t>
            </w:r>
            <w:proofErr w:type="spellEnd"/>
            <w:r w:rsidRPr="00EF5876">
              <w:t>: 15 % objemu</w:t>
            </w: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6E65C5">
        <w:trPr>
          <w:trHeight w:val="2347"/>
        </w:trPr>
        <w:tc>
          <w:tcPr>
            <w:tcW w:w="709" w:type="dxa"/>
            <w:tcBorders>
              <w:top w:val="nil"/>
              <w:bottom w:val="nil"/>
            </w:tcBorders>
            <w:vAlign w:val="center"/>
          </w:tcPr>
          <w:p w:rsidR="00B20392" w:rsidRPr="00603CC4" w:rsidRDefault="00B20392" w:rsidP="00603CC4">
            <w:pPr>
              <w:spacing w:after="0" w:line="240" w:lineRule="auto"/>
            </w:pPr>
            <w:r w:rsidRPr="00603CC4">
              <w:lastRenderedPageBreak/>
              <w:t>Časť 1</w:t>
            </w:r>
          </w:p>
        </w:tc>
        <w:tc>
          <w:tcPr>
            <w:tcW w:w="5771" w:type="dxa"/>
            <w:vAlign w:val="center"/>
          </w:tcPr>
          <w:p w:rsidR="00B20392" w:rsidRPr="00603CC4" w:rsidRDefault="00B20392" w:rsidP="00603CC4">
            <w:pPr>
              <w:spacing w:after="0" w:line="240" w:lineRule="auto"/>
              <w:jc w:val="both"/>
              <w:rPr>
                <w:lang w:eastAsia="sk-SK"/>
              </w:rPr>
            </w:pPr>
            <w:r w:rsidRPr="00603CC4">
              <w:rPr>
                <w:lang w:eastAsia="sk-SK"/>
              </w:rPr>
              <w:t xml:space="preserve">Emisné limity pre existujúce stredne veľké spaľovacie zariadenia </w:t>
            </w:r>
          </w:p>
          <w:p w:rsidR="00B20392" w:rsidRPr="00603CC4" w:rsidRDefault="00B20392" w:rsidP="00603CC4">
            <w:pPr>
              <w:spacing w:before="120" w:after="0" w:line="240" w:lineRule="auto"/>
              <w:jc w:val="both"/>
              <w:rPr>
                <w:color w:val="000000"/>
              </w:rPr>
            </w:pPr>
          </w:p>
        </w:tc>
        <w:tc>
          <w:tcPr>
            <w:tcW w:w="397" w:type="dxa"/>
            <w:vAlign w:val="center"/>
          </w:tcPr>
          <w:p w:rsidR="00B20392" w:rsidRPr="00603CC4" w:rsidRDefault="00945A32" w:rsidP="00603CC4">
            <w:pPr>
              <w:spacing w:after="0" w:line="240" w:lineRule="auto"/>
            </w:pPr>
            <w:r>
              <w:t>N</w:t>
            </w:r>
          </w:p>
        </w:tc>
        <w:tc>
          <w:tcPr>
            <w:tcW w:w="708" w:type="dxa"/>
            <w:vAlign w:val="center"/>
          </w:tcPr>
          <w:p w:rsidR="00B20392" w:rsidRPr="00603CC4" w:rsidRDefault="00FB4987" w:rsidP="00603CC4">
            <w:pPr>
              <w:spacing w:after="0" w:line="240" w:lineRule="auto"/>
            </w:pPr>
            <w:r>
              <w:t>N410</w:t>
            </w:r>
          </w:p>
        </w:tc>
        <w:tc>
          <w:tcPr>
            <w:tcW w:w="596" w:type="dxa"/>
            <w:vAlign w:val="center"/>
          </w:tcPr>
          <w:p w:rsidR="00B20392" w:rsidRDefault="00FB4987" w:rsidP="007D7E3B">
            <w:pPr>
              <w:spacing w:after="0" w:line="240" w:lineRule="auto"/>
              <w:ind w:right="-79"/>
            </w:pPr>
            <w:r>
              <w:t>Pr. 4 Časť IV B:2.2</w:t>
            </w:r>
          </w:p>
          <w:p w:rsidR="00FB4987" w:rsidRDefault="00FB4987" w:rsidP="007D7E3B">
            <w:pPr>
              <w:spacing w:after="0" w:line="240" w:lineRule="auto"/>
              <w:ind w:right="-79"/>
            </w:pPr>
            <w:r>
              <w:t>Tab. A</w:t>
            </w:r>
          </w:p>
          <w:p w:rsidR="00FB4987" w:rsidRDefault="00FB4987" w:rsidP="00603CC4">
            <w:pPr>
              <w:spacing w:after="0" w:line="240" w:lineRule="auto"/>
            </w:pPr>
          </w:p>
          <w:p w:rsidR="00FB4987" w:rsidRPr="00603CC4" w:rsidRDefault="00FB4987" w:rsidP="00603CC4">
            <w:pPr>
              <w:spacing w:after="0" w:line="240" w:lineRule="auto"/>
            </w:pPr>
          </w:p>
        </w:tc>
        <w:tc>
          <w:tcPr>
            <w:tcW w:w="6396" w:type="dxa"/>
            <w:vAlign w:val="center"/>
          </w:tcPr>
          <w:p w:rsidR="006568DE" w:rsidRPr="006E65C5" w:rsidRDefault="006568DE" w:rsidP="006568DE">
            <w:r w:rsidRPr="006E65C5">
              <w:t>A. </w:t>
            </w:r>
            <w:r w:rsidRPr="006E65C5">
              <w:rPr>
                <w:b/>
              </w:rPr>
              <w:t>Emisné limity pre jestvujúce stredne veľké spaľovacie  zariadenia  spaľujúce tuhé palivá, kvapalné palivá a plynné palivá</w:t>
            </w:r>
            <w:r w:rsidRPr="006E65C5">
              <w:t xml:space="preserve"> </w:t>
            </w:r>
          </w:p>
          <w:p w:rsidR="006568DE" w:rsidRPr="00EF5876" w:rsidRDefault="006568DE" w:rsidP="007D7E3B">
            <w:pPr>
              <w:spacing w:after="0"/>
              <w:ind w:left="284"/>
            </w:pPr>
            <w:r w:rsidRPr="00EF5876">
              <w:t xml:space="preserve">Platí pre  stredne veľké spaľovacie zariadenia okrem plynových turbín a stacionárnych piestových spaľovacích motorov  s celkovým menovitým tepelným príkonom </w:t>
            </w:r>
          </w:p>
          <w:p w:rsidR="006568DE" w:rsidRPr="006E65C5" w:rsidRDefault="006568DE" w:rsidP="00215280">
            <w:pPr>
              <w:pStyle w:val="Odsekzoznamu"/>
              <w:keepNext w:val="0"/>
              <w:numPr>
                <w:ilvl w:val="0"/>
                <w:numId w:val="35"/>
              </w:numPr>
              <w:spacing w:before="0" w:after="0"/>
              <w:ind w:left="426" w:firstLine="0"/>
              <w:contextualSpacing/>
              <w:jc w:val="left"/>
              <w:rPr>
                <w:rFonts w:ascii="Calibri" w:eastAsia="Calibri" w:hAnsi="Calibri" w:cs="Calibri"/>
                <w:sz w:val="22"/>
                <w:szCs w:val="22"/>
              </w:rPr>
            </w:pPr>
            <w:r w:rsidRPr="006E65C5">
              <w:rPr>
                <w:rFonts w:ascii="Calibri" w:eastAsia="Calibri" w:hAnsi="Calibri" w:cs="Calibri"/>
                <w:sz w:val="22"/>
                <w:szCs w:val="22"/>
              </w:rPr>
              <w:t>&gt; 5 MW platné od 1. januára 2025,</w:t>
            </w:r>
          </w:p>
          <w:p w:rsidR="00B20392" w:rsidRPr="007D7E3B" w:rsidRDefault="006568DE" w:rsidP="00603CC4">
            <w:pPr>
              <w:pStyle w:val="Odsekzoznamu"/>
              <w:keepNext w:val="0"/>
              <w:numPr>
                <w:ilvl w:val="0"/>
                <w:numId w:val="35"/>
              </w:numPr>
              <w:spacing w:before="0" w:after="0"/>
              <w:ind w:left="426" w:firstLine="0"/>
              <w:contextualSpacing/>
              <w:jc w:val="left"/>
              <w:rPr>
                <w:rFonts w:ascii="Calibri" w:eastAsia="Calibri" w:hAnsi="Calibri" w:cs="Calibri"/>
                <w:sz w:val="22"/>
                <w:szCs w:val="22"/>
              </w:rPr>
            </w:pPr>
            <w:r w:rsidRPr="006E65C5">
              <w:rPr>
                <w:rFonts w:ascii="Calibri" w:eastAsia="Calibri" w:hAnsi="Calibri" w:cs="Calibri"/>
                <w:sz w:val="22"/>
                <w:szCs w:val="22"/>
              </w:rPr>
              <w:t>≥ 1 a  ≤ 5 MW platné od 1. januára 2030.</w:t>
            </w: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6E65C5">
        <w:trPr>
          <w:trHeight w:val="8128"/>
        </w:trPr>
        <w:tc>
          <w:tcPr>
            <w:tcW w:w="709" w:type="dxa"/>
            <w:tcBorders>
              <w:top w:val="nil"/>
              <w:bottom w:val="nil"/>
            </w:tcBorders>
            <w:vAlign w:val="center"/>
          </w:tcPr>
          <w:p w:rsidR="00B20392" w:rsidRPr="00603CC4" w:rsidRDefault="00B20392" w:rsidP="00603CC4">
            <w:pPr>
              <w:spacing w:after="0" w:line="240" w:lineRule="auto"/>
            </w:pPr>
            <w:r w:rsidRPr="00603CC4">
              <w:lastRenderedPageBreak/>
              <w:t>Tab.1</w:t>
            </w:r>
            <w:r w:rsidR="00945A32">
              <w:t>, 2</w:t>
            </w:r>
          </w:p>
        </w:tc>
        <w:tc>
          <w:tcPr>
            <w:tcW w:w="5771" w:type="dxa"/>
            <w:vAlign w:val="center"/>
          </w:tcPr>
          <w:p w:rsidR="00B20392" w:rsidRPr="00603CC4" w:rsidRDefault="00B20392" w:rsidP="00603CC4">
            <w:pPr>
              <w:spacing w:after="0" w:line="240" w:lineRule="auto"/>
              <w:rPr>
                <w:lang w:eastAsia="sk-SK"/>
              </w:rPr>
            </w:pPr>
            <w:r w:rsidRPr="00603CC4">
              <w:rPr>
                <w:lang w:eastAsia="sk-SK"/>
              </w:rPr>
              <w:t xml:space="preserve">Emisné limity (mg/Nm3) pre existujúce stredne veľké spaľovacie zariadenia s menovitým tepelným príkonom rovnajúcim sa alebo väčším ako 1 MW a menším alebo rovnajúcim sa 5 MW iné ako motory a plynové turbíny </w:t>
            </w:r>
          </w:p>
          <w:p w:rsidR="00B20392" w:rsidRPr="00603CC4" w:rsidRDefault="00380EB5" w:rsidP="00603CC4">
            <w:pPr>
              <w:spacing w:before="120" w:after="0" w:line="240" w:lineRule="auto"/>
              <w:jc w:val="both"/>
              <w:rPr>
                <w:color w:val="000000"/>
              </w:rPr>
            </w:pPr>
            <w:r>
              <w:rPr>
                <w:noProof/>
                <w:color w:val="000000"/>
                <w:lang w:eastAsia="sk-SK"/>
              </w:rPr>
              <w:drawing>
                <wp:inline distT="0" distB="0" distL="0" distR="0" wp14:anchorId="69C51281" wp14:editId="4863C271">
                  <wp:extent cx="4305300" cy="29146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05300" cy="2914650"/>
                          </a:xfrm>
                          <a:prstGeom prst="rect">
                            <a:avLst/>
                          </a:prstGeom>
                          <a:noFill/>
                          <a:ln>
                            <a:noFill/>
                          </a:ln>
                        </pic:spPr>
                      </pic:pic>
                    </a:graphicData>
                  </a:graphic>
                </wp:inline>
              </w:drawing>
            </w:r>
          </w:p>
          <w:p w:rsidR="00B20392" w:rsidRPr="00603CC4" w:rsidRDefault="00B20392" w:rsidP="00603CC4">
            <w:pPr>
              <w:spacing w:before="120" w:after="0" w:line="240" w:lineRule="auto"/>
              <w:jc w:val="both"/>
              <w:rPr>
                <w:color w:val="000000"/>
              </w:rPr>
            </w:pPr>
          </w:p>
          <w:p w:rsidR="00B20392" w:rsidRPr="00603CC4" w:rsidRDefault="00B20392" w:rsidP="00603CC4">
            <w:pPr>
              <w:spacing w:before="120" w:after="0" w:line="240" w:lineRule="auto"/>
              <w:jc w:val="both"/>
              <w:rPr>
                <w:color w:val="000000"/>
              </w:rPr>
            </w:pPr>
          </w:p>
          <w:p w:rsidR="00945A32" w:rsidRPr="00603CC4" w:rsidRDefault="00945A32" w:rsidP="00945A32">
            <w:pPr>
              <w:spacing w:after="0" w:line="240" w:lineRule="auto"/>
              <w:jc w:val="both"/>
              <w:rPr>
                <w:lang w:eastAsia="sk-SK"/>
              </w:rPr>
            </w:pPr>
            <w:r w:rsidRPr="00603CC4">
              <w:rPr>
                <w:lang w:eastAsia="sk-SK"/>
              </w:rPr>
              <w:t xml:space="preserve">Emisné limity (mg/Nm3) pre existujúce stredne veľké spaľovacie zariadenia s menovitým tepelným príkonom väčším ako 5 MW iné ako motory a plynové turbíny </w:t>
            </w:r>
          </w:p>
          <w:p w:rsidR="00945A32" w:rsidRPr="00603CC4" w:rsidRDefault="00945A32" w:rsidP="00945A32">
            <w:pPr>
              <w:spacing w:after="0" w:line="240" w:lineRule="auto"/>
              <w:jc w:val="both"/>
              <w:rPr>
                <w:lang w:eastAsia="sk-SK"/>
              </w:rPr>
            </w:pPr>
            <w:r>
              <w:rPr>
                <w:noProof/>
                <w:lang w:eastAsia="sk-SK"/>
              </w:rPr>
              <w:lastRenderedPageBreak/>
              <w:drawing>
                <wp:inline distT="0" distB="0" distL="0" distR="0" wp14:anchorId="36275240" wp14:editId="1D8B3BFE">
                  <wp:extent cx="4248150" cy="2038350"/>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48150" cy="2038350"/>
                          </a:xfrm>
                          <a:prstGeom prst="rect">
                            <a:avLst/>
                          </a:prstGeom>
                          <a:noFill/>
                          <a:ln>
                            <a:noFill/>
                          </a:ln>
                        </pic:spPr>
                      </pic:pic>
                    </a:graphicData>
                  </a:graphic>
                </wp:inline>
              </w:drawing>
            </w:r>
          </w:p>
          <w:p w:rsidR="00945A32" w:rsidRPr="00603CC4" w:rsidRDefault="00945A32" w:rsidP="006E65C5">
            <w:pPr>
              <w:spacing w:after="0" w:line="240" w:lineRule="auto"/>
              <w:jc w:val="both"/>
            </w:pPr>
            <w:r w:rsidRPr="00603CC4">
              <w:t xml:space="preserve">(1) Táto hodnota sa neuplatňuje v prípade zariadení spaľujúcich výlučne drevnú tuhú biomasu. </w:t>
            </w:r>
          </w:p>
          <w:p w:rsidR="00945A32" w:rsidRPr="00603CC4" w:rsidRDefault="00945A32" w:rsidP="006E65C5">
            <w:pPr>
              <w:spacing w:after="0" w:line="240" w:lineRule="auto"/>
              <w:jc w:val="both"/>
            </w:pPr>
            <w:r w:rsidRPr="00603CC4">
              <w:t xml:space="preserve">(2) 300 mg/Nm3 v prípade zariadení spaľujúcich slamu. </w:t>
            </w:r>
          </w:p>
          <w:p w:rsidR="00945A32" w:rsidRPr="00603CC4" w:rsidRDefault="00945A32" w:rsidP="006E65C5">
            <w:pPr>
              <w:spacing w:after="0" w:line="240" w:lineRule="auto"/>
              <w:jc w:val="both"/>
            </w:pPr>
            <w:r w:rsidRPr="00603CC4">
              <w:t xml:space="preserve">(3) 1 100 mg/Nm3 v prípade zariadení s menovitým tepelným príkonom väčším ako 5 MW a menším alebo rovnajúcim sa 20 MW. </w:t>
            </w:r>
          </w:p>
          <w:p w:rsidR="00945A32" w:rsidRPr="00603CC4" w:rsidRDefault="00945A32" w:rsidP="006E65C5">
            <w:pPr>
              <w:spacing w:after="0" w:line="240" w:lineRule="auto"/>
              <w:jc w:val="both"/>
            </w:pPr>
            <w:r w:rsidRPr="00603CC4">
              <w:t xml:space="preserve">(4) Do 1. januára 2030, 850 mg/Nm3 v prípade zariadení spaľujúcich ťažký vykurovací olej s menovitým tepelným príkonom väčším ako 5 MW a menším alebo rovnajúcim sa 20 MW. </w:t>
            </w:r>
          </w:p>
          <w:p w:rsidR="00945A32" w:rsidRPr="00603CC4" w:rsidRDefault="00945A32" w:rsidP="006E65C5">
            <w:pPr>
              <w:spacing w:after="0" w:line="240" w:lineRule="auto"/>
              <w:jc w:val="both"/>
            </w:pPr>
            <w:r w:rsidRPr="00603CC4">
              <w:t xml:space="preserve">(5)400 mg/Nm3 v prípade nízkovýhrevných plynov z koksárenských pecí a 200 mg/Nm3 v prípade nízkovýhrevných plynov z vysokých pecí v železiarskom a oceliarskom priemysle. </w:t>
            </w:r>
          </w:p>
          <w:p w:rsidR="00945A32" w:rsidRPr="00603CC4" w:rsidRDefault="00945A32" w:rsidP="006E65C5">
            <w:pPr>
              <w:spacing w:after="0" w:line="240" w:lineRule="auto"/>
              <w:jc w:val="both"/>
            </w:pPr>
            <w:r w:rsidRPr="00603CC4">
              <w:t xml:space="preserve">(6) 170 mg/Nm3 v prípade bioplynu. </w:t>
            </w:r>
          </w:p>
          <w:p w:rsidR="009232DD" w:rsidRPr="00603CC4" w:rsidRDefault="00945A32" w:rsidP="006E65C5">
            <w:pPr>
              <w:spacing w:after="0" w:line="240" w:lineRule="auto"/>
              <w:jc w:val="both"/>
              <w:rPr>
                <w:color w:val="000000"/>
              </w:rPr>
            </w:pPr>
            <w:r w:rsidRPr="00603CC4">
              <w:t>(7) 50 mg/Nm3 v prípade zariadení s menovitým tepelným príkonom väčším ako 5 MW a menším alebo rovnajúcim sa 20 MW.</w:t>
            </w:r>
          </w:p>
        </w:tc>
        <w:tc>
          <w:tcPr>
            <w:tcW w:w="397" w:type="dxa"/>
            <w:vAlign w:val="center"/>
          </w:tcPr>
          <w:p w:rsidR="00B20392" w:rsidRPr="00603CC4" w:rsidRDefault="00B20392" w:rsidP="00603CC4">
            <w:pPr>
              <w:spacing w:after="0" w:line="240" w:lineRule="auto"/>
            </w:pPr>
          </w:p>
        </w:tc>
        <w:tc>
          <w:tcPr>
            <w:tcW w:w="708" w:type="dxa"/>
            <w:vAlign w:val="center"/>
          </w:tcPr>
          <w:p w:rsidR="00B20392" w:rsidRPr="00603CC4" w:rsidRDefault="00B20392" w:rsidP="00603CC4">
            <w:pPr>
              <w:spacing w:after="0" w:line="240" w:lineRule="auto"/>
            </w:pPr>
          </w:p>
        </w:tc>
        <w:tc>
          <w:tcPr>
            <w:tcW w:w="596" w:type="dxa"/>
            <w:vAlign w:val="center"/>
          </w:tcPr>
          <w:p w:rsidR="00B20392" w:rsidRPr="00603CC4" w:rsidRDefault="00B20392" w:rsidP="00603CC4">
            <w:pPr>
              <w:spacing w:after="0" w:line="240" w:lineRule="auto"/>
            </w:pPr>
          </w:p>
        </w:tc>
        <w:tc>
          <w:tcPr>
            <w:tcW w:w="6396" w:type="dxa"/>
            <w:vAlign w:val="center"/>
          </w:tcPr>
          <w:tbl>
            <w:tblPr>
              <w:tblStyle w:val="Mriekatabuky"/>
              <w:tblW w:w="6266" w:type="dxa"/>
              <w:tblLayout w:type="fixed"/>
              <w:tblLook w:val="04A0" w:firstRow="1" w:lastRow="0" w:firstColumn="1" w:lastColumn="0" w:noHBand="0" w:noVBand="1"/>
            </w:tblPr>
            <w:tblGrid>
              <w:gridCol w:w="1021"/>
              <w:gridCol w:w="1134"/>
              <w:gridCol w:w="1418"/>
              <w:gridCol w:w="1247"/>
              <w:gridCol w:w="1446"/>
            </w:tblGrid>
            <w:tr w:rsidR="009232DD" w:rsidRPr="00EF5876" w:rsidTr="009232DD">
              <w:tc>
                <w:tcPr>
                  <w:tcW w:w="1021" w:type="dxa"/>
                  <w:vMerge w:val="restart"/>
                  <w:vAlign w:val="center"/>
                </w:tcPr>
                <w:p w:rsidR="009232DD" w:rsidRPr="00EF5876" w:rsidRDefault="009232DD" w:rsidP="009232DD">
                  <w:pPr>
                    <w:rPr>
                      <w:b/>
                    </w:rPr>
                  </w:pPr>
                  <w:r w:rsidRPr="00EF5876">
                    <w:rPr>
                      <w:b/>
                    </w:rPr>
                    <w:t>Podmienky platnosti  EL</w:t>
                  </w:r>
                </w:p>
              </w:tc>
              <w:tc>
                <w:tcPr>
                  <w:tcW w:w="1134" w:type="dxa"/>
                  <w:vMerge w:val="restart"/>
                  <w:vAlign w:val="center"/>
                </w:tcPr>
                <w:p w:rsidR="009232DD" w:rsidRPr="00EF5876" w:rsidRDefault="009232DD" w:rsidP="009232DD">
                  <w:r w:rsidRPr="00EF5876">
                    <w:rPr>
                      <w:b/>
                    </w:rPr>
                    <w:t>MTP [MW]</w:t>
                  </w:r>
                </w:p>
              </w:tc>
              <w:tc>
                <w:tcPr>
                  <w:tcW w:w="4111" w:type="dxa"/>
                  <w:gridSpan w:val="3"/>
                </w:tcPr>
                <w:p w:rsidR="009232DD" w:rsidRPr="00EF5876" w:rsidRDefault="009232DD" w:rsidP="009232DD">
                  <w:r w:rsidRPr="00EF5876">
                    <w:t xml:space="preserve">Štandardné stavové podmienky, suchý plyn, </w:t>
                  </w:r>
                </w:p>
                <w:p w:rsidR="009232DD" w:rsidRPr="00EF5876" w:rsidRDefault="009232DD" w:rsidP="009232DD">
                  <w:pPr>
                    <w:ind w:left="284" w:hanging="284"/>
                    <w:jc w:val="both"/>
                  </w:pPr>
                  <w:r w:rsidRPr="00EF5876">
                    <w:t>Tuhé palivá vrátane biomasy: O</w:t>
                  </w:r>
                  <w:r w:rsidRPr="00EF5876">
                    <w:rPr>
                      <w:vertAlign w:val="subscript"/>
                    </w:rPr>
                    <w:t xml:space="preserve">2 </w:t>
                  </w:r>
                  <w:proofErr w:type="spellStart"/>
                  <w:r w:rsidRPr="00EF5876">
                    <w:rPr>
                      <w:vertAlign w:val="subscript"/>
                    </w:rPr>
                    <w:t>ref</w:t>
                  </w:r>
                  <w:proofErr w:type="spellEnd"/>
                  <w:r w:rsidRPr="00EF5876">
                    <w:t>: 6 % objemu Kvapalné a plynné palivá: O</w:t>
                  </w:r>
                  <w:r w:rsidRPr="00EF5876">
                    <w:rPr>
                      <w:vertAlign w:val="subscript"/>
                    </w:rPr>
                    <w:t xml:space="preserve">2 </w:t>
                  </w:r>
                  <w:proofErr w:type="spellStart"/>
                  <w:r w:rsidRPr="00EF5876">
                    <w:rPr>
                      <w:vertAlign w:val="subscript"/>
                    </w:rPr>
                    <w:t>ref</w:t>
                  </w:r>
                  <w:proofErr w:type="spellEnd"/>
                  <w:r w:rsidRPr="00EF5876">
                    <w:t>: 3 % objemu</w:t>
                  </w:r>
                </w:p>
              </w:tc>
            </w:tr>
            <w:tr w:rsidR="009232DD" w:rsidRPr="00EF5876" w:rsidTr="00EE10DB">
              <w:trPr>
                <w:trHeight w:val="1186"/>
              </w:trPr>
              <w:tc>
                <w:tcPr>
                  <w:tcW w:w="1021" w:type="dxa"/>
                  <w:vMerge/>
                  <w:vAlign w:val="center"/>
                </w:tcPr>
                <w:p w:rsidR="009232DD" w:rsidRPr="00EF5876" w:rsidRDefault="009232DD" w:rsidP="00EE10DB">
                  <w:pPr>
                    <w:spacing w:after="0"/>
                    <w:rPr>
                      <w:b/>
                    </w:rPr>
                  </w:pPr>
                </w:p>
              </w:tc>
              <w:tc>
                <w:tcPr>
                  <w:tcW w:w="1134" w:type="dxa"/>
                  <w:vMerge/>
                  <w:vAlign w:val="center"/>
                </w:tcPr>
                <w:p w:rsidR="009232DD" w:rsidRPr="00EF5876" w:rsidRDefault="009232DD" w:rsidP="00EE10DB">
                  <w:pPr>
                    <w:spacing w:after="0"/>
                    <w:rPr>
                      <w:b/>
                    </w:rPr>
                  </w:pPr>
                </w:p>
              </w:tc>
              <w:tc>
                <w:tcPr>
                  <w:tcW w:w="4111" w:type="dxa"/>
                  <w:gridSpan w:val="3"/>
                </w:tcPr>
                <w:p w:rsidR="009232DD" w:rsidRPr="00EF5876" w:rsidRDefault="009232DD" w:rsidP="00EE10DB">
                  <w:pPr>
                    <w:spacing w:after="0"/>
                    <w:ind w:left="34" w:hanging="34"/>
                    <w:jc w:val="both"/>
                  </w:pPr>
                  <w:r w:rsidRPr="00EF5876">
                    <w:t>Na zariadenia zaradené v OPR podľa § 17a ods. 1 a 2 sa emisné limity neuplatňujú  okrem EL pre TZL: 200 mg/m</w:t>
                  </w:r>
                  <w:r w:rsidRPr="00EF5876">
                    <w:rPr>
                      <w:vertAlign w:val="superscript"/>
                    </w:rPr>
                    <w:t xml:space="preserve">3 </w:t>
                  </w:r>
                  <w:r w:rsidRPr="00EF5876">
                    <w:t>pre spaľovanie tuhých palív, vrátane biomasy.</w:t>
                  </w:r>
                </w:p>
              </w:tc>
            </w:tr>
            <w:tr w:rsidR="009232DD" w:rsidRPr="00EF5876" w:rsidTr="009232DD">
              <w:trPr>
                <w:trHeight w:val="639"/>
              </w:trPr>
              <w:tc>
                <w:tcPr>
                  <w:tcW w:w="1021" w:type="dxa"/>
                  <w:vMerge/>
                  <w:vAlign w:val="center"/>
                </w:tcPr>
                <w:p w:rsidR="009232DD" w:rsidRPr="00EF5876" w:rsidRDefault="009232DD" w:rsidP="00EE10DB">
                  <w:pPr>
                    <w:spacing w:after="0"/>
                    <w:rPr>
                      <w:b/>
                    </w:rPr>
                  </w:pPr>
                </w:p>
              </w:tc>
              <w:tc>
                <w:tcPr>
                  <w:tcW w:w="1134" w:type="dxa"/>
                  <w:vMerge/>
                  <w:vAlign w:val="center"/>
                </w:tcPr>
                <w:p w:rsidR="009232DD" w:rsidRPr="00EF5876" w:rsidRDefault="009232DD" w:rsidP="00EE10DB">
                  <w:pPr>
                    <w:spacing w:after="0"/>
                    <w:rPr>
                      <w:b/>
                    </w:rPr>
                  </w:pPr>
                </w:p>
              </w:tc>
              <w:tc>
                <w:tcPr>
                  <w:tcW w:w="4111" w:type="dxa"/>
                  <w:gridSpan w:val="3"/>
                </w:tcPr>
                <w:p w:rsidR="009232DD" w:rsidRPr="00EF5876" w:rsidRDefault="009232DD" w:rsidP="00EE10DB">
                  <w:pPr>
                    <w:spacing w:after="0"/>
                    <w:ind w:left="34" w:hanging="34"/>
                    <w:jc w:val="both"/>
                  </w:pPr>
                  <w:r w:rsidRPr="00EF5876">
                    <w:t>Pre spaľovanie biomasy možno do roku 2030 povoliť výnimku z EL pre TZL, pričom určený EL nesmie byť vyšší ako  150 mg/m</w:t>
                  </w:r>
                  <w:r w:rsidRPr="00EF5876">
                    <w:rPr>
                      <w:vertAlign w:val="superscript"/>
                    </w:rPr>
                    <w:t>3</w:t>
                  </w:r>
                  <w:r w:rsidRPr="00EF5876">
                    <w:t>.</w:t>
                  </w:r>
                </w:p>
              </w:tc>
            </w:tr>
            <w:tr w:rsidR="009232DD" w:rsidRPr="00EF5876" w:rsidTr="009232DD">
              <w:tc>
                <w:tcPr>
                  <w:tcW w:w="1021" w:type="dxa"/>
                  <w:vMerge/>
                </w:tcPr>
                <w:p w:rsidR="009232DD" w:rsidRPr="00EF5876" w:rsidRDefault="009232DD" w:rsidP="00EE10DB">
                  <w:pPr>
                    <w:spacing w:after="0"/>
                  </w:pPr>
                </w:p>
              </w:tc>
              <w:tc>
                <w:tcPr>
                  <w:tcW w:w="1134" w:type="dxa"/>
                  <w:vMerge/>
                </w:tcPr>
                <w:p w:rsidR="009232DD" w:rsidRPr="00EF5876" w:rsidRDefault="009232DD" w:rsidP="00EE10DB">
                  <w:pPr>
                    <w:spacing w:after="0"/>
                    <w:jc w:val="center"/>
                  </w:pPr>
                </w:p>
              </w:tc>
              <w:tc>
                <w:tcPr>
                  <w:tcW w:w="4111" w:type="dxa"/>
                  <w:gridSpan w:val="3"/>
                </w:tcPr>
                <w:p w:rsidR="009232DD" w:rsidRPr="00EF5876" w:rsidRDefault="009232DD" w:rsidP="00EE10DB">
                  <w:pPr>
                    <w:spacing w:after="0"/>
                    <w:ind w:left="284" w:hanging="284"/>
                    <w:jc w:val="center"/>
                    <w:rPr>
                      <w:b/>
                    </w:rPr>
                  </w:pPr>
                  <w:r w:rsidRPr="00EF5876">
                    <w:rPr>
                      <w:b/>
                    </w:rPr>
                    <w:t xml:space="preserve">Emisný limit </w:t>
                  </w:r>
                  <w:r w:rsidRPr="00EF5876">
                    <w:rPr>
                      <w:b/>
                    </w:rPr>
                    <w:sym w:font="Symbol" w:char="F05B"/>
                  </w:r>
                  <w:r w:rsidRPr="00EF5876">
                    <w:rPr>
                      <w:b/>
                    </w:rPr>
                    <w:t>mg/m</w:t>
                  </w:r>
                  <w:r w:rsidRPr="00EF5876">
                    <w:rPr>
                      <w:b/>
                      <w:vertAlign w:val="superscript"/>
                    </w:rPr>
                    <w:t>3</w:t>
                  </w:r>
                  <w:r w:rsidRPr="00EF5876">
                    <w:rPr>
                      <w:b/>
                    </w:rPr>
                    <w:sym w:font="Symbol" w:char="F05D"/>
                  </w:r>
                </w:p>
              </w:tc>
            </w:tr>
            <w:tr w:rsidR="009232DD" w:rsidRPr="00EF5876" w:rsidTr="00EE10DB">
              <w:trPr>
                <w:trHeight w:val="283"/>
              </w:trPr>
              <w:tc>
                <w:tcPr>
                  <w:tcW w:w="1021" w:type="dxa"/>
                  <w:vMerge/>
                </w:tcPr>
                <w:p w:rsidR="009232DD" w:rsidRPr="00EF5876" w:rsidRDefault="009232DD" w:rsidP="00EE10DB">
                  <w:pPr>
                    <w:spacing w:after="0"/>
                  </w:pPr>
                </w:p>
              </w:tc>
              <w:tc>
                <w:tcPr>
                  <w:tcW w:w="1134" w:type="dxa"/>
                  <w:vMerge/>
                </w:tcPr>
                <w:p w:rsidR="009232DD" w:rsidRPr="00EF5876" w:rsidRDefault="009232DD" w:rsidP="00EE10DB">
                  <w:pPr>
                    <w:spacing w:after="0"/>
                    <w:jc w:val="center"/>
                    <w:rPr>
                      <w:b/>
                    </w:rPr>
                  </w:pPr>
                </w:p>
              </w:tc>
              <w:tc>
                <w:tcPr>
                  <w:tcW w:w="1418" w:type="dxa"/>
                </w:tcPr>
                <w:p w:rsidR="009232DD" w:rsidRPr="00EF5876" w:rsidRDefault="009232DD" w:rsidP="00EE10DB">
                  <w:pPr>
                    <w:spacing w:after="0"/>
                    <w:jc w:val="center"/>
                    <w:rPr>
                      <w:b/>
                    </w:rPr>
                  </w:pPr>
                  <w:r w:rsidRPr="00EF5876">
                    <w:rPr>
                      <w:b/>
                    </w:rPr>
                    <w:t>TZL</w:t>
                  </w:r>
                </w:p>
              </w:tc>
              <w:tc>
                <w:tcPr>
                  <w:tcW w:w="1247" w:type="dxa"/>
                </w:tcPr>
                <w:p w:rsidR="009232DD" w:rsidRPr="00EF5876" w:rsidRDefault="009232DD" w:rsidP="00EE10DB">
                  <w:pPr>
                    <w:spacing w:after="0"/>
                    <w:jc w:val="center"/>
                    <w:rPr>
                      <w:b/>
                      <w:vertAlign w:val="subscript"/>
                    </w:rPr>
                  </w:pPr>
                  <w:r w:rsidRPr="00EF5876">
                    <w:rPr>
                      <w:b/>
                    </w:rPr>
                    <w:t>SO</w:t>
                  </w:r>
                  <w:r w:rsidRPr="00EF5876">
                    <w:rPr>
                      <w:b/>
                      <w:vertAlign w:val="subscript"/>
                    </w:rPr>
                    <w:t>2</w:t>
                  </w:r>
                </w:p>
              </w:tc>
              <w:tc>
                <w:tcPr>
                  <w:tcW w:w="1446" w:type="dxa"/>
                </w:tcPr>
                <w:p w:rsidR="009232DD" w:rsidRPr="00EF5876" w:rsidRDefault="009232DD" w:rsidP="00EE10DB">
                  <w:pPr>
                    <w:spacing w:after="0"/>
                    <w:jc w:val="center"/>
                    <w:rPr>
                      <w:b/>
                      <w:vertAlign w:val="subscript"/>
                    </w:rPr>
                  </w:pPr>
                  <w:r w:rsidRPr="00EF5876">
                    <w:rPr>
                      <w:b/>
                    </w:rPr>
                    <w:t>NO</w:t>
                  </w:r>
                  <w:r w:rsidRPr="00EF5876">
                    <w:rPr>
                      <w:b/>
                      <w:vertAlign w:val="subscript"/>
                    </w:rPr>
                    <w:t>X</w:t>
                  </w:r>
                </w:p>
              </w:tc>
            </w:tr>
            <w:tr w:rsidR="009232DD" w:rsidRPr="00EF5876" w:rsidTr="00EE10DB">
              <w:trPr>
                <w:trHeight w:val="283"/>
              </w:trPr>
              <w:tc>
                <w:tcPr>
                  <w:tcW w:w="1021" w:type="dxa"/>
                  <w:vMerge w:val="restart"/>
                  <w:vAlign w:val="center"/>
                </w:tcPr>
                <w:p w:rsidR="009232DD" w:rsidRPr="00EF5876" w:rsidRDefault="009232DD" w:rsidP="00EE10DB">
                  <w:pPr>
                    <w:spacing w:after="0"/>
                  </w:pPr>
                  <w:r w:rsidRPr="00EF5876">
                    <w:t>Tuhé palivá</w:t>
                  </w:r>
                </w:p>
                <w:p w:rsidR="009232DD" w:rsidRPr="00EF5876" w:rsidRDefault="009232DD" w:rsidP="00EE10DB">
                  <w:pPr>
                    <w:spacing w:after="0"/>
                  </w:pPr>
                  <w:r w:rsidRPr="00EF5876">
                    <w:t>okrem biomasy</w:t>
                  </w:r>
                </w:p>
              </w:tc>
              <w:tc>
                <w:tcPr>
                  <w:tcW w:w="1134" w:type="dxa"/>
                  <w:vAlign w:val="center"/>
                </w:tcPr>
                <w:p w:rsidR="009232DD" w:rsidRPr="00EF5876" w:rsidRDefault="009232DD" w:rsidP="00EE10DB">
                  <w:pPr>
                    <w:spacing w:after="0"/>
                    <w:jc w:val="center"/>
                  </w:pPr>
                  <w:r w:rsidRPr="00EF5876">
                    <w:t>≥ 1-5</w:t>
                  </w:r>
                </w:p>
              </w:tc>
              <w:tc>
                <w:tcPr>
                  <w:tcW w:w="1418" w:type="dxa"/>
                  <w:vAlign w:val="center"/>
                </w:tcPr>
                <w:p w:rsidR="009232DD" w:rsidRPr="00EF5876" w:rsidRDefault="009232DD" w:rsidP="00EE10DB">
                  <w:pPr>
                    <w:spacing w:after="0"/>
                    <w:jc w:val="center"/>
                  </w:pPr>
                  <w:r w:rsidRPr="00EF5876">
                    <w:t>50</w:t>
                  </w:r>
                </w:p>
              </w:tc>
              <w:tc>
                <w:tcPr>
                  <w:tcW w:w="1247" w:type="dxa"/>
                  <w:vAlign w:val="center"/>
                </w:tcPr>
                <w:p w:rsidR="009232DD" w:rsidRPr="00EF5876" w:rsidRDefault="009232DD" w:rsidP="00EE10DB">
                  <w:pPr>
                    <w:spacing w:after="0"/>
                    <w:jc w:val="center"/>
                  </w:pPr>
                  <w:r w:rsidRPr="00EF5876">
                    <w:t>1100</w:t>
                  </w:r>
                </w:p>
              </w:tc>
              <w:tc>
                <w:tcPr>
                  <w:tcW w:w="1446" w:type="dxa"/>
                  <w:vAlign w:val="center"/>
                </w:tcPr>
                <w:p w:rsidR="009232DD" w:rsidRPr="00EF5876" w:rsidRDefault="009232DD" w:rsidP="00EE10DB">
                  <w:pPr>
                    <w:spacing w:after="0"/>
                    <w:jc w:val="center"/>
                  </w:pPr>
                  <w:r w:rsidRPr="00EF5876">
                    <w:t>650</w:t>
                  </w:r>
                </w:p>
              </w:tc>
            </w:tr>
            <w:tr w:rsidR="009232DD" w:rsidRPr="00EF5876" w:rsidTr="00EE10DB">
              <w:trPr>
                <w:trHeight w:val="283"/>
              </w:trPr>
              <w:tc>
                <w:tcPr>
                  <w:tcW w:w="1021" w:type="dxa"/>
                  <w:vMerge/>
                  <w:vAlign w:val="center"/>
                </w:tcPr>
                <w:p w:rsidR="009232DD" w:rsidRPr="00EF5876" w:rsidRDefault="009232DD" w:rsidP="00EE10DB">
                  <w:pPr>
                    <w:spacing w:after="0"/>
                  </w:pPr>
                </w:p>
              </w:tc>
              <w:tc>
                <w:tcPr>
                  <w:tcW w:w="1134" w:type="dxa"/>
                  <w:vAlign w:val="center"/>
                </w:tcPr>
                <w:p w:rsidR="009232DD" w:rsidRPr="00EF5876" w:rsidRDefault="009232DD" w:rsidP="00EE10DB">
                  <w:pPr>
                    <w:spacing w:after="0"/>
                    <w:jc w:val="center"/>
                  </w:pPr>
                  <w:r w:rsidRPr="00EF5876">
                    <w:t>&gt; 5-20</w:t>
                  </w:r>
                </w:p>
              </w:tc>
              <w:tc>
                <w:tcPr>
                  <w:tcW w:w="1418" w:type="dxa"/>
                  <w:vAlign w:val="center"/>
                </w:tcPr>
                <w:p w:rsidR="009232DD" w:rsidRPr="00EF5876" w:rsidRDefault="009232DD" w:rsidP="00EE10DB">
                  <w:pPr>
                    <w:spacing w:after="0"/>
                    <w:jc w:val="center"/>
                  </w:pPr>
                  <w:r w:rsidRPr="00EF5876">
                    <w:t>50</w:t>
                  </w:r>
                </w:p>
              </w:tc>
              <w:tc>
                <w:tcPr>
                  <w:tcW w:w="1247" w:type="dxa"/>
                  <w:vAlign w:val="center"/>
                </w:tcPr>
                <w:p w:rsidR="009232DD" w:rsidRPr="00EF5876" w:rsidRDefault="009232DD" w:rsidP="00EE10DB">
                  <w:pPr>
                    <w:spacing w:after="0"/>
                    <w:jc w:val="center"/>
                  </w:pPr>
                  <w:r w:rsidRPr="00EF5876">
                    <w:t>1100</w:t>
                  </w:r>
                </w:p>
              </w:tc>
              <w:tc>
                <w:tcPr>
                  <w:tcW w:w="1446" w:type="dxa"/>
                  <w:vAlign w:val="center"/>
                </w:tcPr>
                <w:p w:rsidR="009232DD" w:rsidRPr="00EF5876" w:rsidRDefault="009232DD" w:rsidP="00EE10DB">
                  <w:pPr>
                    <w:spacing w:after="0"/>
                    <w:jc w:val="center"/>
                  </w:pPr>
                  <w:r w:rsidRPr="00EF5876">
                    <w:t>650</w:t>
                  </w:r>
                </w:p>
              </w:tc>
            </w:tr>
            <w:tr w:rsidR="009232DD" w:rsidRPr="00EF5876" w:rsidTr="00EE10DB">
              <w:trPr>
                <w:trHeight w:val="283"/>
              </w:trPr>
              <w:tc>
                <w:tcPr>
                  <w:tcW w:w="1021" w:type="dxa"/>
                  <w:vMerge/>
                  <w:vAlign w:val="center"/>
                </w:tcPr>
                <w:p w:rsidR="009232DD" w:rsidRPr="00EF5876" w:rsidRDefault="009232DD" w:rsidP="00EE10DB">
                  <w:pPr>
                    <w:spacing w:after="0"/>
                  </w:pPr>
                </w:p>
              </w:tc>
              <w:tc>
                <w:tcPr>
                  <w:tcW w:w="1134" w:type="dxa"/>
                  <w:vAlign w:val="center"/>
                </w:tcPr>
                <w:p w:rsidR="009232DD" w:rsidRPr="00EF5876" w:rsidRDefault="009232DD" w:rsidP="00EE10DB">
                  <w:pPr>
                    <w:spacing w:after="0"/>
                    <w:jc w:val="center"/>
                  </w:pPr>
                  <w:r w:rsidRPr="00EF5876">
                    <w:t>&gt; 20</w:t>
                  </w:r>
                </w:p>
              </w:tc>
              <w:tc>
                <w:tcPr>
                  <w:tcW w:w="1418" w:type="dxa"/>
                  <w:vAlign w:val="center"/>
                </w:tcPr>
                <w:p w:rsidR="009232DD" w:rsidRPr="00EF5876" w:rsidRDefault="009232DD" w:rsidP="00EE10DB">
                  <w:pPr>
                    <w:spacing w:after="0"/>
                    <w:jc w:val="center"/>
                  </w:pPr>
                  <w:r w:rsidRPr="00EF5876">
                    <w:t>30</w:t>
                  </w:r>
                </w:p>
              </w:tc>
              <w:tc>
                <w:tcPr>
                  <w:tcW w:w="1247" w:type="dxa"/>
                  <w:vAlign w:val="center"/>
                </w:tcPr>
                <w:p w:rsidR="009232DD" w:rsidRPr="00EF5876" w:rsidRDefault="009232DD" w:rsidP="00EE10DB">
                  <w:pPr>
                    <w:spacing w:after="0"/>
                    <w:jc w:val="center"/>
                  </w:pPr>
                  <w:r w:rsidRPr="00EF5876">
                    <w:t>400</w:t>
                  </w:r>
                </w:p>
              </w:tc>
              <w:tc>
                <w:tcPr>
                  <w:tcW w:w="1446" w:type="dxa"/>
                  <w:vAlign w:val="center"/>
                </w:tcPr>
                <w:p w:rsidR="009232DD" w:rsidRPr="00EF5876" w:rsidRDefault="009232DD" w:rsidP="00EE10DB">
                  <w:pPr>
                    <w:spacing w:after="0"/>
                    <w:jc w:val="center"/>
                  </w:pPr>
                  <w:r w:rsidRPr="00EF5876">
                    <w:t>650</w:t>
                  </w:r>
                </w:p>
              </w:tc>
            </w:tr>
            <w:tr w:rsidR="009232DD" w:rsidRPr="00EF5876" w:rsidTr="00EE10DB">
              <w:trPr>
                <w:trHeight w:val="283"/>
              </w:trPr>
              <w:tc>
                <w:tcPr>
                  <w:tcW w:w="1021" w:type="dxa"/>
                  <w:vMerge w:val="restart"/>
                  <w:vAlign w:val="center"/>
                </w:tcPr>
                <w:p w:rsidR="009232DD" w:rsidRPr="00EF5876" w:rsidRDefault="009232DD" w:rsidP="00EE10DB">
                  <w:pPr>
                    <w:spacing w:after="0"/>
                  </w:pPr>
                  <w:r w:rsidRPr="00EF5876">
                    <w:t>Biomasa</w:t>
                  </w:r>
                </w:p>
              </w:tc>
              <w:tc>
                <w:tcPr>
                  <w:tcW w:w="1134" w:type="dxa"/>
                  <w:vAlign w:val="center"/>
                </w:tcPr>
                <w:p w:rsidR="009232DD" w:rsidRPr="00EF5876" w:rsidRDefault="009232DD" w:rsidP="00EE10DB">
                  <w:pPr>
                    <w:spacing w:after="0"/>
                    <w:jc w:val="center"/>
                  </w:pPr>
                  <w:r w:rsidRPr="00EF5876">
                    <w:t>≥ 1- 5</w:t>
                  </w:r>
                </w:p>
              </w:tc>
              <w:tc>
                <w:tcPr>
                  <w:tcW w:w="1418" w:type="dxa"/>
                  <w:vAlign w:val="center"/>
                </w:tcPr>
                <w:p w:rsidR="009232DD" w:rsidRPr="00EF5876" w:rsidRDefault="009232DD" w:rsidP="00EE10DB">
                  <w:pPr>
                    <w:spacing w:after="0"/>
                    <w:jc w:val="center"/>
                  </w:pPr>
                  <w:r w:rsidRPr="00EF5876">
                    <w:t>50</w:t>
                  </w:r>
                </w:p>
              </w:tc>
              <w:tc>
                <w:tcPr>
                  <w:tcW w:w="1247" w:type="dxa"/>
                  <w:vAlign w:val="center"/>
                </w:tcPr>
                <w:p w:rsidR="009232DD" w:rsidRPr="00EF5876" w:rsidRDefault="009232DD" w:rsidP="00EE10DB">
                  <w:pPr>
                    <w:spacing w:after="0"/>
                    <w:jc w:val="center"/>
                  </w:pPr>
                  <w:r w:rsidRPr="00EF5876">
                    <w:t>200</w:t>
                  </w:r>
                  <w:r w:rsidRPr="00EF5876">
                    <w:rPr>
                      <w:vertAlign w:val="superscript"/>
                    </w:rPr>
                    <w:t>1</w:t>
                  </w:r>
                  <w:r w:rsidRPr="00EF5876">
                    <w:t>) 300</w:t>
                  </w:r>
                  <w:r w:rsidRPr="00EF5876">
                    <w:rPr>
                      <w:vertAlign w:val="superscript"/>
                    </w:rPr>
                    <w:t>2</w:t>
                  </w:r>
                  <w:r w:rsidRPr="00EF5876">
                    <w:t>)</w:t>
                  </w:r>
                </w:p>
              </w:tc>
              <w:tc>
                <w:tcPr>
                  <w:tcW w:w="1446" w:type="dxa"/>
                  <w:vAlign w:val="center"/>
                </w:tcPr>
                <w:p w:rsidR="009232DD" w:rsidRPr="00EF5876" w:rsidRDefault="009232DD" w:rsidP="00EE10DB">
                  <w:pPr>
                    <w:spacing w:after="0"/>
                    <w:jc w:val="center"/>
                  </w:pPr>
                  <w:r w:rsidRPr="00EF5876">
                    <w:t>650</w:t>
                  </w:r>
                </w:p>
              </w:tc>
            </w:tr>
            <w:tr w:rsidR="009232DD" w:rsidRPr="00EF5876" w:rsidTr="00EE10DB">
              <w:trPr>
                <w:trHeight w:val="283"/>
              </w:trPr>
              <w:tc>
                <w:tcPr>
                  <w:tcW w:w="1021" w:type="dxa"/>
                  <w:vMerge/>
                  <w:vAlign w:val="center"/>
                </w:tcPr>
                <w:p w:rsidR="009232DD" w:rsidRPr="00EF5876" w:rsidRDefault="009232DD" w:rsidP="00EE10DB">
                  <w:pPr>
                    <w:spacing w:after="0"/>
                  </w:pPr>
                </w:p>
              </w:tc>
              <w:tc>
                <w:tcPr>
                  <w:tcW w:w="1134" w:type="dxa"/>
                  <w:vAlign w:val="center"/>
                </w:tcPr>
                <w:p w:rsidR="009232DD" w:rsidRPr="00EF5876" w:rsidRDefault="009232DD" w:rsidP="00EE10DB">
                  <w:pPr>
                    <w:spacing w:after="0"/>
                    <w:jc w:val="center"/>
                  </w:pPr>
                  <w:r w:rsidRPr="00EF5876">
                    <w:t>&gt; 5</w:t>
                  </w:r>
                </w:p>
              </w:tc>
              <w:tc>
                <w:tcPr>
                  <w:tcW w:w="1418" w:type="dxa"/>
                  <w:vAlign w:val="center"/>
                </w:tcPr>
                <w:p w:rsidR="009232DD" w:rsidRPr="00EF5876" w:rsidRDefault="009232DD" w:rsidP="00EE10DB">
                  <w:pPr>
                    <w:spacing w:after="0"/>
                    <w:jc w:val="center"/>
                  </w:pPr>
                  <w:r w:rsidRPr="00EF5876">
                    <w:t>50</w:t>
                  </w:r>
                </w:p>
              </w:tc>
              <w:tc>
                <w:tcPr>
                  <w:tcW w:w="1247" w:type="dxa"/>
                  <w:vAlign w:val="center"/>
                </w:tcPr>
                <w:p w:rsidR="009232DD" w:rsidRPr="00EF5876" w:rsidRDefault="009232DD" w:rsidP="00EE10DB">
                  <w:pPr>
                    <w:spacing w:after="0"/>
                    <w:jc w:val="center"/>
                  </w:pPr>
                  <w:r w:rsidRPr="00EF5876">
                    <w:t>200</w:t>
                  </w:r>
                  <w:r w:rsidRPr="00EF5876">
                    <w:rPr>
                      <w:vertAlign w:val="superscript"/>
                    </w:rPr>
                    <w:t>1</w:t>
                  </w:r>
                  <w:r w:rsidRPr="00EF5876">
                    <w:t>) 300</w:t>
                  </w:r>
                  <w:r w:rsidRPr="00EF5876">
                    <w:rPr>
                      <w:vertAlign w:val="superscript"/>
                    </w:rPr>
                    <w:t>2</w:t>
                  </w:r>
                  <w:r w:rsidRPr="00EF5876">
                    <w:t>)</w:t>
                  </w:r>
                </w:p>
              </w:tc>
              <w:tc>
                <w:tcPr>
                  <w:tcW w:w="1446" w:type="dxa"/>
                  <w:vAlign w:val="center"/>
                </w:tcPr>
                <w:p w:rsidR="009232DD" w:rsidRPr="00EF5876" w:rsidRDefault="009232DD" w:rsidP="00EE10DB">
                  <w:pPr>
                    <w:spacing w:after="0"/>
                    <w:jc w:val="center"/>
                  </w:pPr>
                  <w:r w:rsidRPr="00EF5876">
                    <w:t>650</w:t>
                  </w:r>
                </w:p>
              </w:tc>
            </w:tr>
            <w:tr w:rsidR="009232DD" w:rsidRPr="00EF5876" w:rsidTr="00EE10DB">
              <w:trPr>
                <w:trHeight w:val="283"/>
              </w:trPr>
              <w:tc>
                <w:tcPr>
                  <w:tcW w:w="1021" w:type="dxa"/>
                  <w:vAlign w:val="center"/>
                </w:tcPr>
                <w:p w:rsidR="009232DD" w:rsidRPr="00EF5876" w:rsidRDefault="009232DD" w:rsidP="00EE10DB">
                  <w:pPr>
                    <w:spacing w:after="0"/>
                  </w:pPr>
                  <w:r w:rsidRPr="00EF5876">
                    <w:t xml:space="preserve">Plynový olej </w:t>
                  </w:r>
                </w:p>
              </w:tc>
              <w:tc>
                <w:tcPr>
                  <w:tcW w:w="1134" w:type="dxa"/>
                  <w:vAlign w:val="center"/>
                </w:tcPr>
                <w:p w:rsidR="009232DD" w:rsidRPr="00EF5876" w:rsidRDefault="009232DD" w:rsidP="00EE10DB">
                  <w:pPr>
                    <w:spacing w:after="0"/>
                    <w:jc w:val="center"/>
                  </w:pPr>
                  <w:r w:rsidRPr="00EF5876">
                    <w:t>≥ 1</w:t>
                  </w:r>
                </w:p>
              </w:tc>
              <w:tc>
                <w:tcPr>
                  <w:tcW w:w="1418" w:type="dxa"/>
                  <w:vAlign w:val="center"/>
                </w:tcPr>
                <w:p w:rsidR="009232DD" w:rsidRPr="00EF5876" w:rsidRDefault="009232DD" w:rsidP="00EE10DB">
                  <w:pPr>
                    <w:spacing w:after="0"/>
                    <w:jc w:val="center"/>
                  </w:pPr>
                  <w:r w:rsidRPr="00EF5876">
                    <w:t>-</w:t>
                  </w:r>
                </w:p>
              </w:tc>
              <w:tc>
                <w:tcPr>
                  <w:tcW w:w="1247" w:type="dxa"/>
                  <w:vAlign w:val="center"/>
                </w:tcPr>
                <w:p w:rsidR="009232DD" w:rsidRPr="00EF5876" w:rsidRDefault="009232DD" w:rsidP="00EE10DB">
                  <w:pPr>
                    <w:spacing w:after="0"/>
                    <w:jc w:val="center"/>
                  </w:pPr>
                  <w:r w:rsidRPr="00EF5876">
                    <w:t>-</w:t>
                  </w:r>
                </w:p>
              </w:tc>
              <w:tc>
                <w:tcPr>
                  <w:tcW w:w="1446" w:type="dxa"/>
                  <w:vAlign w:val="center"/>
                </w:tcPr>
                <w:p w:rsidR="009232DD" w:rsidRPr="00EF5876" w:rsidRDefault="009232DD" w:rsidP="00EE10DB">
                  <w:pPr>
                    <w:spacing w:after="0"/>
                    <w:jc w:val="center"/>
                  </w:pPr>
                  <w:r w:rsidRPr="00EF5876">
                    <w:t>200</w:t>
                  </w:r>
                </w:p>
              </w:tc>
            </w:tr>
            <w:tr w:rsidR="009232DD" w:rsidRPr="00EF5876" w:rsidTr="00EE10DB">
              <w:trPr>
                <w:trHeight w:val="283"/>
              </w:trPr>
              <w:tc>
                <w:tcPr>
                  <w:tcW w:w="1021" w:type="dxa"/>
                  <w:vMerge w:val="restart"/>
                  <w:vAlign w:val="center"/>
                </w:tcPr>
                <w:p w:rsidR="009232DD" w:rsidRPr="00EF5876" w:rsidRDefault="009232DD" w:rsidP="00EE10DB">
                  <w:pPr>
                    <w:spacing w:after="0"/>
                  </w:pPr>
                  <w:r w:rsidRPr="00EF5876">
                    <w:t xml:space="preserve">Iné kvapalné palivo </w:t>
                  </w:r>
                </w:p>
              </w:tc>
              <w:tc>
                <w:tcPr>
                  <w:tcW w:w="1134" w:type="dxa"/>
                  <w:vAlign w:val="center"/>
                </w:tcPr>
                <w:p w:rsidR="009232DD" w:rsidRPr="00EF5876" w:rsidRDefault="009232DD" w:rsidP="00EE10DB">
                  <w:pPr>
                    <w:spacing w:after="0"/>
                    <w:jc w:val="center"/>
                  </w:pPr>
                  <w:r w:rsidRPr="00EF5876">
                    <w:t>≥ 1- 5</w:t>
                  </w:r>
                </w:p>
              </w:tc>
              <w:tc>
                <w:tcPr>
                  <w:tcW w:w="1418" w:type="dxa"/>
                  <w:vAlign w:val="center"/>
                </w:tcPr>
                <w:p w:rsidR="009232DD" w:rsidRPr="00EF5876" w:rsidRDefault="009232DD" w:rsidP="00EE10DB">
                  <w:pPr>
                    <w:spacing w:after="0"/>
                    <w:jc w:val="center"/>
                  </w:pPr>
                  <w:r w:rsidRPr="00EF5876">
                    <w:t>50</w:t>
                  </w:r>
                </w:p>
              </w:tc>
              <w:tc>
                <w:tcPr>
                  <w:tcW w:w="1247" w:type="dxa"/>
                  <w:vAlign w:val="center"/>
                </w:tcPr>
                <w:p w:rsidR="009232DD" w:rsidRPr="00EF5876" w:rsidRDefault="009232DD" w:rsidP="00EE10DB">
                  <w:pPr>
                    <w:spacing w:after="0"/>
                    <w:jc w:val="center"/>
                  </w:pPr>
                  <w:r w:rsidRPr="00EF5876">
                    <w:t>350</w:t>
                  </w:r>
                </w:p>
              </w:tc>
              <w:tc>
                <w:tcPr>
                  <w:tcW w:w="1446" w:type="dxa"/>
                  <w:vAlign w:val="center"/>
                </w:tcPr>
                <w:p w:rsidR="009232DD" w:rsidRPr="00EF5876" w:rsidRDefault="009232DD" w:rsidP="00EE10DB">
                  <w:pPr>
                    <w:spacing w:after="0"/>
                    <w:jc w:val="center"/>
                  </w:pPr>
                  <w:r w:rsidRPr="00EF5876">
                    <w:t>300</w:t>
                  </w:r>
                </w:p>
              </w:tc>
            </w:tr>
            <w:tr w:rsidR="009232DD" w:rsidRPr="00EF5876" w:rsidTr="00EE10DB">
              <w:trPr>
                <w:trHeight w:val="396"/>
              </w:trPr>
              <w:tc>
                <w:tcPr>
                  <w:tcW w:w="1021" w:type="dxa"/>
                  <w:vMerge/>
                  <w:vAlign w:val="center"/>
                </w:tcPr>
                <w:p w:rsidR="009232DD" w:rsidRPr="00EF5876" w:rsidRDefault="009232DD" w:rsidP="00EE10DB">
                  <w:pPr>
                    <w:spacing w:after="0"/>
                  </w:pPr>
                </w:p>
              </w:tc>
              <w:tc>
                <w:tcPr>
                  <w:tcW w:w="1134" w:type="dxa"/>
                  <w:vAlign w:val="center"/>
                </w:tcPr>
                <w:p w:rsidR="009232DD" w:rsidRPr="00EF5876" w:rsidRDefault="009232DD" w:rsidP="00EE10DB">
                  <w:pPr>
                    <w:spacing w:after="0"/>
                    <w:jc w:val="center"/>
                  </w:pPr>
                  <w:r w:rsidRPr="00EF5876">
                    <w:t>&gt; 5</w:t>
                  </w:r>
                </w:p>
              </w:tc>
              <w:tc>
                <w:tcPr>
                  <w:tcW w:w="1418" w:type="dxa"/>
                  <w:vAlign w:val="center"/>
                </w:tcPr>
                <w:p w:rsidR="009232DD" w:rsidRPr="00EF5876" w:rsidRDefault="009232DD" w:rsidP="00EE10DB">
                  <w:pPr>
                    <w:spacing w:after="0"/>
                    <w:jc w:val="center"/>
                  </w:pPr>
                  <w:r w:rsidRPr="00EF5876">
                    <w:t>30</w:t>
                  </w:r>
                </w:p>
              </w:tc>
              <w:tc>
                <w:tcPr>
                  <w:tcW w:w="1247" w:type="dxa"/>
                  <w:vAlign w:val="center"/>
                </w:tcPr>
                <w:p w:rsidR="009232DD" w:rsidRPr="00EF5876" w:rsidRDefault="009232DD" w:rsidP="00EE10DB">
                  <w:pPr>
                    <w:spacing w:after="0"/>
                    <w:jc w:val="center"/>
                  </w:pPr>
                  <w:r w:rsidRPr="00EF5876">
                    <w:t>350, 850</w:t>
                  </w:r>
                  <w:r w:rsidRPr="00EF5876">
                    <w:rPr>
                      <w:vertAlign w:val="superscript"/>
                    </w:rPr>
                    <w:t>3</w:t>
                  </w:r>
                  <w:r w:rsidRPr="00EF5876">
                    <w:t>)</w:t>
                  </w:r>
                </w:p>
              </w:tc>
              <w:tc>
                <w:tcPr>
                  <w:tcW w:w="1446" w:type="dxa"/>
                  <w:vAlign w:val="center"/>
                </w:tcPr>
                <w:p w:rsidR="009232DD" w:rsidRPr="00EF5876" w:rsidRDefault="009232DD" w:rsidP="00EE10DB">
                  <w:pPr>
                    <w:spacing w:after="0"/>
                    <w:jc w:val="center"/>
                  </w:pPr>
                  <w:r w:rsidRPr="00EF5876">
                    <w:t>650</w:t>
                  </w:r>
                </w:p>
              </w:tc>
            </w:tr>
            <w:tr w:rsidR="009232DD" w:rsidRPr="00EF5876" w:rsidTr="00EE10DB">
              <w:trPr>
                <w:trHeight w:val="283"/>
              </w:trPr>
              <w:tc>
                <w:tcPr>
                  <w:tcW w:w="1021" w:type="dxa"/>
                  <w:vAlign w:val="center"/>
                </w:tcPr>
                <w:p w:rsidR="009232DD" w:rsidRPr="00EF5876" w:rsidRDefault="009232DD" w:rsidP="00EE10DB">
                  <w:pPr>
                    <w:spacing w:after="0"/>
                  </w:pPr>
                  <w:r w:rsidRPr="00EF5876">
                    <w:t>ZPN</w:t>
                  </w:r>
                </w:p>
              </w:tc>
              <w:tc>
                <w:tcPr>
                  <w:tcW w:w="1134" w:type="dxa"/>
                  <w:vAlign w:val="center"/>
                </w:tcPr>
                <w:p w:rsidR="009232DD" w:rsidRPr="00EF5876" w:rsidRDefault="009232DD" w:rsidP="00EE10DB">
                  <w:pPr>
                    <w:spacing w:after="0"/>
                    <w:jc w:val="center"/>
                  </w:pPr>
                  <w:r w:rsidRPr="00EF5876">
                    <w:t>≥ 1</w:t>
                  </w:r>
                </w:p>
              </w:tc>
              <w:tc>
                <w:tcPr>
                  <w:tcW w:w="1418" w:type="dxa"/>
                  <w:vAlign w:val="center"/>
                </w:tcPr>
                <w:p w:rsidR="009232DD" w:rsidRPr="00EF5876" w:rsidRDefault="009232DD" w:rsidP="00EE10DB">
                  <w:pPr>
                    <w:spacing w:after="0"/>
                    <w:jc w:val="center"/>
                  </w:pPr>
                  <w:r w:rsidRPr="00EF5876">
                    <w:t>-</w:t>
                  </w:r>
                </w:p>
              </w:tc>
              <w:tc>
                <w:tcPr>
                  <w:tcW w:w="1247" w:type="dxa"/>
                  <w:vAlign w:val="center"/>
                </w:tcPr>
                <w:p w:rsidR="009232DD" w:rsidRPr="00EF5876" w:rsidRDefault="009232DD" w:rsidP="00EE10DB">
                  <w:pPr>
                    <w:spacing w:after="0"/>
                    <w:jc w:val="center"/>
                  </w:pPr>
                  <w:r w:rsidRPr="00EF5876">
                    <w:t>-</w:t>
                  </w:r>
                </w:p>
              </w:tc>
              <w:tc>
                <w:tcPr>
                  <w:tcW w:w="1446" w:type="dxa"/>
                  <w:vAlign w:val="center"/>
                </w:tcPr>
                <w:p w:rsidR="009232DD" w:rsidRPr="00EF5876" w:rsidRDefault="009232DD" w:rsidP="00EE10DB">
                  <w:pPr>
                    <w:spacing w:after="0"/>
                    <w:jc w:val="center"/>
                  </w:pPr>
                  <w:r w:rsidRPr="00EF5876">
                    <w:t>200</w:t>
                  </w:r>
                </w:p>
              </w:tc>
            </w:tr>
            <w:tr w:rsidR="009232DD" w:rsidRPr="00EF5876" w:rsidTr="00EE10DB">
              <w:trPr>
                <w:trHeight w:val="283"/>
              </w:trPr>
              <w:tc>
                <w:tcPr>
                  <w:tcW w:w="1021" w:type="dxa"/>
                  <w:vMerge w:val="restart"/>
                  <w:vAlign w:val="center"/>
                </w:tcPr>
                <w:p w:rsidR="009232DD" w:rsidRPr="00EF5876" w:rsidRDefault="009232DD" w:rsidP="00EE10DB">
                  <w:pPr>
                    <w:spacing w:after="0"/>
                  </w:pPr>
                  <w:r w:rsidRPr="00EF5876">
                    <w:t xml:space="preserve">Iné plynné palivo </w:t>
                  </w:r>
                </w:p>
              </w:tc>
              <w:tc>
                <w:tcPr>
                  <w:tcW w:w="1134" w:type="dxa"/>
                  <w:vAlign w:val="center"/>
                </w:tcPr>
                <w:p w:rsidR="009232DD" w:rsidRPr="00EF5876" w:rsidRDefault="009232DD" w:rsidP="00EE10DB">
                  <w:pPr>
                    <w:spacing w:after="0"/>
                    <w:jc w:val="center"/>
                  </w:pPr>
                  <w:r w:rsidRPr="00EF5876">
                    <w:t>≥ 1</w:t>
                  </w:r>
                </w:p>
              </w:tc>
              <w:tc>
                <w:tcPr>
                  <w:tcW w:w="1418" w:type="dxa"/>
                  <w:vAlign w:val="center"/>
                </w:tcPr>
                <w:p w:rsidR="009232DD" w:rsidRPr="00EF5876" w:rsidRDefault="009232DD" w:rsidP="00EE10DB">
                  <w:pPr>
                    <w:spacing w:after="0"/>
                    <w:jc w:val="center"/>
                  </w:pPr>
                  <w:r w:rsidRPr="00EF5876">
                    <w:t>-</w:t>
                  </w:r>
                </w:p>
              </w:tc>
              <w:tc>
                <w:tcPr>
                  <w:tcW w:w="1247" w:type="dxa"/>
                  <w:vAlign w:val="center"/>
                </w:tcPr>
                <w:p w:rsidR="009232DD" w:rsidRPr="00EF5876" w:rsidRDefault="009232DD" w:rsidP="00EE10DB">
                  <w:pPr>
                    <w:spacing w:after="0"/>
                    <w:jc w:val="center"/>
                  </w:pPr>
                  <w:r w:rsidRPr="00EF5876">
                    <w:t>200, 400</w:t>
                  </w:r>
                  <w:r w:rsidRPr="00EF5876">
                    <w:rPr>
                      <w:vertAlign w:val="superscript"/>
                    </w:rPr>
                    <w:t>5</w:t>
                  </w:r>
                  <w:r w:rsidRPr="00EF5876">
                    <w:t>)</w:t>
                  </w:r>
                </w:p>
              </w:tc>
              <w:tc>
                <w:tcPr>
                  <w:tcW w:w="1446" w:type="dxa"/>
                  <w:vAlign w:val="center"/>
                </w:tcPr>
                <w:p w:rsidR="009232DD" w:rsidRPr="00EF5876" w:rsidRDefault="009232DD" w:rsidP="00EE10DB">
                  <w:pPr>
                    <w:spacing w:after="0"/>
                    <w:ind w:right="245"/>
                    <w:jc w:val="center"/>
                  </w:pPr>
                  <w:r w:rsidRPr="00EF5876">
                    <w:t>250</w:t>
                  </w:r>
                </w:p>
              </w:tc>
            </w:tr>
            <w:tr w:rsidR="009232DD" w:rsidRPr="00EF5876" w:rsidTr="00EE10DB">
              <w:trPr>
                <w:trHeight w:val="283"/>
              </w:trPr>
              <w:tc>
                <w:tcPr>
                  <w:tcW w:w="1021" w:type="dxa"/>
                  <w:vMerge/>
                </w:tcPr>
                <w:p w:rsidR="009232DD" w:rsidRPr="00EF5876" w:rsidRDefault="009232DD" w:rsidP="00EE10DB">
                  <w:pPr>
                    <w:spacing w:after="0"/>
                  </w:pPr>
                </w:p>
              </w:tc>
              <w:tc>
                <w:tcPr>
                  <w:tcW w:w="1134" w:type="dxa"/>
                  <w:vAlign w:val="center"/>
                </w:tcPr>
                <w:p w:rsidR="009232DD" w:rsidRPr="00EF5876" w:rsidRDefault="009232DD" w:rsidP="00EE10DB">
                  <w:pPr>
                    <w:spacing w:after="0"/>
                    <w:jc w:val="center"/>
                  </w:pPr>
                  <w:r w:rsidRPr="00EF5876">
                    <w:t>&gt; 5</w:t>
                  </w:r>
                </w:p>
              </w:tc>
              <w:tc>
                <w:tcPr>
                  <w:tcW w:w="1418" w:type="dxa"/>
                  <w:vAlign w:val="center"/>
                </w:tcPr>
                <w:p w:rsidR="009232DD" w:rsidRPr="00EF5876" w:rsidRDefault="009232DD" w:rsidP="00EE10DB">
                  <w:pPr>
                    <w:spacing w:after="0"/>
                    <w:jc w:val="center"/>
                  </w:pPr>
                  <w:r w:rsidRPr="00EF5876">
                    <w:t>-</w:t>
                  </w:r>
                </w:p>
              </w:tc>
              <w:tc>
                <w:tcPr>
                  <w:tcW w:w="1247" w:type="dxa"/>
                  <w:vAlign w:val="center"/>
                </w:tcPr>
                <w:p w:rsidR="009232DD" w:rsidRPr="00EF5876" w:rsidRDefault="009232DD" w:rsidP="00EE10DB">
                  <w:pPr>
                    <w:spacing w:after="0"/>
                    <w:jc w:val="center"/>
                  </w:pPr>
                  <w:r w:rsidRPr="00EF5876">
                    <w:t>35, 170</w:t>
                  </w:r>
                  <w:r w:rsidRPr="00EF5876">
                    <w:rPr>
                      <w:vertAlign w:val="superscript"/>
                    </w:rPr>
                    <w:t>6</w:t>
                  </w:r>
                  <w:r w:rsidRPr="00EF5876">
                    <w:t>)</w:t>
                  </w:r>
                </w:p>
                <w:p w:rsidR="009232DD" w:rsidRPr="00EF5876" w:rsidRDefault="009232DD" w:rsidP="00EE10DB">
                  <w:pPr>
                    <w:spacing w:after="0"/>
                    <w:jc w:val="center"/>
                  </w:pPr>
                  <w:r w:rsidRPr="00EF5876">
                    <w:t>200</w:t>
                  </w:r>
                  <w:r w:rsidRPr="00EF5876">
                    <w:rPr>
                      <w:vertAlign w:val="superscript"/>
                    </w:rPr>
                    <w:t>7</w:t>
                  </w:r>
                  <w:r w:rsidRPr="00EF5876">
                    <w:t>), 400</w:t>
                  </w:r>
                  <w:r w:rsidRPr="00EF5876">
                    <w:rPr>
                      <w:vertAlign w:val="superscript"/>
                    </w:rPr>
                    <w:t>8</w:t>
                  </w:r>
                  <w:r w:rsidRPr="00EF5876">
                    <w:t>)</w:t>
                  </w:r>
                </w:p>
              </w:tc>
              <w:tc>
                <w:tcPr>
                  <w:tcW w:w="1446" w:type="dxa"/>
                  <w:vAlign w:val="center"/>
                </w:tcPr>
                <w:p w:rsidR="009232DD" w:rsidRPr="00EF5876" w:rsidRDefault="009232DD" w:rsidP="00EE10DB">
                  <w:pPr>
                    <w:spacing w:after="0"/>
                    <w:jc w:val="center"/>
                  </w:pPr>
                  <w:r w:rsidRPr="00EF5876">
                    <w:t>250</w:t>
                  </w:r>
                </w:p>
              </w:tc>
            </w:tr>
            <w:tr w:rsidR="009232DD" w:rsidRPr="00EF5876" w:rsidTr="00EE10DB">
              <w:trPr>
                <w:trHeight w:val="283"/>
              </w:trPr>
              <w:tc>
                <w:tcPr>
                  <w:tcW w:w="1021" w:type="dxa"/>
                </w:tcPr>
                <w:p w:rsidR="009232DD" w:rsidRPr="00EF5876" w:rsidRDefault="009232DD" w:rsidP="00EE10DB">
                  <w:pPr>
                    <w:spacing w:after="0"/>
                  </w:pPr>
                  <w:r w:rsidRPr="00EF5876">
                    <w:t xml:space="preserve">Osobitný režim  pre CZT </w:t>
                  </w:r>
                </w:p>
              </w:tc>
              <w:tc>
                <w:tcPr>
                  <w:tcW w:w="1134" w:type="dxa"/>
                  <w:vAlign w:val="center"/>
                </w:tcPr>
                <w:p w:rsidR="009232DD" w:rsidRPr="00EF5876" w:rsidRDefault="009232DD" w:rsidP="00EE10DB">
                  <w:pPr>
                    <w:spacing w:after="0"/>
                    <w:jc w:val="center"/>
                  </w:pPr>
                  <w:r w:rsidRPr="00EF5876">
                    <w:t>&gt; 5</w:t>
                  </w:r>
                </w:p>
              </w:tc>
              <w:tc>
                <w:tcPr>
                  <w:tcW w:w="1418" w:type="dxa"/>
                  <w:vAlign w:val="center"/>
                </w:tcPr>
                <w:p w:rsidR="009232DD" w:rsidRPr="00EF5876" w:rsidRDefault="009232DD" w:rsidP="00EE10DB">
                  <w:pPr>
                    <w:spacing w:after="0"/>
                    <w:jc w:val="center"/>
                  </w:pPr>
                  <w:r w:rsidRPr="00EF5876">
                    <w:t>150</w:t>
                  </w:r>
                </w:p>
              </w:tc>
              <w:tc>
                <w:tcPr>
                  <w:tcW w:w="1247" w:type="dxa"/>
                  <w:vAlign w:val="center"/>
                </w:tcPr>
                <w:p w:rsidR="009232DD" w:rsidRPr="00EF5876" w:rsidRDefault="009232DD" w:rsidP="00EE10DB">
                  <w:pPr>
                    <w:spacing w:after="0"/>
                    <w:jc w:val="center"/>
                  </w:pPr>
                  <w:r w:rsidRPr="00EF5876">
                    <w:t>1100</w:t>
                  </w:r>
                </w:p>
              </w:tc>
              <w:tc>
                <w:tcPr>
                  <w:tcW w:w="1446" w:type="dxa"/>
                  <w:vAlign w:val="center"/>
                </w:tcPr>
                <w:p w:rsidR="009232DD" w:rsidRPr="00EF5876" w:rsidRDefault="009232DD" w:rsidP="00EE10DB">
                  <w:pPr>
                    <w:spacing w:after="0"/>
                    <w:jc w:val="center"/>
                  </w:pPr>
                  <w:r w:rsidRPr="00EF5876">
                    <w:rPr>
                      <w:vertAlign w:val="superscript"/>
                    </w:rPr>
                    <w:t>9</w:t>
                  </w:r>
                  <w:r w:rsidRPr="00EF5876">
                    <w:t>)</w:t>
                  </w:r>
                </w:p>
              </w:tc>
            </w:tr>
          </w:tbl>
          <w:p w:rsidR="009232DD" w:rsidRPr="00EF5876" w:rsidRDefault="009232DD" w:rsidP="009232DD">
            <w:pPr>
              <w:spacing w:after="0"/>
            </w:pPr>
            <w:r w:rsidRPr="00EF5876">
              <w:t xml:space="preserve">1) Neuplatňuje sa v prípade zariadení  spaľujúcich  výlučne  drevnú </w:t>
            </w:r>
            <w:r w:rsidRPr="00EF5876">
              <w:lastRenderedPageBreak/>
              <w:t>biomasu.</w:t>
            </w:r>
          </w:p>
          <w:p w:rsidR="009232DD" w:rsidRPr="00EF5876" w:rsidRDefault="009232DD" w:rsidP="009232DD">
            <w:pPr>
              <w:spacing w:after="0"/>
            </w:pPr>
            <w:r w:rsidRPr="00EF5876">
              <w:t>2) Platí pre spaľovanie  slamy.</w:t>
            </w:r>
          </w:p>
          <w:p w:rsidR="009232DD" w:rsidRPr="00EF5876" w:rsidRDefault="009232DD" w:rsidP="009232DD">
            <w:pPr>
              <w:spacing w:after="0"/>
              <w:ind w:left="284" w:hanging="284"/>
            </w:pPr>
            <w:r w:rsidRPr="00EF5876">
              <w:t>3) Platí pre zariadenia  spaľujúce ŤVO  s celkovým MTP &gt; 5 MW a  ≤ 20 MW do 1. januára 2030.</w:t>
            </w:r>
          </w:p>
          <w:p w:rsidR="009232DD" w:rsidRPr="00EF5876" w:rsidRDefault="009232DD" w:rsidP="009232DD">
            <w:pPr>
              <w:spacing w:after="0"/>
            </w:pPr>
            <w:r w:rsidRPr="00EF5876">
              <w:t xml:space="preserve">4) Platí pre zariadenia s povolením vydaným do 31. decembra 2013. </w:t>
            </w:r>
          </w:p>
          <w:p w:rsidR="009232DD" w:rsidRPr="00EF5876" w:rsidRDefault="009232DD" w:rsidP="009232DD">
            <w:pPr>
              <w:spacing w:after="0"/>
            </w:pPr>
            <w:r w:rsidRPr="00EF5876">
              <w:t>5) Platí pre nízkovýhrevné plyny  z koksárenských pecí v železiarskom a oceliarskom priemysle.</w:t>
            </w:r>
          </w:p>
          <w:p w:rsidR="009232DD" w:rsidRPr="00EF5876" w:rsidRDefault="009232DD" w:rsidP="009232DD">
            <w:pPr>
              <w:spacing w:after="0"/>
            </w:pPr>
            <w:r w:rsidRPr="00EF5876">
              <w:t xml:space="preserve">6) Platí pre bioplyn. </w:t>
            </w:r>
          </w:p>
          <w:p w:rsidR="009232DD" w:rsidRPr="00EF5876" w:rsidRDefault="009232DD" w:rsidP="009232DD">
            <w:pPr>
              <w:spacing w:after="0"/>
            </w:pPr>
            <w:r w:rsidRPr="00EF5876">
              <w:t xml:space="preserve">7) Platí </w:t>
            </w:r>
            <w:proofErr w:type="spellStart"/>
            <w:r w:rsidRPr="00EF5876">
              <w:t>prenízkovýhrevný</w:t>
            </w:r>
            <w:proofErr w:type="spellEnd"/>
            <w:r w:rsidRPr="00EF5876">
              <w:t xml:space="preserve"> vysokopecný plyn v železiarskom a oceliarskom priemysle.</w:t>
            </w:r>
          </w:p>
          <w:p w:rsidR="009232DD" w:rsidRPr="00EF5876" w:rsidRDefault="009232DD" w:rsidP="009232DD">
            <w:pPr>
              <w:spacing w:after="0"/>
            </w:pPr>
            <w:r w:rsidRPr="00EF5876">
              <w:t>8) Platí pre koksárenský plyn.</w:t>
            </w:r>
          </w:p>
          <w:p w:rsidR="009232DD" w:rsidRPr="00EF5876" w:rsidRDefault="009232DD" w:rsidP="009232DD">
            <w:pPr>
              <w:spacing w:after="0"/>
            </w:pPr>
            <w:r w:rsidRPr="00EF5876">
              <w:t>9)Platí EL určený podľa časti V podľa používaného paliva do roku 2030.</w:t>
            </w:r>
          </w:p>
          <w:p w:rsidR="009232DD" w:rsidRPr="00EF5876" w:rsidRDefault="00945A32" w:rsidP="009232DD">
            <w:pPr>
              <w:spacing w:after="0" w:line="240" w:lineRule="auto"/>
            </w:pPr>
            <w:r w:rsidRPr="00EF5876">
              <w:t xml:space="preserve"> </w:t>
            </w: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pPr>
            <w:r w:rsidRPr="00603CC4">
              <w:lastRenderedPageBreak/>
              <w:t>Tab.3</w:t>
            </w:r>
          </w:p>
        </w:tc>
        <w:tc>
          <w:tcPr>
            <w:tcW w:w="5771" w:type="dxa"/>
            <w:vAlign w:val="center"/>
          </w:tcPr>
          <w:p w:rsidR="00B20392" w:rsidRPr="00603CC4" w:rsidRDefault="00B20392" w:rsidP="00603CC4">
            <w:pPr>
              <w:spacing w:before="120" w:after="0" w:line="240" w:lineRule="auto"/>
              <w:jc w:val="both"/>
            </w:pPr>
            <w:r w:rsidRPr="00603CC4">
              <w:t>Emisné limity (mg/Nm3) pre existujúce motory a plynové turbíny</w:t>
            </w:r>
          </w:p>
          <w:p w:rsidR="00B20392" w:rsidRPr="00603CC4" w:rsidRDefault="00380EB5" w:rsidP="00603CC4">
            <w:pPr>
              <w:spacing w:before="120" w:after="0" w:line="240" w:lineRule="auto"/>
              <w:jc w:val="both"/>
              <w:rPr>
                <w:color w:val="000000"/>
              </w:rPr>
            </w:pPr>
            <w:r>
              <w:rPr>
                <w:noProof/>
                <w:color w:val="000000"/>
                <w:lang w:eastAsia="sk-SK"/>
              </w:rPr>
              <w:lastRenderedPageBreak/>
              <w:drawing>
                <wp:inline distT="0" distB="0" distL="0" distR="0" wp14:anchorId="6E1EA954" wp14:editId="2952FEE6">
                  <wp:extent cx="4238625" cy="2362200"/>
                  <wp:effectExtent l="0" t="0" r="9525"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38625" cy="2362200"/>
                          </a:xfrm>
                          <a:prstGeom prst="rect">
                            <a:avLst/>
                          </a:prstGeom>
                          <a:noFill/>
                          <a:ln>
                            <a:noFill/>
                          </a:ln>
                        </pic:spPr>
                      </pic:pic>
                    </a:graphicData>
                  </a:graphic>
                </wp:inline>
              </w:drawing>
            </w:r>
          </w:p>
          <w:p w:rsidR="00B20392" w:rsidRPr="00603CC4" w:rsidRDefault="00B20392" w:rsidP="00603CC4">
            <w:pPr>
              <w:spacing w:before="120" w:after="0" w:line="240" w:lineRule="auto"/>
              <w:jc w:val="both"/>
            </w:pPr>
            <w:r w:rsidRPr="00603CC4">
              <w:t xml:space="preserve">(1) 60 mg/Nm3 v prípade bioplynu. </w:t>
            </w:r>
          </w:p>
          <w:p w:rsidR="00B20392" w:rsidRPr="00603CC4" w:rsidRDefault="00B20392" w:rsidP="00603CC4">
            <w:pPr>
              <w:spacing w:before="120" w:after="0" w:line="240" w:lineRule="auto"/>
              <w:jc w:val="both"/>
            </w:pPr>
            <w:r w:rsidRPr="00603CC4">
              <w:t xml:space="preserve">(2) 130 mg/Nm3 v prípade nízkovýhrevných plynov z koksárenských pecí a 65 mg/Nm3 v prípade nízkovýhrevných plynov z vysokých pecí v železiarskom a oceliarskom priemysle. </w:t>
            </w:r>
          </w:p>
          <w:p w:rsidR="00B20392" w:rsidRPr="00603CC4" w:rsidRDefault="00B20392" w:rsidP="00603CC4">
            <w:pPr>
              <w:spacing w:before="120" w:after="0" w:line="240" w:lineRule="auto"/>
              <w:jc w:val="both"/>
            </w:pPr>
            <w:r w:rsidRPr="00603CC4">
              <w:t xml:space="preserve">(3) 1 850 mg/Nm3 v týchto prípadoch: i) v prípade naftových motorov, ktorých konštrukcia sa začala pred 18. májom 2006; ii) v prípade dvojpalivových motorov v kvapalnom režime. </w:t>
            </w:r>
          </w:p>
          <w:p w:rsidR="00B20392" w:rsidRPr="00603CC4" w:rsidRDefault="00B20392" w:rsidP="00603CC4">
            <w:pPr>
              <w:spacing w:before="120" w:after="0" w:line="240" w:lineRule="auto"/>
              <w:jc w:val="both"/>
            </w:pPr>
            <w:r w:rsidRPr="00603CC4">
              <w:t xml:space="preserve">(4)250 mg/Nm3 v prípade motorov s menovitým tepelným príkonom rovnajúcim sa alebo väčším ako 1 MW a menším alebo rovnajúcim sa 5 MW. </w:t>
            </w:r>
          </w:p>
          <w:p w:rsidR="00B20392" w:rsidRPr="00603CC4" w:rsidRDefault="00B20392" w:rsidP="00603CC4">
            <w:pPr>
              <w:spacing w:before="120" w:after="0" w:line="240" w:lineRule="auto"/>
              <w:jc w:val="both"/>
            </w:pPr>
            <w:r w:rsidRPr="00603CC4">
              <w:t xml:space="preserve">(5)250 mg/Nm3 v prípade motorov s menovitým tepelným príkonom rovnajúcim sa alebo väčším ako 1 MW a menším alebo rovnajúcim sa 5 MW. 225 mg/Nm3 v prípade motorov s menovitým tepelným príkonom väčším ako 5 MW a menším alebo rovnajúcim sa 20 MW. </w:t>
            </w:r>
          </w:p>
          <w:p w:rsidR="00B20392" w:rsidRPr="00603CC4" w:rsidRDefault="00B20392" w:rsidP="00603CC4">
            <w:pPr>
              <w:spacing w:before="120" w:after="0" w:line="240" w:lineRule="auto"/>
              <w:jc w:val="both"/>
            </w:pPr>
            <w:r w:rsidRPr="00603CC4">
              <w:t xml:space="preserve">(6) 380 mg/Nm3 v prípade dvojpalivových motorov v kvapalnom režime. </w:t>
            </w:r>
          </w:p>
          <w:p w:rsidR="00B20392" w:rsidRPr="00603CC4" w:rsidRDefault="00B20392" w:rsidP="00603CC4">
            <w:pPr>
              <w:spacing w:before="120" w:after="0" w:line="240" w:lineRule="auto"/>
              <w:jc w:val="both"/>
            </w:pPr>
            <w:r w:rsidRPr="00603CC4">
              <w:lastRenderedPageBreak/>
              <w:t>(7) Emisné limity sa uplatňujú iba pri zaťažení nad 70 %.</w:t>
            </w:r>
          </w:p>
          <w:p w:rsidR="00B20392" w:rsidRPr="00603CC4" w:rsidRDefault="00B20392" w:rsidP="00603CC4">
            <w:pPr>
              <w:spacing w:before="120" w:after="0" w:line="240" w:lineRule="auto"/>
              <w:jc w:val="both"/>
              <w:rPr>
                <w:color w:val="000000"/>
              </w:rPr>
            </w:pPr>
            <w:r w:rsidRPr="00603CC4">
              <w:t>(8)20 mg/Nm3 v prípade zariadení s menovitým tepelným príkonom rovnajúcim sa alebo väčším ako 1 MW a menším alebo rovnajúcim sa 20 MW.</w:t>
            </w:r>
          </w:p>
        </w:tc>
        <w:tc>
          <w:tcPr>
            <w:tcW w:w="397" w:type="dxa"/>
            <w:vAlign w:val="center"/>
          </w:tcPr>
          <w:p w:rsidR="00B20392" w:rsidRPr="00603CC4" w:rsidRDefault="00945A32" w:rsidP="00603CC4">
            <w:pPr>
              <w:spacing w:after="0" w:line="240" w:lineRule="auto"/>
            </w:pPr>
            <w:r>
              <w:lastRenderedPageBreak/>
              <w:t>N</w:t>
            </w:r>
          </w:p>
        </w:tc>
        <w:tc>
          <w:tcPr>
            <w:tcW w:w="708" w:type="dxa"/>
            <w:vAlign w:val="center"/>
          </w:tcPr>
          <w:p w:rsidR="00B20392" w:rsidRPr="00603CC4" w:rsidRDefault="00FB4987" w:rsidP="00603CC4">
            <w:pPr>
              <w:spacing w:after="0" w:line="240" w:lineRule="auto"/>
            </w:pPr>
            <w:r>
              <w:t>N410</w:t>
            </w:r>
          </w:p>
        </w:tc>
        <w:tc>
          <w:tcPr>
            <w:tcW w:w="596" w:type="dxa"/>
            <w:vAlign w:val="center"/>
          </w:tcPr>
          <w:p w:rsidR="00B20392" w:rsidRDefault="00FB4987" w:rsidP="00FA5311">
            <w:pPr>
              <w:spacing w:after="0" w:line="240" w:lineRule="auto"/>
              <w:ind w:right="-79"/>
            </w:pPr>
            <w:r>
              <w:t>Pr. 4 Časť IV</w:t>
            </w:r>
          </w:p>
          <w:p w:rsidR="00FB4987" w:rsidRDefault="00FB4987" w:rsidP="00603CC4">
            <w:pPr>
              <w:spacing w:after="0" w:line="240" w:lineRule="auto"/>
            </w:pPr>
            <w:r>
              <w:t>B:3</w:t>
            </w:r>
          </w:p>
          <w:p w:rsidR="00FB4987" w:rsidRPr="00603CC4" w:rsidRDefault="00FB4987" w:rsidP="00603CC4">
            <w:pPr>
              <w:spacing w:after="0" w:line="240" w:lineRule="auto"/>
            </w:pPr>
            <w:proofErr w:type="spellStart"/>
            <w:r>
              <w:t>Tab</w:t>
            </w:r>
            <w:r>
              <w:lastRenderedPageBreak/>
              <w:t>.A</w:t>
            </w:r>
            <w:proofErr w:type="spellEnd"/>
          </w:p>
        </w:tc>
        <w:tc>
          <w:tcPr>
            <w:tcW w:w="6396" w:type="dxa"/>
            <w:vAlign w:val="center"/>
          </w:tcPr>
          <w:p w:rsidR="0085178D" w:rsidRPr="00EF5876" w:rsidRDefault="0085178D" w:rsidP="0085178D">
            <w:pPr>
              <w:pStyle w:val="Normln"/>
              <w:keepNext/>
              <w:ind w:left="426" w:hanging="426"/>
              <w:rPr>
                <w:b/>
                <w:szCs w:val="22"/>
                <w:lang w:val="sk-SK"/>
              </w:rPr>
            </w:pPr>
            <w:r w:rsidRPr="00EF5876">
              <w:rPr>
                <w:b/>
                <w:szCs w:val="22"/>
                <w:lang w:val="sk-SK"/>
              </w:rPr>
              <w:lastRenderedPageBreak/>
              <w:t>A.  Emisné limity pre plynové turbíny – jestvujúce zariadenia</w:t>
            </w:r>
          </w:p>
          <w:tbl>
            <w:tblPr>
              <w:tblStyle w:val="Mriekatabuky"/>
              <w:tblW w:w="0" w:type="auto"/>
              <w:tblLayout w:type="fixed"/>
              <w:tblLook w:val="04A0" w:firstRow="1" w:lastRow="0" w:firstColumn="1" w:lastColumn="0" w:noHBand="0" w:noVBand="1"/>
            </w:tblPr>
            <w:tblGrid>
              <w:gridCol w:w="1413"/>
              <w:gridCol w:w="1134"/>
              <w:gridCol w:w="992"/>
              <w:gridCol w:w="1134"/>
              <w:gridCol w:w="1281"/>
            </w:tblGrid>
            <w:tr w:rsidR="00EF5876" w:rsidRPr="00EF5876" w:rsidTr="006E65C5">
              <w:trPr>
                <w:trHeight w:val="505"/>
              </w:trPr>
              <w:tc>
                <w:tcPr>
                  <w:tcW w:w="1413" w:type="dxa"/>
                  <w:vMerge w:val="restart"/>
                  <w:vAlign w:val="center"/>
                </w:tcPr>
                <w:p w:rsidR="00E90F86" w:rsidRPr="00EF5876" w:rsidRDefault="00E90F86" w:rsidP="00E90F86">
                  <w:pPr>
                    <w:rPr>
                      <w:b/>
                    </w:rPr>
                  </w:pPr>
                  <w:r w:rsidRPr="00EF5876">
                    <w:rPr>
                      <w:b/>
                    </w:rPr>
                    <w:t>Podmienky platnosti  EL</w:t>
                  </w:r>
                </w:p>
              </w:tc>
              <w:tc>
                <w:tcPr>
                  <w:tcW w:w="1134" w:type="dxa"/>
                  <w:vMerge w:val="restart"/>
                  <w:vAlign w:val="center"/>
                </w:tcPr>
                <w:p w:rsidR="00E90F86" w:rsidRPr="00EF5876" w:rsidRDefault="00E90F86" w:rsidP="00E90F86">
                  <w:r w:rsidRPr="00EF5876">
                    <w:rPr>
                      <w:b/>
                    </w:rPr>
                    <w:t>MTP [MW]</w:t>
                  </w:r>
                </w:p>
              </w:tc>
              <w:tc>
                <w:tcPr>
                  <w:tcW w:w="3407" w:type="dxa"/>
                  <w:gridSpan w:val="3"/>
                </w:tcPr>
                <w:p w:rsidR="00E90F86" w:rsidRPr="00EF5876" w:rsidRDefault="00E90F86" w:rsidP="00EF5876">
                  <w:pPr>
                    <w:spacing w:after="0"/>
                  </w:pPr>
                  <w:r w:rsidRPr="00EF5876">
                    <w:t>Štandardné stavové podmienky, suchý plyn, O</w:t>
                  </w:r>
                  <w:r w:rsidRPr="00EF5876">
                    <w:rPr>
                      <w:vertAlign w:val="subscript"/>
                    </w:rPr>
                    <w:t xml:space="preserve">2 </w:t>
                  </w:r>
                  <w:proofErr w:type="spellStart"/>
                  <w:r w:rsidRPr="00EF5876">
                    <w:rPr>
                      <w:vertAlign w:val="subscript"/>
                    </w:rPr>
                    <w:t>ref</w:t>
                  </w:r>
                  <w:proofErr w:type="spellEnd"/>
                  <w:r w:rsidR="00945A32" w:rsidRPr="00EF5876">
                    <w:t xml:space="preserve">: 15 % objemu </w:t>
                  </w:r>
                </w:p>
              </w:tc>
            </w:tr>
            <w:tr w:rsidR="00EF5876" w:rsidRPr="00EF5876" w:rsidTr="006E65C5">
              <w:trPr>
                <w:trHeight w:val="504"/>
              </w:trPr>
              <w:tc>
                <w:tcPr>
                  <w:tcW w:w="1413" w:type="dxa"/>
                  <w:vMerge/>
                  <w:vAlign w:val="center"/>
                </w:tcPr>
                <w:p w:rsidR="00E90F86" w:rsidRPr="00EF5876" w:rsidRDefault="00E90F86" w:rsidP="00E90F86">
                  <w:pPr>
                    <w:rPr>
                      <w:b/>
                    </w:rPr>
                  </w:pPr>
                </w:p>
              </w:tc>
              <w:tc>
                <w:tcPr>
                  <w:tcW w:w="1134" w:type="dxa"/>
                  <w:vMerge/>
                  <w:vAlign w:val="center"/>
                </w:tcPr>
                <w:p w:rsidR="00E90F86" w:rsidRPr="00EF5876" w:rsidRDefault="00E90F86" w:rsidP="00E90F86">
                  <w:pPr>
                    <w:rPr>
                      <w:b/>
                    </w:rPr>
                  </w:pPr>
                </w:p>
              </w:tc>
              <w:tc>
                <w:tcPr>
                  <w:tcW w:w="3407" w:type="dxa"/>
                  <w:gridSpan w:val="3"/>
                </w:tcPr>
                <w:p w:rsidR="00E90F86" w:rsidRPr="00EF5876" w:rsidRDefault="00E90F86" w:rsidP="00EF5876">
                  <w:pPr>
                    <w:spacing w:after="0"/>
                    <w:ind w:left="34" w:hanging="34"/>
                  </w:pPr>
                  <w:r w:rsidRPr="00EF5876">
                    <w:rPr>
                      <w:lang w:eastAsia="sk-SK"/>
                    </w:rPr>
                    <w:t>Pre plynové turbíny  platia EL pri zaťažení  &gt; 70 %.</w:t>
                  </w:r>
                </w:p>
              </w:tc>
            </w:tr>
            <w:tr w:rsidR="00EF5876" w:rsidRPr="00EF5876" w:rsidTr="006E65C5">
              <w:trPr>
                <w:trHeight w:val="2460"/>
              </w:trPr>
              <w:tc>
                <w:tcPr>
                  <w:tcW w:w="1413" w:type="dxa"/>
                  <w:vMerge/>
                  <w:vAlign w:val="center"/>
                </w:tcPr>
                <w:p w:rsidR="00E90F86" w:rsidRPr="00EF5876" w:rsidRDefault="00E90F86" w:rsidP="00E90F86">
                  <w:pPr>
                    <w:rPr>
                      <w:b/>
                    </w:rPr>
                  </w:pPr>
                </w:p>
              </w:tc>
              <w:tc>
                <w:tcPr>
                  <w:tcW w:w="1134" w:type="dxa"/>
                  <w:vMerge/>
                  <w:vAlign w:val="center"/>
                </w:tcPr>
                <w:p w:rsidR="00E90F86" w:rsidRPr="00EF5876" w:rsidRDefault="00E90F86" w:rsidP="00E90F86">
                  <w:pPr>
                    <w:rPr>
                      <w:b/>
                    </w:rPr>
                  </w:pPr>
                </w:p>
              </w:tc>
              <w:tc>
                <w:tcPr>
                  <w:tcW w:w="3407" w:type="dxa"/>
                  <w:gridSpan w:val="3"/>
                  <w:vAlign w:val="center"/>
                </w:tcPr>
                <w:p w:rsidR="00E90F86" w:rsidRPr="00EF5876" w:rsidRDefault="00E90F86" w:rsidP="00EF5876">
                  <w:pPr>
                    <w:spacing w:after="0"/>
                    <w:rPr>
                      <w:lang w:val="en-US"/>
                    </w:rPr>
                  </w:pPr>
                  <w:r w:rsidRPr="00EF5876">
                    <w:rPr>
                      <w:lang w:eastAsia="sk-SK"/>
                    </w:rPr>
                    <w:t>Pre zariadenia využívané na pohon plynových kompresorových staníc potrebných na zaistenie bezpečnosti vnútroštátnych plynárenských prepravných sústav plynu podľa § 17b možno do roku 2030 povoliť výnimku z EL pre NOx, pričom určený EL nesmie prekročiť EL ustanovený v časti V.</w:t>
                  </w:r>
                </w:p>
              </w:tc>
            </w:tr>
            <w:tr w:rsidR="00E90F86" w:rsidRPr="00EF5876" w:rsidTr="006E65C5">
              <w:trPr>
                <w:trHeight w:val="874"/>
              </w:trPr>
              <w:tc>
                <w:tcPr>
                  <w:tcW w:w="1413" w:type="dxa"/>
                  <w:vMerge/>
                  <w:vAlign w:val="center"/>
                </w:tcPr>
                <w:p w:rsidR="00E90F86" w:rsidRPr="00EF5876" w:rsidRDefault="00E90F86" w:rsidP="00E90F86">
                  <w:pPr>
                    <w:rPr>
                      <w:b/>
                    </w:rPr>
                  </w:pPr>
                </w:p>
              </w:tc>
              <w:tc>
                <w:tcPr>
                  <w:tcW w:w="1134" w:type="dxa"/>
                  <w:vMerge/>
                  <w:vAlign w:val="center"/>
                </w:tcPr>
                <w:p w:rsidR="00E90F86" w:rsidRPr="00EF5876" w:rsidRDefault="00E90F86" w:rsidP="00E90F86">
                  <w:pPr>
                    <w:rPr>
                      <w:b/>
                    </w:rPr>
                  </w:pPr>
                </w:p>
              </w:tc>
              <w:tc>
                <w:tcPr>
                  <w:tcW w:w="3407" w:type="dxa"/>
                  <w:gridSpan w:val="3"/>
                </w:tcPr>
                <w:p w:rsidR="00E90F86" w:rsidRPr="00EF5876" w:rsidRDefault="00E90F86" w:rsidP="006E65C5">
                  <w:pPr>
                    <w:spacing w:after="0"/>
                    <w:ind w:left="34" w:hanging="34"/>
                    <w:rPr>
                      <w:lang w:val="en-US"/>
                    </w:rPr>
                  </w:pPr>
                  <w:r w:rsidRPr="00EF5876">
                    <w:t>Pre zariadenia v osobitnom režim</w:t>
                  </w:r>
                  <w:r w:rsidR="006E65C5">
                    <w:t>e</w:t>
                  </w:r>
                  <w:r w:rsidRPr="00EF5876">
                    <w:t xml:space="preserve"> pre CZT platia EL podľa tabuľky  uvedenej časti V, pričom EL pre TZL nesmie byť vyšší ako 150 mg/m</w:t>
                  </w:r>
                  <w:r w:rsidRPr="00EF5876">
                    <w:rPr>
                      <w:vertAlign w:val="superscript"/>
                    </w:rPr>
                    <w:t xml:space="preserve">3 </w:t>
                  </w:r>
                  <w:r w:rsidRPr="00EF5876">
                    <w:t xml:space="preserve"> a  EL pre SO</w:t>
                  </w:r>
                  <w:r w:rsidRPr="00EF5876">
                    <w:rPr>
                      <w:vertAlign w:val="subscript"/>
                    </w:rPr>
                    <w:t xml:space="preserve">2 </w:t>
                  </w:r>
                  <w:r w:rsidRPr="00EF5876">
                    <w:t xml:space="preserve"> nesmie byť  vyšší ako 1100 mg/m</w:t>
                  </w:r>
                  <w:r w:rsidRPr="00EF5876">
                    <w:rPr>
                      <w:vertAlign w:val="superscript"/>
                    </w:rPr>
                    <w:t>3</w:t>
                  </w:r>
                  <w:r w:rsidRPr="00EF5876">
                    <w:t xml:space="preserve">.  </w:t>
                  </w:r>
                </w:p>
              </w:tc>
            </w:tr>
            <w:tr w:rsidR="00EF5876" w:rsidRPr="00EF5876" w:rsidTr="006E65C5">
              <w:trPr>
                <w:trHeight w:val="266"/>
              </w:trPr>
              <w:tc>
                <w:tcPr>
                  <w:tcW w:w="1413" w:type="dxa"/>
                  <w:vMerge/>
                  <w:vAlign w:val="center"/>
                </w:tcPr>
                <w:p w:rsidR="00E90F86" w:rsidRPr="00EF5876" w:rsidRDefault="00E90F86" w:rsidP="00E90F86">
                  <w:pPr>
                    <w:rPr>
                      <w:b/>
                    </w:rPr>
                  </w:pPr>
                </w:p>
              </w:tc>
              <w:tc>
                <w:tcPr>
                  <w:tcW w:w="1134" w:type="dxa"/>
                  <w:vMerge/>
                  <w:vAlign w:val="center"/>
                </w:tcPr>
                <w:p w:rsidR="00E90F86" w:rsidRPr="00EF5876" w:rsidRDefault="00E90F86" w:rsidP="00E90F86">
                  <w:pPr>
                    <w:rPr>
                      <w:b/>
                    </w:rPr>
                  </w:pPr>
                </w:p>
              </w:tc>
              <w:tc>
                <w:tcPr>
                  <w:tcW w:w="3407" w:type="dxa"/>
                  <w:gridSpan w:val="3"/>
                </w:tcPr>
                <w:p w:rsidR="00E90F86" w:rsidRPr="00EF5876" w:rsidRDefault="00E90F86" w:rsidP="00EF5876">
                  <w:pPr>
                    <w:spacing w:after="0"/>
                    <w:ind w:left="284" w:hanging="284"/>
                    <w:jc w:val="both"/>
                    <w:rPr>
                      <w:lang w:val="en-US"/>
                    </w:rPr>
                  </w:pPr>
                  <w:r w:rsidRPr="00EF5876">
                    <w:rPr>
                      <w:b/>
                    </w:rPr>
                    <w:t xml:space="preserve">Emisný limit </w:t>
                  </w:r>
                  <w:r w:rsidRPr="00EF5876">
                    <w:rPr>
                      <w:b/>
                    </w:rPr>
                    <w:sym w:font="Symbol" w:char="F05B"/>
                  </w:r>
                  <w:r w:rsidRPr="00EF5876">
                    <w:rPr>
                      <w:b/>
                    </w:rPr>
                    <w:t>mg/m</w:t>
                  </w:r>
                  <w:r w:rsidRPr="00EF5876">
                    <w:rPr>
                      <w:b/>
                      <w:vertAlign w:val="superscript"/>
                    </w:rPr>
                    <w:t>3</w:t>
                  </w:r>
                  <w:r w:rsidRPr="00EF5876">
                    <w:rPr>
                      <w:b/>
                    </w:rPr>
                    <w:sym w:font="Symbol" w:char="F05D"/>
                  </w:r>
                </w:p>
              </w:tc>
            </w:tr>
            <w:tr w:rsidR="00EF5876" w:rsidRPr="00EF5876" w:rsidTr="006E65C5">
              <w:trPr>
                <w:trHeight w:val="353"/>
              </w:trPr>
              <w:tc>
                <w:tcPr>
                  <w:tcW w:w="1413" w:type="dxa"/>
                  <w:vMerge/>
                </w:tcPr>
                <w:p w:rsidR="00E90F86" w:rsidRPr="00EF5876" w:rsidRDefault="00E90F86" w:rsidP="00E90F86"/>
              </w:tc>
              <w:tc>
                <w:tcPr>
                  <w:tcW w:w="1134" w:type="dxa"/>
                  <w:vMerge/>
                </w:tcPr>
                <w:p w:rsidR="00E90F86" w:rsidRPr="00EF5876" w:rsidRDefault="00E90F86" w:rsidP="00E90F86">
                  <w:pPr>
                    <w:jc w:val="center"/>
                    <w:rPr>
                      <w:b/>
                    </w:rPr>
                  </w:pPr>
                </w:p>
              </w:tc>
              <w:tc>
                <w:tcPr>
                  <w:tcW w:w="992" w:type="dxa"/>
                </w:tcPr>
                <w:p w:rsidR="00E90F86" w:rsidRPr="00EF5876" w:rsidRDefault="00E90F86" w:rsidP="00EF5876">
                  <w:pPr>
                    <w:spacing w:after="0"/>
                    <w:jc w:val="center"/>
                    <w:rPr>
                      <w:b/>
                    </w:rPr>
                  </w:pPr>
                  <w:r w:rsidRPr="00EF5876">
                    <w:rPr>
                      <w:b/>
                    </w:rPr>
                    <w:t>TZL</w:t>
                  </w:r>
                </w:p>
              </w:tc>
              <w:tc>
                <w:tcPr>
                  <w:tcW w:w="1134" w:type="dxa"/>
                </w:tcPr>
                <w:p w:rsidR="00E90F86" w:rsidRPr="00EF5876" w:rsidRDefault="00E90F86" w:rsidP="00EF5876">
                  <w:pPr>
                    <w:spacing w:after="0"/>
                    <w:jc w:val="center"/>
                    <w:rPr>
                      <w:b/>
                      <w:vertAlign w:val="subscript"/>
                    </w:rPr>
                  </w:pPr>
                  <w:r w:rsidRPr="00EF5876">
                    <w:rPr>
                      <w:b/>
                    </w:rPr>
                    <w:t>SO</w:t>
                  </w:r>
                  <w:r w:rsidRPr="00EF5876">
                    <w:rPr>
                      <w:b/>
                      <w:vertAlign w:val="subscript"/>
                    </w:rPr>
                    <w:t>2</w:t>
                  </w:r>
                </w:p>
              </w:tc>
              <w:tc>
                <w:tcPr>
                  <w:tcW w:w="1281" w:type="dxa"/>
                </w:tcPr>
                <w:p w:rsidR="00E90F86" w:rsidRPr="00EF5876" w:rsidRDefault="00E90F86" w:rsidP="00EF5876">
                  <w:pPr>
                    <w:spacing w:after="0"/>
                    <w:jc w:val="center"/>
                    <w:rPr>
                      <w:b/>
                      <w:vertAlign w:val="subscript"/>
                    </w:rPr>
                  </w:pPr>
                  <w:r w:rsidRPr="00EF5876">
                    <w:rPr>
                      <w:b/>
                    </w:rPr>
                    <w:t>NO</w:t>
                  </w:r>
                  <w:r w:rsidRPr="00EF5876">
                    <w:rPr>
                      <w:b/>
                      <w:vertAlign w:val="subscript"/>
                    </w:rPr>
                    <w:t>X</w:t>
                  </w:r>
                </w:p>
              </w:tc>
            </w:tr>
            <w:tr w:rsidR="00E90F86" w:rsidRPr="00EF5876" w:rsidTr="006E65C5">
              <w:tc>
                <w:tcPr>
                  <w:tcW w:w="1413" w:type="dxa"/>
                </w:tcPr>
                <w:p w:rsidR="00E90F86" w:rsidRPr="00EF5876" w:rsidRDefault="00E90F86" w:rsidP="00EF5876">
                  <w:pPr>
                    <w:spacing w:after="0"/>
                  </w:pPr>
                  <w:r w:rsidRPr="00EF5876">
                    <w:t xml:space="preserve">Plynový olej </w:t>
                  </w:r>
                </w:p>
              </w:tc>
              <w:tc>
                <w:tcPr>
                  <w:tcW w:w="1134" w:type="dxa"/>
                </w:tcPr>
                <w:p w:rsidR="00E90F86" w:rsidRPr="00EF5876" w:rsidRDefault="00E90F86" w:rsidP="00EF5876">
                  <w:pPr>
                    <w:spacing w:after="0"/>
                    <w:jc w:val="center"/>
                  </w:pPr>
                  <w:r w:rsidRPr="00EF5876">
                    <w:t>≥ 1</w:t>
                  </w:r>
                </w:p>
              </w:tc>
              <w:tc>
                <w:tcPr>
                  <w:tcW w:w="992" w:type="dxa"/>
                </w:tcPr>
                <w:p w:rsidR="00E90F86" w:rsidRPr="00EF5876" w:rsidRDefault="00E90F86" w:rsidP="00EF5876">
                  <w:pPr>
                    <w:spacing w:after="0"/>
                    <w:jc w:val="center"/>
                  </w:pPr>
                  <w:r w:rsidRPr="00EF5876">
                    <w:t>-</w:t>
                  </w:r>
                </w:p>
              </w:tc>
              <w:tc>
                <w:tcPr>
                  <w:tcW w:w="1134" w:type="dxa"/>
                </w:tcPr>
                <w:p w:rsidR="00E90F86" w:rsidRPr="00EF5876" w:rsidRDefault="00E90F86" w:rsidP="00EF5876">
                  <w:pPr>
                    <w:spacing w:after="0"/>
                    <w:jc w:val="center"/>
                  </w:pPr>
                  <w:r w:rsidRPr="00EF5876">
                    <w:t>-</w:t>
                  </w:r>
                </w:p>
              </w:tc>
              <w:tc>
                <w:tcPr>
                  <w:tcW w:w="1281" w:type="dxa"/>
                </w:tcPr>
                <w:p w:rsidR="00E90F86" w:rsidRPr="00EF5876" w:rsidRDefault="00E90F86" w:rsidP="00EF5876">
                  <w:pPr>
                    <w:spacing w:after="0"/>
                    <w:jc w:val="center"/>
                  </w:pPr>
                  <w:r w:rsidRPr="00EF5876">
                    <w:t>200</w:t>
                  </w:r>
                </w:p>
              </w:tc>
            </w:tr>
            <w:tr w:rsidR="00EF5876" w:rsidRPr="00EF5876" w:rsidTr="006E65C5">
              <w:tc>
                <w:tcPr>
                  <w:tcW w:w="1413" w:type="dxa"/>
                  <w:vMerge w:val="restart"/>
                </w:tcPr>
                <w:p w:rsidR="00E90F86" w:rsidRPr="00EF5876" w:rsidRDefault="00E90F86" w:rsidP="00EF5876">
                  <w:pPr>
                    <w:tabs>
                      <w:tab w:val="left" w:pos="284"/>
                    </w:tabs>
                    <w:spacing w:after="0"/>
                  </w:pPr>
                  <w:r w:rsidRPr="00EF5876">
                    <w:t>Iné kvapalné palivá</w:t>
                  </w:r>
                </w:p>
              </w:tc>
              <w:tc>
                <w:tcPr>
                  <w:tcW w:w="1134" w:type="dxa"/>
                </w:tcPr>
                <w:p w:rsidR="00E90F86" w:rsidRPr="00EF5876" w:rsidRDefault="00E90F86" w:rsidP="00EF5876">
                  <w:pPr>
                    <w:spacing w:after="0"/>
                    <w:jc w:val="center"/>
                  </w:pPr>
                  <w:r w:rsidRPr="00EF5876">
                    <w:t>≥ 1- 5</w:t>
                  </w:r>
                </w:p>
              </w:tc>
              <w:tc>
                <w:tcPr>
                  <w:tcW w:w="992" w:type="dxa"/>
                </w:tcPr>
                <w:p w:rsidR="00E90F86" w:rsidRPr="00EF5876" w:rsidRDefault="00E90F86" w:rsidP="00EF5876">
                  <w:pPr>
                    <w:spacing w:after="0"/>
                    <w:jc w:val="center"/>
                  </w:pPr>
                  <w:r w:rsidRPr="00EF5876">
                    <w:t>20</w:t>
                  </w:r>
                </w:p>
              </w:tc>
              <w:tc>
                <w:tcPr>
                  <w:tcW w:w="1134" w:type="dxa"/>
                </w:tcPr>
                <w:p w:rsidR="00E90F86" w:rsidRPr="00EF5876" w:rsidRDefault="00E90F86" w:rsidP="00EF5876">
                  <w:pPr>
                    <w:spacing w:after="0"/>
                    <w:jc w:val="center"/>
                  </w:pPr>
                  <w:r w:rsidRPr="00EF5876">
                    <w:t>120</w:t>
                  </w:r>
                </w:p>
              </w:tc>
              <w:tc>
                <w:tcPr>
                  <w:tcW w:w="1281" w:type="dxa"/>
                </w:tcPr>
                <w:p w:rsidR="00E90F86" w:rsidRPr="00EF5876" w:rsidRDefault="00E90F86" w:rsidP="00EF5876">
                  <w:pPr>
                    <w:spacing w:after="0"/>
                    <w:jc w:val="center"/>
                  </w:pPr>
                  <w:r w:rsidRPr="00EF5876">
                    <w:t>200</w:t>
                  </w:r>
                </w:p>
              </w:tc>
            </w:tr>
            <w:tr w:rsidR="00E90F86" w:rsidRPr="00EF5876" w:rsidTr="006E65C5">
              <w:tc>
                <w:tcPr>
                  <w:tcW w:w="1413" w:type="dxa"/>
                  <w:vMerge/>
                </w:tcPr>
                <w:p w:rsidR="00E90F86" w:rsidRPr="00EF5876" w:rsidRDefault="00E90F86" w:rsidP="00EF5876">
                  <w:pPr>
                    <w:spacing w:after="0"/>
                  </w:pPr>
                </w:p>
              </w:tc>
              <w:tc>
                <w:tcPr>
                  <w:tcW w:w="1134" w:type="dxa"/>
                </w:tcPr>
                <w:p w:rsidR="00E90F86" w:rsidRPr="00EF5876" w:rsidRDefault="00E90F86" w:rsidP="00EF5876">
                  <w:pPr>
                    <w:spacing w:after="0"/>
                    <w:jc w:val="center"/>
                  </w:pPr>
                  <w:r w:rsidRPr="00EF5876">
                    <w:t>&gt; 5</w:t>
                  </w:r>
                </w:p>
              </w:tc>
              <w:tc>
                <w:tcPr>
                  <w:tcW w:w="992" w:type="dxa"/>
                </w:tcPr>
                <w:p w:rsidR="00E90F86" w:rsidRPr="00EF5876" w:rsidRDefault="00E90F86" w:rsidP="00EF5876">
                  <w:pPr>
                    <w:spacing w:after="0"/>
                    <w:jc w:val="center"/>
                  </w:pPr>
                  <w:r w:rsidRPr="00EF5876">
                    <w:t>10, 20</w:t>
                  </w:r>
                  <w:r w:rsidRPr="00EF5876">
                    <w:rPr>
                      <w:vertAlign w:val="superscript"/>
                    </w:rPr>
                    <w:t>2</w:t>
                  </w:r>
                  <w:r w:rsidRPr="00EF5876">
                    <w:t>)</w:t>
                  </w:r>
                </w:p>
              </w:tc>
              <w:tc>
                <w:tcPr>
                  <w:tcW w:w="1134" w:type="dxa"/>
                </w:tcPr>
                <w:p w:rsidR="00E90F86" w:rsidRPr="00EF5876" w:rsidRDefault="00E90F86" w:rsidP="00EF5876">
                  <w:pPr>
                    <w:spacing w:after="0"/>
                    <w:jc w:val="center"/>
                  </w:pPr>
                  <w:r w:rsidRPr="00EF5876">
                    <w:t>120</w:t>
                  </w:r>
                </w:p>
              </w:tc>
              <w:tc>
                <w:tcPr>
                  <w:tcW w:w="1281" w:type="dxa"/>
                </w:tcPr>
                <w:p w:rsidR="00E90F86" w:rsidRPr="00EF5876" w:rsidRDefault="00E90F86" w:rsidP="00EF5876">
                  <w:pPr>
                    <w:spacing w:after="0"/>
                    <w:jc w:val="center"/>
                  </w:pPr>
                  <w:r w:rsidRPr="00EF5876">
                    <w:t>200</w:t>
                  </w:r>
                </w:p>
              </w:tc>
            </w:tr>
            <w:tr w:rsidR="00E90F86" w:rsidRPr="00EF5876" w:rsidTr="006E65C5">
              <w:tc>
                <w:tcPr>
                  <w:tcW w:w="1413" w:type="dxa"/>
                </w:tcPr>
                <w:p w:rsidR="00E90F86" w:rsidRPr="00EF5876" w:rsidRDefault="00E90F86" w:rsidP="00EF5876">
                  <w:pPr>
                    <w:spacing w:after="0"/>
                  </w:pPr>
                  <w:r w:rsidRPr="00EF5876">
                    <w:t>ZPN</w:t>
                  </w:r>
                </w:p>
              </w:tc>
              <w:tc>
                <w:tcPr>
                  <w:tcW w:w="1134" w:type="dxa"/>
                </w:tcPr>
                <w:p w:rsidR="00E90F86" w:rsidRPr="00EF5876" w:rsidRDefault="00E90F86" w:rsidP="00EF5876">
                  <w:pPr>
                    <w:spacing w:after="0"/>
                    <w:jc w:val="center"/>
                  </w:pPr>
                  <w:r w:rsidRPr="00EF5876">
                    <w:t>≥ 1</w:t>
                  </w:r>
                </w:p>
              </w:tc>
              <w:tc>
                <w:tcPr>
                  <w:tcW w:w="992" w:type="dxa"/>
                </w:tcPr>
                <w:p w:rsidR="00E90F86" w:rsidRPr="00EF5876" w:rsidRDefault="00E90F86" w:rsidP="00EF5876">
                  <w:pPr>
                    <w:spacing w:after="0"/>
                    <w:jc w:val="center"/>
                  </w:pPr>
                  <w:r w:rsidRPr="00EF5876">
                    <w:t>-</w:t>
                  </w:r>
                </w:p>
              </w:tc>
              <w:tc>
                <w:tcPr>
                  <w:tcW w:w="1134" w:type="dxa"/>
                </w:tcPr>
                <w:p w:rsidR="00E90F86" w:rsidRPr="00EF5876" w:rsidRDefault="00E90F86" w:rsidP="00EF5876">
                  <w:pPr>
                    <w:spacing w:after="0"/>
                    <w:jc w:val="center"/>
                  </w:pPr>
                  <w:r w:rsidRPr="00EF5876">
                    <w:t>-</w:t>
                  </w:r>
                </w:p>
              </w:tc>
              <w:tc>
                <w:tcPr>
                  <w:tcW w:w="1281" w:type="dxa"/>
                </w:tcPr>
                <w:p w:rsidR="00E90F86" w:rsidRPr="00EF5876" w:rsidRDefault="00E90F86" w:rsidP="00EF5876">
                  <w:pPr>
                    <w:spacing w:after="0"/>
                    <w:jc w:val="center"/>
                  </w:pPr>
                  <w:r w:rsidRPr="00EF5876">
                    <w:t>150</w:t>
                  </w:r>
                </w:p>
              </w:tc>
            </w:tr>
            <w:tr w:rsidR="00E90F86" w:rsidRPr="00EF5876" w:rsidTr="006E65C5">
              <w:tc>
                <w:tcPr>
                  <w:tcW w:w="1413" w:type="dxa"/>
                </w:tcPr>
                <w:p w:rsidR="00E90F86" w:rsidRPr="00EF5876" w:rsidRDefault="00E90F86" w:rsidP="00EF5876">
                  <w:pPr>
                    <w:spacing w:after="0"/>
                  </w:pPr>
                  <w:r w:rsidRPr="00EF5876">
                    <w:t xml:space="preserve">Iné plynné palivá </w:t>
                  </w:r>
                </w:p>
              </w:tc>
              <w:tc>
                <w:tcPr>
                  <w:tcW w:w="1134" w:type="dxa"/>
                </w:tcPr>
                <w:p w:rsidR="00E90F86" w:rsidRPr="00EF5876" w:rsidRDefault="00E90F86" w:rsidP="00EF5876">
                  <w:pPr>
                    <w:spacing w:after="0"/>
                    <w:jc w:val="center"/>
                  </w:pPr>
                  <w:r w:rsidRPr="00EF5876">
                    <w:t>≥ 1</w:t>
                  </w:r>
                </w:p>
              </w:tc>
              <w:tc>
                <w:tcPr>
                  <w:tcW w:w="992" w:type="dxa"/>
                </w:tcPr>
                <w:p w:rsidR="00E90F86" w:rsidRPr="00EF5876" w:rsidRDefault="00E90F86" w:rsidP="00EF5876">
                  <w:pPr>
                    <w:spacing w:after="0"/>
                    <w:jc w:val="center"/>
                  </w:pPr>
                  <w:r w:rsidRPr="00EF5876">
                    <w:t>-</w:t>
                  </w:r>
                </w:p>
              </w:tc>
              <w:tc>
                <w:tcPr>
                  <w:tcW w:w="1134" w:type="dxa"/>
                </w:tcPr>
                <w:p w:rsidR="00E90F86" w:rsidRPr="00EF5876" w:rsidRDefault="00E90F86" w:rsidP="00EF5876">
                  <w:pPr>
                    <w:spacing w:after="0"/>
                    <w:jc w:val="center"/>
                  </w:pPr>
                  <w:r w:rsidRPr="00EF5876">
                    <w:t>15, 60</w:t>
                  </w:r>
                  <w:r w:rsidRPr="00EF5876">
                    <w:rPr>
                      <w:vertAlign w:val="superscript"/>
                    </w:rPr>
                    <w:t>2</w:t>
                  </w:r>
                  <w:r w:rsidRPr="00EF5876">
                    <w:t>), 65</w:t>
                  </w:r>
                  <w:r w:rsidRPr="00EF5876">
                    <w:rPr>
                      <w:vertAlign w:val="superscript"/>
                    </w:rPr>
                    <w:t>3</w:t>
                  </w:r>
                  <w:r w:rsidRPr="00EF5876">
                    <w:t>), 130</w:t>
                  </w:r>
                  <w:r w:rsidRPr="00EF5876">
                    <w:rPr>
                      <w:vertAlign w:val="superscript"/>
                    </w:rPr>
                    <w:t>4</w:t>
                  </w:r>
                  <w:r w:rsidRPr="00EF5876">
                    <w:t xml:space="preserve">) </w:t>
                  </w:r>
                </w:p>
              </w:tc>
              <w:tc>
                <w:tcPr>
                  <w:tcW w:w="1281" w:type="dxa"/>
                </w:tcPr>
                <w:p w:rsidR="00E90F86" w:rsidRPr="00EF5876" w:rsidRDefault="00E90F86" w:rsidP="00EF5876">
                  <w:pPr>
                    <w:spacing w:after="0"/>
                    <w:jc w:val="center"/>
                  </w:pPr>
                  <w:r w:rsidRPr="00EF5876">
                    <w:t>200</w:t>
                  </w:r>
                </w:p>
              </w:tc>
            </w:tr>
          </w:tbl>
          <w:p w:rsidR="0085178D" w:rsidRPr="00EF5876" w:rsidRDefault="0085178D" w:rsidP="0085178D">
            <w:pPr>
              <w:pStyle w:val="Normln"/>
              <w:keepNext/>
              <w:rPr>
                <w:b/>
                <w:szCs w:val="22"/>
                <w:lang w:val="sk-SK"/>
              </w:rPr>
            </w:pPr>
          </w:p>
          <w:p w:rsidR="0085178D" w:rsidRPr="006E65C5" w:rsidRDefault="00FB4987" w:rsidP="0085178D">
            <w:pPr>
              <w:pStyle w:val="Normln"/>
              <w:keepNext/>
              <w:rPr>
                <w:rFonts w:ascii="Calibri" w:eastAsia="Calibri" w:hAnsi="Calibri" w:cs="Calibri"/>
                <w:b/>
                <w:szCs w:val="22"/>
                <w:lang w:val="sk-SK" w:eastAsia="en-US"/>
              </w:rPr>
            </w:pPr>
            <w:r w:rsidRPr="00EF5876">
              <w:rPr>
                <w:b/>
                <w:szCs w:val="22"/>
                <w:lang w:val="sk-SK"/>
              </w:rPr>
              <w:t>A</w:t>
            </w:r>
            <w:r w:rsidR="0085178D" w:rsidRPr="006E65C5">
              <w:rPr>
                <w:rFonts w:ascii="Calibri" w:eastAsia="Calibri" w:hAnsi="Calibri" w:cs="Calibri"/>
                <w:szCs w:val="22"/>
                <w:lang w:val="sk-SK" w:eastAsia="en-US"/>
              </w:rPr>
              <w:t xml:space="preserve">. </w:t>
            </w:r>
            <w:r w:rsidR="0085178D" w:rsidRPr="006E65C5">
              <w:rPr>
                <w:rFonts w:ascii="Calibri" w:eastAsia="Calibri" w:hAnsi="Calibri" w:cs="Calibri"/>
                <w:b/>
                <w:szCs w:val="22"/>
                <w:lang w:val="sk-SK" w:eastAsia="en-US"/>
              </w:rPr>
              <w:t xml:space="preserve">Emisné limity pre piestové spaľovacie motory – jestvujúce zariadenia </w:t>
            </w:r>
          </w:p>
          <w:p w:rsidR="0085178D" w:rsidRPr="006E65C5" w:rsidRDefault="0085178D" w:rsidP="0085178D">
            <w:pPr>
              <w:pStyle w:val="Odsekzoznamu1"/>
              <w:ind w:left="0"/>
              <w:rPr>
                <w:rFonts w:ascii="Calibri" w:hAnsi="Calibri" w:cs="Calibri"/>
                <w:sz w:val="22"/>
                <w:szCs w:val="22"/>
              </w:rPr>
            </w:pPr>
            <w:r w:rsidRPr="006E65C5">
              <w:rPr>
                <w:rFonts w:ascii="Calibri" w:hAnsi="Calibri" w:cs="Calibri"/>
                <w:sz w:val="22"/>
                <w:szCs w:val="22"/>
              </w:rPr>
              <w:t xml:space="preserve">       platné pre stacionárne piestové spaľovacie motory </w:t>
            </w:r>
          </w:p>
          <w:p w:rsidR="0085178D" w:rsidRPr="006E65C5" w:rsidRDefault="0085178D" w:rsidP="006E65C5">
            <w:pPr>
              <w:pStyle w:val="Odsekzoznamu"/>
              <w:keepNext w:val="0"/>
              <w:numPr>
                <w:ilvl w:val="0"/>
                <w:numId w:val="36"/>
              </w:numPr>
              <w:spacing w:before="0" w:after="0"/>
              <w:ind w:left="289" w:hanging="289"/>
              <w:contextualSpacing/>
              <w:jc w:val="left"/>
              <w:rPr>
                <w:rFonts w:ascii="Calibri" w:eastAsia="Calibri" w:hAnsi="Calibri" w:cs="Calibri"/>
                <w:sz w:val="22"/>
                <w:szCs w:val="22"/>
              </w:rPr>
            </w:pPr>
            <w:r w:rsidRPr="006E65C5">
              <w:rPr>
                <w:rFonts w:ascii="Calibri" w:eastAsia="Calibri" w:hAnsi="Calibri" w:cs="Calibri"/>
                <w:sz w:val="22"/>
                <w:szCs w:val="22"/>
              </w:rPr>
              <w:t>s celkovým MTP  &gt; 5 MW a viac platné od 1. januára 2025,</w:t>
            </w:r>
          </w:p>
          <w:p w:rsidR="00447A05" w:rsidRPr="006E65C5" w:rsidRDefault="00447A05" w:rsidP="006E65C5">
            <w:pPr>
              <w:pStyle w:val="Odsekzoznamu"/>
              <w:keepNext w:val="0"/>
              <w:numPr>
                <w:ilvl w:val="0"/>
                <w:numId w:val="36"/>
              </w:numPr>
              <w:spacing w:before="0" w:after="0"/>
              <w:ind w:left="289" w:hanging="289"/>
              <w:contextualSpacing/>
              <w:jc w:val="left"/>
              <w:rPr>
                <w:rFonts w:ascii="Calibri" w:eastAsia="Calibri" w:hAnsi="Calibri" w:cs="Calibri"/>
                <w:sz w:val="22"/>
                <w:szCs w:val="22"/>
              </w:rPr>
            </w:pPr>
            <w:r w:rsidRPr="006E65C5">
              <w:rPr>
                <w:rFonts w:ascii="Calibri" w:eastAsia="Calibri" w:hAnsi="Calibri" w:cs="Calibri"/>
                <w:sz w:val="22"/>
                <w:szCs w:val="22"/>
              </w:rPr>
              <w:t>s celkovým MTP od  ≥ 1MW a  ≤ 5 MW platné od 1. januára 2030.</w:t>
            </w:r>
          </w:p>
          <w:tbl>
            <w:tblPr>
              <w:tblStyle w:val="Mriekatabuky"/>
              <w:tblpPr w:leftFromText="141" w:rightFromText="141" w:vertAnchor="text" w:horzAnchor="page" w:tblpX="545" w:tblpY="568"/>
              <w:tblOverlap w:val="never"/>
              <w:tblW w:w="6799" w:type="dxa"/>
              <w:tblLayout w:type="fixed"/>
              <w:tblLook w:val="04A0" w:firstRow="1" w:lastRow="0" w:firstColumn="1" w:lastColumn="0" w:noHBand="0" w:noVBand="1"/>
            </w:tblPr>
            <w:tblGrid>
              <w:gridCol w:w="1163"/>
              <w:gridCol w:w="850"/>
              <w:gridCol w:w="1101"/>
              <w:gridCol w:w="1701"/>
              <w:gridCol w:w="1984"/>
            </w:tblGrid>
            <w:tr w:rsidR="00EF5876" w:rsidRPr="00EF5876" w:rsidTr="00EF5876">
              <w:trPr>
                <w:trHeight w:val="563"/>
              </w:trPr>
              <w:tc>
                <w:tcPr>
                  <w:tcW w:w="1163" w:type="dxa"/>
                  <w:vMerge w:val="restart"/>
                  <w:vAlign w:val="center"/>
                </w:tcPr>
                <w:p w:rsidR="0085178D" w:rsidRPr="00EF5876" w:rsidRDefault="00447A05" w:rsidP="00EF5876">
                  <w:pPr>
                    <w:spacing w:after="0"/>
                    <w:ind w:right="-74"/>
                    <w:rPr>
                      <w:b/>
                    </w:rPr>
                  </w:pPr>
                  <w:r w:rsidRPr="00EF5876">
                    <w:rPr>
                      <w:szCs w:val="22"/>
                    </w:rPr>
                    <w:t xml:space="preserve">  Emisné limity platné </w:t>
                  </w:r>
                  <w:r w:rsidRPr="00EF5876">
                    <w:rPr>
                      <w:szCs w:val="22"/>
                    </w:rPr>
                    <w:lastRenderedPageBreak/>
                    <w:t xml:space="preserve">do termínov podľa písmena a) a b) sú uvedené v piatej časti. </w:t>
                  </w:r>
                  <w:r w:rsidR="0085178D" w:rsidRPr="00EF5876">
                    <w:rPr>
                      <w:b/>
                    </w:rPr>
                    <w:t>Podmienky plat</w:t>
                  </w:r>
                  <w:r w:rsidR="00EF5876" w:rsidRPr="00EF5876">
                    <w:rPr>
                      <w:b/>
                    </w:rPr>
                    <w:t>nosti </w:t>
                  </w:r>
                  <w:r w:rsidR="0085178D" w:rsidRPr="00EF5876">
                    <w:rPr>
                      <w:b/>
                    </w:rPr>
                    <w:t>EL</w:t>
                  </w:r>
                </w:p>
              </w:tc>
              <w:tc>
                <w:tcPr>
                  <w:tcW w:w="850" w:type="dxa"/>
                  <w:vMerge w:val="restart"/>
                  <w:vAlign w:val="center"/>
                </w:tcPr>
                <w:p w:rsidR="0085178D" w:rsidRPr="00EF5876" w:rsidRDefault="0085178D" w:rsidP="0085178D">
                  <w:r w:rsidRPr="00EF5876">
                    <w:rPr>
                      <w:b/>
                    </w:rPr>
                    <w:lastRenderedPageBreak/>
                    <w:t xml:space="preserve">MTP </w:t>
                  </w:r>
                  <w:r w:rsidRPr="00EF5876">
                    <w:rPr>
                      <w:b/>
                    </w:rPr>
                    <w:lastRenderedPageBreak/>
                    <w:t>[MW]</w:t>
                  </w:r>
                </w:p>
              </w:tc>
              <w:tc>
                <w:tcPr>
                  <w:tcW w:w="4786" w:type="dxa"/>
                  <w:gridSpan w:val="3"/>
                </w:tcPr>
                <w:p w:rsidR="0085178D" w:rsidRPr="00EF5876" w:rsidRDefault="0085178D" w:rsidP="00EF5876">
                  <w:pPr>
                    <w:spacing w:after="0"/>
                  </w:pPr>
                  <w:r w:rsidRPr="00EF5876">
                    <w:lastRenderedPageBreak/>
                    <w:t>Štandardné stavové podmienky, suchý plyn, O</w:t>
                  </w:r>
                  <w:r w:rsidRPr="00EF5876">
                    <w:rPr>
                      <w:vertAlign w:val="subscript"/>
                    </w:rPr>
                    <w:t xml:space="preserve">2 </w:t>
                  </w:r>
                  <w:proofErr w:type="spellStart"/>
                  <w:r w:rsidRPr="00EF5876">
                    <w:rPr>
                      <w:vertAlign w:val="subscript"/>
                    </w:rPr>
                    <w:t>ref</w:t>
                  </w:r>
                  <w:proofErr w:type="spellEnd"/>
                  <w:r w:rsidRPr="00EF5876">
                    <w:t xml:space="preserve">: 15 % objemu </w:t>
                  </w:r>
                  <w:r w:rsidRPr="00EF5876">
                    <w:rPr>
                      <w:lang w:eastAsia="sk-SK"/>
                    </w:rPr>
                    <w:t xml:space="preserve">  </w:t>
                  </w:r>
                </w:p>
              </w:tc>
            </w:tr>
            <w:tr w:rsidR="0085178D" w:rsidRPr="00EF5876" w:rsidTr="00DD75FE">
              <w:trPr>
                <w:trHeight w:val="731"/>
              </w:trPr>
              <w:tc>
                <w:tcPr>
                  <w:tcW w:w="1163" w:type="dxa"/>
                  <w:vMerge/>
                  <w:vAlign w:val="center"/>
                </w:tcPr>
                <w:p w:rsidR="0085178D" w:rsidRPr="00EF5876" w:rsidRDefault="0085178D" w:rsidP="0085178D">
                  <w:pPr>
                    <w:rPr>
                      <w:b/>
                    </w:rPr>
                  </w:pPr>
                </w:p>
              </w:tc>
              <w:tc>
                <w:tcPr>
                  <w:tcW w:w="850" w:type="dxa"/>
                  <w:vMerge/>
                  <w:vAlign w:val="center"/>
                </w:tcPr>
                <w:p w:rsidR="0085178D" w:rsidRPr="00EF5876" w:rsidRDefault="0085178D" w:rsidP="0085178D">
                  <w:pPr>
                    <w:rPr>
                      <w:b/>
                    </w:rPr>
                  </w:pPr>
                </w:p>
              </w:tc>
              <w:tc>
                <w:tcPr>
                  <w:tcW w:w="4786" w:type="dxa"/>
                  <w:gridSpan w:val="3"/>
                </w:tcPr>
                <w:p w:rsidR="0085178D" w:rsidRPr="00EF5876" w:rsidRDefault="0085178D" w:rsidP="00EF5876">
                  <w:pPr>
                    <w:spacing w:after="0"/>
                    <w:jc w:val="both"/>
                    <w:rPr>
                      <w:lang w:val="en-US"/>
                    </w:rPr>
                  </w:pPr>
                  <w:r w:rsidRPr="00EF5876">
                    <w:rPr>
                      <w:lang w:eastAsia="sk-SK"/>
                    </w:rPr>
                    <w:t>Pre zariadenia využívané na pohon plynových kompresorových staníc potrebných na zaistenie bezpečnosti vnútroštátnych plynárenských prepravných sústav plynu podľa § 17b možno do roku 2030 povoliť výnimku z EL pre NOx, pričom určený EL nesmie prekročiť EL ustanovený v časti V</w:t>
                  </w:r>
                </w:p>
              </w:tc>
            </w:tr>
            <w:tr w:rsidR="00EF5876" w:rsidRPr="00EF5876" w:rsidTr="00EF5876">
              <w:trPr>
                <w:trHeight w:val="411"/>
              </w:trPr>
              <w:tc>
                <w:tcPr>
                  <w:tcW w:w="1163" w:type="dxa"/>
                  <w:vMerge/>
                  <w:vAlign w:val="center"/>
                </w:tcPr>
                <w:p w:rsidR="0085178D" w:rsidRPr="00EF5876" w:rsidRDefault="0085178D" w:rsidP="0085178D">
                  <w:pPr>
                    <w:rPr>
                      <w:b/>
                    </w:rPr>
                  </w:pPr>
                </w:p>
              </w:tc>
              <w:tc>
                <w:tcPr>
                  <w:tcW w:w="850" w:type="dxa"/>
                  <w:vMerge/>
                  <w:vAlign w:val="center"/>
                </w:tcPr>
                <w:p w:rsidR="0085178D" w:rsidRPr="00EF5876" w:rsidRDefault="0085178D" w:rsidP="0085178D">
                  <w:pPr>
                    <w:rPr>
                      <w:b/>
                    </w:rPr>
                  </w:pPr>
                </w:p>
              </w:tc>
              <w:tc>
                <w:tcPr>
                  <w:tcW w:w="4786" w:type="dxa"/>
                  <w:gridSpan w:val="3"/>
                </w:tcPr>
                <w:p w:rsidR="0085178D" w:rsidRPr="00EF5876" w:rsidRDefault="0085178D" w:rsidP="00EF5876">
                  <w:pPr>
                    <w:spacing w:after="0"/>
                    <w:ind w:left="284" w:hanging="284"/>
                    <w:jc w:val="both"/>
                    <w:rPr>
                      <w:lang w:val="en-US"/>
                    </w:rPr>
                  </w:pPr>
                  <w:r w:rsidRPr="00EF5876">
                    <w:rPr>
                      <w:b/>
                    </w:rPr>
                    <w:t xml:space="preserve">Emisný limit </w:t>
                  </w:r>
                  <w:r w:rsidRPr="00EF5876">
                    <w:rPr>
                      <w:b/>
                    </w:rPr>
                    <w:sym w:font="Symbol" w:char="F05B"/>
                  </w:r>
                  <w:r w:rsidRPr="00EF5876">
                    <w:rPr>
                      <w:b/>
                    </w:rPr>
                    <w:t>mg/m</w:t>
                  </w:r>
                  <w:r w:rsidRPr="00EF5876">
                    <w:rPr>
                      <w:b/>
                      <w:vertAlign w:val="superscript"/>
                    </w:rPr>
                    <w:t>3</w:t>
                  </w:r>
                  <w:r w:rsidRPr="00EF5876">
                    <w:rPr>
                      <w:b/>
                    </w:rPr>
                    <w:sym w:font="Symbol" w:char="F05D"/>
                  </w:r>
                </w:p>
              </w:tc>
            </w:tr>
            <w:tr w:rsidR="00EF5876" w:rsidRPr="00EF5876" w:rsidTr="00EE10DB">
              <w:trPr>
                <w:trHeight w:val="558"/>
              </w:trPr>
              <w:tc>
                <w:tcPr>
                  <w:tcW w:w="1163" w:type="dxa"/>
                  <w:vMerge/>
                </w:tcPr>
                <w:p w:rsidR="0085178D" w:rsidRPr="00EF5876" w:rsidRDefault="0085178D" w:rsidP="0085178D"/>
              </w:tc>
              <w:tc>
                <w:tcPr>
                  <w:tcW w:w="850" w:type="dxa"/>
                  <w:vMerge/>
                </w:tcPr>
                <w:p w:rsidR="0085178D" w:rsidRPr="00EF5876" w:rsidRDefault="0085178D" w:rsidP="0085178D">
                  <w:pPr>
                    <w:jc w:val="center"/>
                    <w:rPr>
                      <w:b/>
                    </w:rPr>
                  </w:pPr>
                </w:p>
              </w:tc>
              <w:tc>
                <w:tcPr>
                  <w:tcW w:w="1101" w:type="dxa"/>
                </w:tcPr>
                <w:p w:rsidR="0085178D" w:rsidRPr="00EF5876" w:rsidRDefault="0085178D" w:rsidP="0085178D">
                  <w:pPr>
                    <w:jc w:val="center"/>
                    <w:rPr>
                      <w:b/>
                    </w:rPr>
                  </w:pPr>
                  <w:r w:rsidRPr="00EF5876">
                    <w:rPr>
                      <w:b/>
                    </w:rPr>
                    <w:t>TZL</w:t>
                  </w:r>
                </w:p>
              </w:tc>
              <w:tc>
                <w:tcPr>
                  <w:tcW w:w="1701" w:type="dxa"/>
                </w:tcPr>
                <w:p w:rsidR="0085178D" w:rsidRPr="00EF5876" w:rsidRDefault="0085178D" w:rsidP="0085178D">
                  <w:pPr>
                    <w:jc w:val="center"/>
                    <w:rPr>
                      <w:b/>
                      <w:vertAlign w:val="subscript"/>
                    </w:rPr>
                  </w:pPr>
                  <w:r w:rsidRPr="00EF5876">
                    <w:rPr>
                      <w:b/>
                    </w:rPr>
                    <w:t>SO</w:t>
                  </w:r>
                  <w:r w:rsidRPr="00EF5876">
                    <w:rPr>
                      <w:b/>
                      <w:vertAlign w:val="subscript"/>
                    </w:rPr>
                    <w:t>2</w:t>
                  </w:r>
                </w:p>
              </w:tc>
              <w:tc>
                <w:tcPr>
                  <w:tcW w:w="1984" w:type="dxa"/>
                </w:tcPr>
                <w:p w:rsidR="0085178D" w:rsidRPr="00EF5876" w:rsidRDefault="0085178D" w:rsidP="0085178D">
                  <w:pPr>
                    <w:jc w:val="center"/>
                    <w:rPr>
                      <w:b/>
                      <w:vertAlign w:val="subscript"/>
                    </w:rPr>
                  </w:pPr>
                  <w:r w:rsidRPr="00EF5876">
                    <w:rPr>
                      <w:b/>
                    </w:rPr>
                    <w:t>NO</w:t>
                  </w:r>
                  <w:r w:rsidRPr="00EF5876">
                    <w:rPr>
                      <w:b/>
                      <w:vertAlign w:val="subscript"/>
                    </w:rPr>
                    <w:t>X</w:t>
                  </w:r>
                </w:p>
              </w:tc>
            </w:tr>
            <w:tr w:rsidR="0085178D" w:rsidRPr="00EF5876" w:rsidTr="00EE10DB">
              <w:tc>
                <w:tcPr>
                  <w:tcW w:w="1163" w:type="dxa"/>
                </w:tcPr>
                <w:p w:rsidR="0085178D" w:rsidRPr="00EF5876" w:rsidRDefault="0085178D" w:rsidP="00EF5876">
                  <w:pPr>
                    <w:spacing w:after="0"/>
                  </w:pPr>
                  <w:r w:rsidRPr="00EF5876">
                    <w:t xml:space="preserve">Plynový olej </w:t>
                  </w:r>
                </w:p>
              </w:tc>
              <w:tc>
                <w:tcPr>
                  <w:tcW w:w="850" w:type="dxa"/>
                </w:tcPr>
                <w:p w:rsidR="0085178D" w:rsidRPr="00EF5876" w:rsidRDefault="0085178D" w:rsidP="00EF5876">
                  <w:pPr>
                    <w:spacing w:after="0"/>
                    <w:jc w:val="center"/>
                  </w:pPr>
                  <w:r w:rsidRPr="00EF5876">
                    <w:t>&gt; 1</w:t>
                  </w:r>
                </w:p>
              </w:tc>
              <w:tc>
                <w:tcPr>
                  <w:tcW w:w="1101" w:type="dxa"/>
                </w:tcPr>
                <w:p w:rsidR="0085178D" w:rsidRPr="00EF5876" w:rsidRDefault="0085178D" w:rsidP="00EF5876">
                  <w:pPr>
                    <w:spacing w:after="0"/>
                    <w:jc w:val="center"/>
                  </w:pPr>
                  <w:r w:rsidRPr="00EF5876">
                    <w:t>-</w:t>
                  </w:r>
                </w:p>
              </w:tc>
              <w:tc>
                <w:tcPr>
                  <w:tcW w:w="1701" w:type="dxa"/>
                </w:tcPr>
                <w:p w:rsidR="0085178D" w:rsidRPr="00EF5876" w:rsidRDefault="0085178D" w:rsidP="00EF5876">
                  <w:pPr>
                    <w:spacing w:after="0"/>
                    <w:jc w:val="center"/>
                  </w:pPr>
                  <w:r w:rsidRPr="00EF5876">
                    <w:t>-</w:t>
                  </w:r>
                </w:p>
              </w:tc>
              <w:tc>
                <w:tcPr>
                  <w:tcW w:w="1984" w:type="dxa"/>
                </w:tcPr>
                <w:p w:rsidR="0085178D" w:rsidRPr="00EF5876" w:rsidRDefault="0085178D" w:rsidP="00EF5876">
                  <w:pPr>
                    <w:spacing w:after="0"/>
                    <w:jc w:val="center"/>
                  </w:pPr>
                  <w:r w:rsidRPr="00EF5876">
                    <w:t>190, 1850</w:t>
                  </w:r>
                  <w:r w:rsidRPr="00EF5876">
                    <w:rPr>
                      <w:vertAlign w:val="superscript"/>
                    </w:rPr>
                    <w:t>1</w:t>
                  </w:r>
                  <w:r w:rsidRPr="00EF5876">
                    <w:t>)</w:t>
                  </w:r>
                </w:p>
              </w:tc>
            </w:tr>
            <w:tr w:rsidR="00EF5876" w:rsidRPr="00EF5876" w:rsidTr="00EE10DB">
              <w:tc>
                <w:tcPr>
                  <w:tcW w:w="1163" w:type="dxa"/>
                  <w:vMerge w:val="restart"/>
                </w:tcPr>
                <w:p w:rsidR="0085178D" w:rsidRPr="00EF5876" w:rsidRDefault="0085178D" w:rsidP="00EF5876">
                  <w:pPr>
                    <w:tabs>
                      <w:tab w:val="left" w:pos="284"/>
                    </w:tabs>
                    <w:spacing w:after="0"/>
                  </w:pPr>
                  <w:r w:rsidRPr="00EF5876">
                    <w:t>Iné kvapalné palivá</w:t>
                  </w:r>
                </w:p>
              </w:tc>
              <w:tc>
                <w:tcPr>
                  <w:tcW w:w="850" w:type="dxa"/>
                </w:tcPr>
                <w:p w:rsidR="0085178D" w:rsidRPr="00EF5876" w:rsidRDefault="0085178D" w:rsidP="00EF5876">
                  <w:pPr>
                    <w:spacing w:after="0"/>
                    <w:jc w:val="center"/>
                  </w:pPr>
                  <w:r w:rsidRPr="00EF5876">
                    <w:t>1-5</w:t>
                  </w:r>
                </w:p>
              </w:tc>
              <w:tc>
                <w:tcPr>
                  <w:tcW w:w="1101" w:type="dxa"/>
                </w:tcPr>
                <w:p w:rsidR="0085178D" w:rsidRPr="00EF5876" w:rsidRDefault="0085178D" w:rsidP="00EF5876">
                  <w:pPr>
                    <w:spacing w:after="0"/>
                    <w:jc w:val="center"/>
                  </w:pPr>
                  <w:r w:rsidRPr="00EF5876">
                    <w:t>20</w:t>
                  </w:r>
                </w:p>
              </w:tc>
              <w:tc>
                <w:tcPr>
                  <w:tcW w:w="1701" w:type="dxa"/>
                </w:tcPr>
                <w:p w:rsidR="0085178D" w:rsidRPr="00EF5876" w:rsidRDefault="0085178D" w:rsidP="00EF5876">
                  <w:pPr>
                    <w:spacing w:after="0"/>
                    <w:jc w:val="center"/>
                  </w:pPr>
                  <w:r w:rsidRPr="00EF5876">
                    <w:t>120</w:t>
                  </w:r>
                </w:p>
              </w:tc>
              <w:tc>
                <w:tcPr>
                  <w:tcW w:w="1984" w:type="dxa"/>
                </w:tcPr>
                <w:p w:rsidR="0085178D" w:rsidRPr="00EF5876" w:rsidRDefault="0085178D" w:rsidP="00EF5876">
                  <w:pPr>
                    <w:spacing w:after="0"/>
                    <w:jc w:val="center"/>
                  </w:pPr>
                  <w:r w:rsidRPr="00EF5876">
                    <w:t>250, 1850</w:t>
                  </w:r>
                  <w:r w:rsidRPr="00EF5876">
                    <w:rPr>
                      <w:vertAlign w:val="superscript"/>
                    </w:rPr>
                    <w:t>1</w:t>
                  </w:r>
                  <w:r w:rsidRPr="00EF5876">
                    <w:t xml:space="preserve">) </w:t>
                  </w:r>
                </w:p>
              </w:tc>
            </w:tr>
            <w:tr w:rsidR="0085178D" w:rsidRPr="00EF5876" w:rsidTr="00EE10DB">
              <w:tc>
                <w:tcPr>
                  <w:tcW w:w="1163" w:type="dxa"/>
                  <w:vMerge/>
                </w:tcPr>
                <w:p w:rsidR="0085178D" w:rsidRPr="00EF5876" w:rsidRDefault="0085178D" w:rsidP="00EF5876">
                  <w:pPr>
                    <w:spacing w:after="0"/>
                  </w:pPr>
                </w:p>
              </w:tc>
              <w:tc>
                <w:tcPr>
                  <w:tcW w:w="850" w:type="dxa"/>
                </w:tcPr>
                <w:p w:rsidR="0085178D" w:rsidRPr="00EF5876" w:rsidRDefault="0085178D" w:rsidP="00EF5876">
                  <w:pPr>
                    <w:spacing w:after="0"/>
                    <w:jc w:val="center"/>
                  </w:pPr>
                  <w:r w:rsidRPr="00EF5876">
                    <w:t>&gt; 5</w:t>
                  </w:r>
                </w:p>
              </w:tc>
              <w:tc>
                <w:tcPr>
                  <w:tcW w:w="1101" w:type="dxa"/>
                </w:tcPr>
                <w:p w:rsidR="0085178D" w:rsidRPr="00EF5876" w:rsidRDefault="0085178D" w:rsidP="00EF5876">
                  <w:pPr>
                    <w:spacing w:after="0"/>
                    <w:jc w:val="center"/>
                  </w:pPr>
                  <w:r w:rsidRPr="00EF5876">
                    <w:t>10, 20</w:t>
                  </w:r>
                  <w:r w:rsidRPr="00EF5876">
                    <w:rPr>
                      <w:vertAlign w:val="superscript"/>
                    </w:rPr>
                    <w:t>2</w:t>
                  </w:r>
                  <w:r w:rsidRPr="00EF5876">
                    <w:t>)</w:t>
                  </w:r>
                </w:p>
              </w:tc>
              <w:tc>
                <w:tcPr>
                  <w:tcW w:w="1701" w:type="dxa"/>
                </w:tcPr>
                <w:p w:rsidR="0085178D" w:rsidRPr="00EF5876" w:rsidRDefault="0085178D" w:rsidP="00EF5876">
                  <w:pPr>
                    <w:spacing w:after="0"/>
                    <w:jc w:val="center"/>
                  </w:pPr>
                  <w:r w:rsidRPr="00EF5876">
                    <w:t>120</w:t>
                  </w:r>
                </w:p>
              </w:tc>
              <w:tc>
                <w:tcPr>
                  <w:tcW w:w="1984" w:type="dxa"/>
                </w:tcPr>
                <w:p w:rsidR="0085178D" w:rsidRPr="00EF5876" w:rsidRDefault="0085178D" w:rsidP="00EF5876">
                  <w:pPr>
                    <w:spacing w:after="0"/>
                    <w:jc w:val="center"/>
                  </w:pPr>
                  <w:r w:rsidRPr="00EF5876">
                    <w:t>190, 225</w:t>
                  </w:r>
                  <w:r w:rsidRPr="00EF5876">
                    <w:rPr>
                      <w:vertAlign w:val="superscript"/>
                    </w:rPr>
                    <w:t>2</w:t>
                  </w:r>
                  <w:r w:rsidRPr="00EF5876">
                    <w:t>), 1850</w:t>
                  </w:r>
                  <w:r w:rsidRPr="00EF5876">
                    <w:rPr>
                      <w:vertAlign w:val="superscript"/>
                    </w:rPr>
                    <w:t>1</w:t>
                  </w:r>
                  <w:r w:rsidRPr="00EF5876">
                    <w:t>)</w:t>
                  </w:r>
                </w:p>
              </w:tc>
            </w:tr>
            <w:tr w:rsidR="0085178D" w:rsidRPr="00EF5876" w:rsidTr="00EE10DB">
              <w:tc>
                <w:tcPr>
                  <w:tcW w:w="1163" w:type="dxa"/>
                </w:tcPr>
                <w:p w:rsidR="0085178D" w:rsidRPr="00EF5876" w:rsidRDefault="0085178D" w:rsidP="00EF5876">
                  <w:pPr>
                    <w:spacing w:after="0"/>
                  </w:pPr>
                  <w:r w:rsidRPr="00EF5876">
                    <w:t>ZPN</w:t>
                  </w:r>
                </w:p>
              </w:tc>
              <w:tc>
                <w:tcPr>
                  <w:tcW w:w="850" w:type="dxa"/>
                </w:tcPr>
                <w:p w:rsidR="0085178D" w:rsidRPr="00EF5876" w:rsidRDefault="0085178D" w:rsidP="00EF5876">
                  <w:pPr>
                    <w:spacing w:after="0"/>
                    <w:jc w:val="center"/>
                  </w:pPr>
                  <w:r w:rsidRPr="00EF5876">
                    <w:t>&gt; 1</w:t>
                  </w:r>
                </w:p>
              </w:tc>
              <w:tc>
                <w:tcPr>
                  <w:tcW w:w="1101" w:type="dxa"/>
                </w:tcPr>
                <w:p w:rsidR="0085178D" w:rsidRPr="00EF5876" w:rsidRDefault="0085178D" w:rsidP="00EF5876">
                  <w:pPr>
                    <w:spacing w:after="0"/>
                    <w:jc w:val="center"/>
                  </w:pPr>
                  <w:r w:rsidRPr="00EF5876">
                    <w:t>-</w:t>
                  </w:r>
                </w:p>
              </w:tc>
              <w:tc>
                <w:tcPr>
                  <w:tcW w:w="1701" w:type="dxa"/>
                </w:tcPr>
                <w:p w:rsidR="0085178D" w:rsidRPr="00EF5876" w:rsidRDefault="0085178D" w:rsidP="00EF5876">
                  <w:pPr>
                    <w:spacing w:after="0"/>
                    <w:jc w:val="center"/>
                  </w:pPr>
                  <w:r w:rsidRPr="00EF5876">
                    <w:t>-</w:t>
                  </w:r>
                </w:p>
              </w:tc>
              <w:tc>
                <w:tcPr>
                  <w:tcW w:w="1984" w:type="dxa"/>
                </w:tcPr>
                <w:p w:rsidR="0085178D" w:rsidRPr="00EF5876" w:rsidRDefault="0085178D" w:rsidP="00EF5876">
                  <w:pPr>
                    <w:spacing w:after="0"/>
                    <w:jc w:val="center"/>
                  </w:pPr>
                  <w:r w:rsidRPr="00EF5876">
                    <w:t>190, 380</w:t>
                  </w:r>
                  <w:r w:rsidRPr="00EF5876">
                    <w:rPr>
                      <w:vertAlign w:val="superscript"/>
                    </w:rPr>
                    <w:t>3</w:t>
                  </w:r>
                  <w:r w:rsidRPr="00EF5876">
                    <w:t xml:space="preserve">) </w:t>
                  </w:r>
                </w:p>
              </w:tc>
            </w:tr>
            <w:tr w:rsidR="0085178D" w:rsidRPr="00EF5876" w:rsidTr="00EE10DB">
              <w:tc>
                <w:tcPr>
                  <w:tcW w:w="1163" w:type="dxa"/>
                </w:tcPr>
                <w:p w:rsidR="0085178D" w:rsidRPr="00EF5876" w:rsidRDefault="0085178D" w:rsidP="00EF5876">
                  <w:pPr>
                    <w:spacing w:after="0"/>
                  </w:pPr>
                  <w:r w:rsidRPr="00EF5876">
                    <w:t xml:space="preserve">Iné plynné palivá </w:t>
                  </w:r>
                </w:p>
              </w:tc>
              <w:tc>
                <w:tcPr>
                  <w:tcW w:w="850" w:type="dxa"/>
                </w:tcPr>
                <w:p w:rsidR="0085178D" w:rsidRPr="00EF5876" w:rsidRDefault="0085178D" w:rsidP="00EF5876">
                  <w:pPr>
                    <w:spacing w:after="0"/>
                    <w:jc w:val="center"/>
                  </w:pPr>
                  <w:r w:rsidRPr="00EF5876">
                    <w:t>&gt; 1</w:t>
                  </w:r>
                </w:p>
              </w:tc>
              <w:tc>
                <w:tcPr>
                  <w:tcW w:w="1101" w:type="dxa"/>
                </w:tcPr>
                <w:p w:rsidR="0085178D" w:rsidRPr="00EF5876" w:rsidRDefault="0085178D" w:rsidP="00EF5876">
                  <w:pPr>
                    <w:spacing w:after="0"/>
                    <w:jc w:val="center"/>
                  </w:pPr>
                  <w:r w:rsidRPr="00EF5876">
                    <w:t>-</w:t>
                  </w:r>
                </w:p>
              </w:tc>
              <w:tc>
                <w:tcPr>
                  <w:tcW w:w="1701" w:type="dxa"/>
                </w:tcPr>
                <w:p w:rsidR="0085178D" w:rsidRPr="00EF5876" w:rsidRDefault="0085178D" w:rsidP="00EF5876">
                  <w:pPr>
                    <w:spacing w:after="0"/>
                    <w:ind w:left="-108"/>
                    <w:jc w:val="center"/>
                  </w:pPr>
                  <w:r w:rsidRPr="00EF5876">
                    <w:t>15, 60</w:t>
                  </w:r>
                  <w:r w:rsidRPr="00EF5876">
                    <w:rPr>
                      <w:vertAlign w:val="superscript"/>
                    </w:rPr>
                    <w:t>4</w:t>
                  </w:r>
                  <w:r w:rsidRPr="00EF5876">
                    <w:t>), 65</w:t>
                  </w:r>
                  <w:r w:rsidRPr="00EF5876">
                    <w:rPr>
                      <w:vertAlign w:val="superscript"/>
                    </w:rPr>
                    <w:t>5</w:t>
                  </w:r>
                  <w:r w:rsidRPr="00EF5876">
                    <w:t>), 130</w:t>
                  </w:r>
                  <w:r w:rsidRPr="00EF5876">
                    <w:rPr>
                      <w:vertAlign w:val="superscript"/>
                    </w:rPr>
                    <w:t>6</w:t>
                  </w:r>
                  <w:r w:rsidRPr="00EF5876">
                    <w:t xml:space="preserve">) </w:t>
                  </w:r>
                </w:p>
              </w:tc>
              <w:tc>
                <w:tcPr>
                  <w:tcW w:w="1984" w:type="dxa"/>
                </w:tcPr>
                <w:p w:rsidR="0085178D" w:rsidRPr="00EF5876" w:rsidRDefault="0085178D" w:rsidP="00EF5876">
                  <w:pPr>
                    <w:spacing w:after="0"/>
                    <w:jc w:val="center"/>
                  </w:pPr>
                  <w:r w:rsidRPr="00EF5876">
                    <w:t>190</w:t>
                  </w:r>
                </w:p>
              </w:tc>
            </w:tr>
          </w:tbl>
          <w:p w:rsidR="0085178D" w:rsidRPr="006E65C5" w:rsidRDefault="0085178D" w:rsidP="006E65C5">
            <w:pPr>
              <w:pStyle w:val="Odsekzoznamu"/>
              <w:keepNext w:val="0"/>
              <w:numPr>
                <w:ilvl w:val="0"/>
                <w:numId w:val="36"/>
              </w:numPr>
              <w:spacing w:before="0" w:after="0"/>
              <w:ind w:left="289" w:hanging="289"/>
              <w:contextualSpacing/>
              <w:jc w:val="left"/>
              <w:rPr>
                <w:rFonts w:ascii="Calibri" w:eastAsia="Calibri" w:hAnsi="Calibri" w:cs="Calibri"/>
                <w:sz w:val="22"/>
                <w:szCs w:val="22"/>
              </w:rPr>
            </w:pPr>
            <w:r w:rsidRPr="006E65C5">
              <w:rPr>
                <w:rFonts w:ascii="Calibri" w:eastAsia="Calibri" w:hAnsi="Calibri" w:cs="Calibri"/>
                <w:sz w:val="22"/>
                <w:szCs w:val="22"/>
              </w:rPr>
              <w:t>Platí pre dieselové motory:</w:t>
            </w:r>
          </w:p>
          <w:p w:rsidR="0085178D" w:rsidRPr="006E65C5" w:rsidRDefault="0085178D" w:rsidP="006E65C5">
            <w:pPr>
              <w:pStyle w:val="Odsekzoznamu"/>
              <w:keepNext w:val="0"/>
              <w:numPr>
                <w:ilvl w:val="0"/>
                <w:numId w:val="36"/>
              </w:numPr>
              <w:spacing w:before="0" w:after="0"/>
              <w:ind w:left="289" w:hanging="289"/>
              <w:contextualSpacing/>
              <w:jc w:val="left"/>
              <w:rPr>
                <w:rFonts w:ascii="Calibri" w:eastAsia="Calibri" w:hAnsi="Calibri" w:cs="Calibri"/>
                <w:sz w:val="22"/>
                <w:szCs w:val="22"/>
              </w:rPr>
            </w:pPr>
            <w:r w:rsidRPr="006E65C5">
              <w:rPr>
                <w:rFonts w:ascii="Calibri" w:eastAsia="Calibri" w:hAnsi="Calibri" w:cs="Calibri"/>
                <w:sz w:val="22"/>
                <w:szCs w:val="22"/>
              </w:rPr>
              <w:t xml:space="preserve">konštruované do 18. 5. 2006, </w:t>
            </w:r>
          </w:p>
          <w:p w:rsidR="0085178D" w:rsidRPr="00EF5876" w:rsidRDefault="0085178D" w:rsidP="00215280">
            <w:pPr>
              <w:pStyle w:val="Normln"/>
              <w:keepNext/>
              <w:numPr>
                <w:ilvl w:val="1"/>
                <w:numId w:val="38"/>
              </w:numPr>
              <w:rPr>
                <w:szCs w:val="22"/>
                <w:lang w:val="sk-SK"/>
              </w:rPr>
            </w:pPr>
            <w:r w:rsidRPr="00EF5876">
              <w:rPr>
                <w:szCs w:val="22"/>
                <w:lang w:val="sk-SK"/>
              </w:rPr>
              <w:t>pre dvojpalivové motory v kvapalnom režime.</w:t>
            </w:r>
          </w:p>
          <w:p w:rsidR="0085178D" w:rsidRPr="00EF5876" w:rsidRDefault="0085178D" w:rsidP="00215280">
            <w:pPr>
              <w:pStyle w:val="Normln"/>
              <w:keepNext/>
              <w:numPr>
                <w:ilvl w:val="0"/>
                <w:numId w:val="37"/>
              </w:numPr>
              <w:ind w:left="284" w:hanging="284"/>
              <w:rPr>
                <w:szCs w:val="22"/>
                <w:lang w:val="sk-SK"/>
              </w:rPr>
            </w:pPr>
            <w:r w:rsidRPr="00EF5876">
              <w:rPr>
                <w:szCs w:val="22"/>
                <w:lang w:val="sk-SK"/>
              </w:rPr>
              <w:t>Platí pre motory s MTP &gt; 5 MW a ≤ 20 MW.</w:t>
            </w:r>
          </w:p>
          <w:p w:rsidR="0085178D" w:rsidRPr="00EF5876" w:rsidRDefault="0085178D" w:rsidP="00215280">
            <w:pPr>
              <w:pStyle w:val="Odsekzoznamu"/>
              <w:numPr>
                <w:ilvl w:val="0"/>
                <w:numId w:val="37"/>
              </w:numPr>
              <w:spacing w:before="0" w:after="0"/>
              <w:ind w:left="284" w:hanging="284"/>
              <w:contextualSpacing/>
              <w:rPr>
                <w:sz w:val="22"/>
                <w:szCs w:val="22"/>
              </w:rPr>
            </w:pPr>
            <w:r w:rsidRPr="00EF5876">
              <w:rPr>
                <w:sz w:val="22"/>
                <w:szCs w:val="22"/>
              </w:rPr>
              <w:t xml:space="preserve">Platí pre dvojpalivové motory v plynnom režime. </w:t>
            </w:r>
          </w:p>
          <w:p w:rsidR="0085178D" w:rsidRPr="00EF5876" w:rsidRDefault="0085178D" w:rsidP="00215280">
            <w:pPr>
              <w:pStyle w:val="Odsekzoznamu"/>
              <w:numPr>
                <w:ilvl w:val="0"/>
                <w:numId w:val="37"/>
              </w:numPr>
              <w:spacing w:before="0" w:after="0"/>
              <w:ind w:left="284" w:hanging="284"/>
              <w:contextualSpacing/>
              <w:rPr>
                <w:sz w:val="22"/>
                <w:szCs w:val="22"/>
              </w:rPr>
            </w:pPr>
            <w:r w:rsidRPr="00EF5876">
              <w:rPr>
                <w:sz w:val="22"/>
                <w:szCs w:val="22"/>
              </w:rPr>
              <w:t>Platí pre spaľovanie bioplynu.</w:t>
            </w:r>
          </w:p>
          <w:p w:rsidR="0085178D" w:rsidRPr="00EF5876" w:rsidRDefault="0085178D" w:rsidP="00215280">
            <w:pPr>
              <w:pStyle w:val="Odsekzoznamu"/>
              <w:numPr>
                <w:ilvl w:val="0"/>
                <w:numId w:val="37"/>
              </w:numPr>
              <w:spacing w:before="0" w:after="0"/>
              <w:ind w:left="284" w:hanging="284"/>
              <w:contextualSpacing/>
              <w:rPr>
                <w:sz w:val="22"/>
                <w:szCs w:val="22"/>
              </w:rPr>
            </w:pPr>
            <w:r w:rsidRPr="00EF5876">
              <w:rPr>
                <w:sz w:val="22"/>
                <w:szCs w:val="22"/>
              </w:rPr>
              <w:t>Platí pre spaľovanie nízkovýhrevných vysokopecných  plynov v železiarskom oceliarskom priemysle.</w:t>
            </w:r>
          </w:p>
          <w:p w:rsidR="00B20392" w:rsidRPr="00EF5876" w:rsidRDefault="0085178D" w:rsidP="00603CC4">
            <w:pPr>
              <w:pStyle w:val="Odsekzoznamu"/>
              <w:numPr>
                <w:ilvl w:val="0"/>
                <w:numId w:val="37"/>
              </w:numPr>
              <w:spacing w:before="0" w:after="0"/>
              <w:ind w:left="284" w:hanging="284"/>
              <w:contextualSpacing/>
              <w:rPr>
                <w:sz w:val="22"/>
                <w:szCs w:val="22"/>
              </w:rPr>
            </w:pPr>
            <w:r w:rsidRPr="00EF5876">
              <w:rPr>
                <w:sz w:val="22"/>
                <w:szCs w:val="22"/>
              </w:rPr>
              <w:t xml:space="preserve">Platí pre spaľovanie </w:t>
            </w:r>
            <w:proofErr w:type="spellStart"/>
            <w:r w:rsidRPr="00EF5876">
              <w:rPr>
                <w:sz w:val="22"/>
                <w:szCs w:val="22"/>
              </w:rPr>
              <w:t>nízkovýhrených</w:t>
            </w:r>
            <w:proofErr w:type="spellEnd"/>
            <w:r w:rsidRPr="00EF5876">
              <w:rPr>
                <w:sz w:val="22"/>
                <w:szCs w:val="22"/>
              </w:rPr>
              <w:t xml:space="preserve">  koksárenských plynov. </w:t>
            </w: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pPr>
            <w:r w:rsidRPr="00603CC4">
              <w:lastRenderedPageBreak/>
              <w:t>Časť 2</w:t>
            </w:r>
          </w:p>
        </w:tc>
        <w:tc>
          <w:tcPr>
            <w:tcW w:w="5771" w:type="dxa"/>
            <w:vAlign w:val="center"/>
          </w:tcPr>
          <w:p w:rsidR="00B20392" w:rsidRPr="00603CC4" w:rsidRDefault="00B20392" w:rsidP="00603CC4">
            <w:pPr>
              <w:spacing w:before="120" w:after="0" w:line="240" w:lineRule="auto"/>
              <w:jc w:val="both"/>
              <w:rPr>
                <w:color w:val="000000"/>
              </w:rPr>
            </w:pPr>
            <w:r w:rsidRPr="00603CC4">
              <w:t>Emisné limity pre nové stredne veľké spaľovacie zariadenia</w:t>
            </w:r>
          </w:p>
        </w:tc>
        <w:tc>
          <w:tcPr>
            <w:tcW w:w="397" w:type="dxa"/>
            <w:vAlign w:val="center"/>
          </w:tcPr>
          <w:p w:rsidR="00B20392" w:rsidRPr="00603CC4" w:rsidRDefault="00945A32" w:rsidP="00603CC4">
            <w:pPr>
              <w:spacing w:after="0" w:line="240" w:lineRule="auto"/>
            </w:pPr>
            <w:r>
              <w:t>N</w:t>
            </w:r>
          </w:p>
        </w:tc>
        <w:tc>
          <w:tcPr>
            <w:tcW w:w="708" w:type="dxa"/>
            <w:vAlign w:val="center"/>
          </w:tcPr>
          <w:p w:rsidR="00B20392" w:rsidRPr="00603CC4" w:rsidRDefault="00B20392" w:rsidP="00603CC4">
            <w:pPr>
              <w:spacing w:after="0" w:line="240" w:lineRule="auto"/>
            </w:pPr>
          </w:p>
        </w:tc>
        <w:tc>
          <w:tcPr>
            <w:tcW w:w="596" w:type="dxa"/>
            <w:vAlign w:val="center"/>
          </w:tcPr>
          <w:p w:rsidR="00B20392" w:rsidRPr="00603CC4" w:rsidRDefault="00B20392" w:rsidP="00603CC4">
            <w:pPr>
              <w:spacing w:after="0" w:line="240" w:lineRule="auto"/>
            </w:pPr>
          </w:p>
        </w:tc>
        <w:tc>
          <w:tcPr>
            <w:tcW w:w="6396" w:type="dxa"/>
            <w:vAlign w:val="center"/>
          </w:tcPr>
          <w:p w:rsidR="00B20392" w:rsidRPr="00EF5876"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bottom w:val="nil"/>
            </w:tcBorders>
            <w:vAlign w:val="center"/>
          </w:tcPr>
          <w:p w:rsidR="00B20392" w:rsidRPr="00603CC4" w:rsidRDefault="00B20392" w:rsidP="00603CC4">
            <w:pPr>
              <w:spacing w:after="0" w:line="240" w:lineRule="auto"/>
            </w:pPr>
            <w:r w:rsidRPr="00603CC4">
              <w:t>Tab.1</w:t>
            </w:r>
          </w:p>
        </w:tc>
        <w:tc>
          <w:tcPr>
            <w:tcW w:w="5771" w:type="dxa"/>
            <w:vAlign w:val="center"/>
          </w:tcPr>
          <w:p w:rsidR="00B20392" w:rsidRPr="00603CC4" w:rsidRDefault="00B20392" w:rsidP="00603CC4">
            <w:pPr>
              <w:spacing w:before="120" w:after="0" w:line="240" w:lineRule="auto"/>
              <w:jc w:val="both"/>
            </w:pPr>
            <w:r w:rsidRPr="00603CC4">
              <w:t>Emisné limity (mg/Nm3) pre nové stredne veľké spaľovacie zariadenia iné ako motory a plynové turbíny</w:t>
            </w:r>
          </w:p>
          <w:p w:rsidR="00B20392" w:rsidRPr="00603CC4" w:rsidRDefault="00380EB5" w:rsidP="00603CC4">
            <w:pPr>
              <w:spacing w:before="120" w:after="0" w:line="240" w:lineRule="auto"/>
              <w:jc w:val="both"/>
              <w:rPr>
                <w:color w:val="000000"/>
              </w:rPr>
            </w:pPr>
            <w:r>
              <w:rPr>
                <w:noProof/>
                <w:color w:val="000000"/>
                <w:lang w:eastAsia="sk-SK"/>
              </w:rPr>
              <w:lastRenderedPageBreak/>
              <w:drawing>
                <wp:inline distT="0" distB="0" distL="0" distR="0" wp14:anchorId="1B3281BE" wp14:editId="7BA8284B">
                  <wp:extent cx="4257675" cy="2114550"/>
                  <wp:effectExtent l="0" t="0" r="952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57675" cy="2114550"/>
                          </a:xfrm>
                          <a:prstGeom prst="rect">
                            <a:avLst/>
                          </a:prstGeom>
                          <a:noFill/>
                          <a:ln>
                            <a:noFill/>
                          </a:ln>
                        </pic:spPr>
                      </pic:pic>
                    </a:graphicData>
                  </a:graphic>
                </wp:inline>
              </w:drawing>
            </w:r>
          </w:p>
          <w:p w:rsidR="00B20392" w:rsidRPr="00603CC4" w:rsidRDefault="00B20392" w:rsidP="00603CC4">
            <w:pPr>
              <w:spacing w:before="120" w:after="0" w:line="240" w:lineRule="auto"/>
              <w:jc w:val="both"/>
            </w:pPr>
            <w:r w:rsidRPr="00603CC4">
              <w:t xml:space="preserve">(1) Táto hodnota sa neuplatňuje v prípade zariadení spaľujúcich výlučne drevnú tuhú biomasu. </w:t>
            </w:r>
          </w:p>
          <w:p w:rsidR="00B20392" w:rsidRPr="00603CC4" w:rsidRDefault="00B20392" w:rsidP="00603CC4">
            <w:pPr>
              <w:spacing w:before="120" w:after="0" w:line="240" w:lineRule="auto"/>
              <w:jc w:val="both"/>
            </w:pPr>
            <w:r w:rsidRPr="00603CC4">
              <w:t xml:space="preserve">(2) Do 1. januára 2025, 1 700 mg/Nm3 v prípade zariadení, ktoré sú súčasťou SIS alebo MIS. </w:t>
            </w:r>
          </w:p>
          <w:p w:rsidR="00B20392" w:rsidRPr="00603CC4" w:rsidRDefault="00B20392" w:rsidP="00603CC4">
            <w:pPr>
              <w:spacing w:before="120" w:after="0" w:line="240" w:lineRule="auto"/>
              <w:jc w:val="both"/>
            </w:pPr>
            <w:r w:rsidRPr="00603CC4">
              <w:t xml:space="preserve">(3)400 mg/Nm3 v prípade nízkovýhrevných plynov z koksárenských pecí a 200 mg/Nm3 v prípade nízkovýhrevných plynov z vysokých pecí v železiarskom a oceliarskom priemysle. </w:t>
            </w:r>
          </w:p>
          <w:p w:rsidR="00B20392" w:rsidRPr="00603CC4" w:rsidRDefault="00B20392" w:rsidP="00603CC4">
            <w:pPr>
              <w:spacing w:before="120" w:after="0" w:line="240" w:lineRule="auto"/>
              <w:jc w:val="both"/>
            </w:pPr>
            <w:r w:rsidRPr="00603CC4">
              <w:t xml:space="preserve">(4) 100 mg/Nm3 v prípade bioplynu. </w:t>
            </w:r>
          </w:p>
          <w:p w:rsidR="00B20392" w:rsidRPr="00603CC4" w:rsidRDefault="00B20392" w:rsidP="00603CC4">
            <w:pPr>
              <w:spacing w:before="120" w:after="0" w:line="240" w:lineRule="auto"/>
              <w:jc w:val="both"/>
            </w:pPr>
            <w:r w:rsidRPr="00603CC4">
              <w:t xml:space="preserve">(5) 500 mg/Nm3 v prípade zariadení s celkovým menovitým tepelným príkonom rovnajúcim sa alebo väčším ako 1 MW a menším alebo rovnajúcim sa 5 MW. </w:t>
            </w:r>
          </w:p>
          <w:p w:rsidR="00B20392" w:rsidRPr="00603CC4" w:rsidRDefault="00B20392" w:rsidP="00603CC4">
            <w:pPr>
              <w:spacing w:before="120" w:after="0" w:line="240" w:lineRule="auto"/>
              <w:jc w:val="both"/>
            </w:pPr>
            <w:r w:rsidRPr="00603CC4">
              <w:t xml:space="preserve">(6) Do 1. januára 2025, 450 mg/Nm3 v prípade spaľovania ťažkého vykurovacieho oleja s obsahom 0,2 % až 0,3 % dusíka a 360 mg/Nm3 v prípade spaľovania ťažkého vykurovacieho oleja s obsahom menej ako 0,2 % dusíka v prípade zariadení, ktoré sú súčasťou SIS alebo MIS. </w:t>
            </w:r>
          </w:p>
          <w:p w:rsidR="00B20392" w:rsidRPr="00603CC4" w:rsidRDefault="00B20392" w:rsidP="00603CC4">
            <w:pPr>
              <w:spacing w:before="120" w:after="0" w:line="240" w:lineRule="auto"/>
              <w:jc w:val="both"/>
            </w:pPr>
            <w:r w:rsidRPr="00603CC4">
              <w:t xml:space="preserve">(7) 50 mg/Nm3 v prípade zariadení s celkovým menovitým tepelným príkonom rovnajúcim sa alebo väčším ako 1 MW a </w:t>
            </w:r>
            <w:r w:rsidRPr="00603CC4">
              <w:lastRenderedPageBreak/>
              <w:t xml:space="preserve">menším alebo rovnajúcim sa 5 MW; 30 mg/Nm3 v prípade zariadení s celkovým menovitým tepelným príkonom väčším ako 5 MW a menším alebo rovnajúcim sa 20 MW. </w:t>
            </w:r>
          </w:p>
          <w:p w:rsidR="00B20392" w:rsidRPr="00603CC4" w:rsidRDefault="00B20392" w:rsidP="00603CC4">
            <w:pPr>
              <w:spacing w:before="120" w:after="0" w:line="240" w:lineRule="auto"/>
              <w:jc w:val="both"/>
              <w:rPr>
                <w:color w:val="000000"/>
              </w:rPr>
            </w:pPr>
            <w:r w:rsidRPr="00603CC4">
              <w:t>(8) 50 mg/Nm3 v prípade zariadení s celkovým menovitým tepelným príkonom rovnajúcim sa alebo väčším ako 1 MW a menším alebo rovnajúcim sa 5 MW.</w:t>
            </w:r>
          </w:p>
        </w:tc>
        <w:tc>
          <w:tcPr>
            <w:tcW w:w="397" w:type="dxa"/>
            <w:vAlign w:val="center"/>
          </w:tcPr>
          <w:p w:rsidR="00B20392" w:rsidRPr="00603CC4" w:rsidRDefault="00945A32" w:rsidP="00603CC4">
            <w:pPr>
              <w:spacing w:after="0" w:line="240" w:lineRule="auto"/>
            </w:pPr>
            <w:r>
              <w:lastRenderedPageBreak/>
              <w:t>N</w:t>
            </w:r>
          </w:p>
        </w:tc>
        <w:tc>
          <w:tcPr>
            <w:tcW w:w="708" w:type="dxa"/>
            <w:vAlign w:val="center"/>
          </w:tcPr>
          <w:p w:rsidR="00B20392" w:rsidRPr="00603CC4" w:rsidRDefault="00FB4987" w:rsidP="00603CC4">
            <w:pPr>
              <w:spacing w:after="0" w:line="240" w:lineRule="auto"/>
            </w:pPr>
            <w:r>
              <w:t>N410</w:t>
            </w:r>
          </w:p>
        </w:tc>
        <w:tc>
          <w:tcPr>
            <w:tcW w:w="596" w:type="dxa"/>
            <w:vAlign w:val="center"/>
          </w:tcPr>
          <w:p w:rsidR="00B20392" w:rsidRDefault="00FB4987" w:rsidP="00603CC4">
            <w:pPr>
              <w:spacing w:after="0" w:line="240" w:lineRule="auto"/>
            </w:pPr>
            <w:r>
              <w:t>Pr.4</w:t>
            </w:r>
          </w:p>
          <w:p w:rsidR="00FB4987" w:rsidRDefault="00FB4987" w:rsidP="00FA5311">
            <w:pPr>
              <w:spacing w:after="0" w:line="240" w:lineRule="auto"/>
              <w:ind w:right="-79"/>
            </w:pPr>
            <w:r>
              <w:t xml:space="preserve">Časť </w:t>
            </w:r>
            <w:r w:rsidR="007D65D8">
              <w:t>IV</w:t>
            </w:r>
          </w:p>
          <w:p w:rsidR="007D65D8" w:rsidRPr="00603CC4" w:rsidRDefault="007D65D8" w:rsidP="00FA5311">
            <w:pPr>
              <w:spacing w:after="0" w:line="240" w:lineRule="auto"/>
            </w:pPr>
            <w:r>
              <w:t>B</w:t>
            </w:r>
            <w:r w:rsidR="00FA5311">
              <w:t>:</w:t>
            </w:r>
            <w:r>
              <w:t xml:space="preserve"> 2 </w:t>
            </w:r>
            <w:proofErr w:type="spellStart"/>
            <w:r>
              <w:t>Tab.B</w:t>
            </w:r>
            <w:proofErr w:type="spellEnd"/>
          </w:p>
        </w:tc>
        <w:tc>
          <w:tcPr>
            <w:tcW w:w="6396" w:type="dxa"/>
            <w:vAlign w:val="center"/>
          </w:tcPr>
          <w:p w:rsidR="006568DE" w:rsidRPr="00EF5876" w:rsidRDefault="006568DE" w:rsidP="006568DE">
            <w:pPr>
              <w:rPr>
                <w:b/>
              </w:rPr>
            </w:pPr>
            <w:r w:rsidRPr="00EF5876">
              <w:rPr>
                <w:b/>
              </w:rPr>
              <w:t xml:space="preserve">B. Emisné limity pre nové zariadenia stredne veľké spaľovacie  zariadenia  spaľujúce tuhé palivá, kvapalné palivá a plynné palivá </w:t>
            </w:r>
          </w:p>
          <w:tbl>
            <w:tblPr>
              <w:tblStyle w:val="Mriekatabuky"/>
              <w:tblpPr w:leftFromText="141" w:rightFromText="141" w:vertAnchor="text" w:horzAnchor="page" w:tblpX="9645" w:tblpY="1"/>
              <w:tblOverlap w:val="never"/>
              <w:tblW w:w="6091" w:type="dxa"/>
              <w:tblLayout w:type="fixed"/>
              <w:tblLook w:val="04A0" w:firstRow="1" w:lastRow="0" w:firstColumn="1" w:lastColumn="0" w:noHBand="0" w:noVBand="1"/>
            </w:tblPr>
            <w:tblGrid>
              <w:gridCol w:w="988"/>
              <w:gridCol w:w="997"/>
              <w:gridCol w:w="1129"/>
              <w:gridCol w:w="1701"/>
              <w:gridCol w:w="1276"/>
            </w:tblGrid>
            <w:tr w:rsidR="00EF5876" w:rsidRPr="00EF5876" w:rsidTr="00EF5876">
              <w:trPr>
                <w:trHeight w:val="562"/>
              </w:trPr>
              <w:tc>
                <w:tcPr>
                  <w:tcW w:w="988" w:type="dxa"/>
                  <w:vMerge w:val="restart"/>
                  <w:vAlign w:val="center"/>
                </w:tcPr>
                <w:p w:rsidR="006568DE" w:rsidRPr="00EF5876" w:rsidRDefault="006568DE" w:rsidP="00EF5876">
                  <w:pPr>
                    <w:spacing w:after="0"/>
                    <w:rPr>
                      <w:b/>
                    </w:rPr>
                  </w:pPr>
                  <w:r w:rsidRPr="00EF5876">
                    <w:rPr>
                      <w:b/>
                    </w:rPr>
                    <w:t xml:space="preserve">Podmienky </w:t>
                  </w:r>
                  <w:r w:rsidRPr="00EF5876">
                    <w:rPr>
                      <w:b/>
                    </w:rPr>
                    <w:lastRenderedPageBreak/>
                    <w:t>platnosti  EL</w:t>
                  </w:r>
                </w:p>
              </w:tc>
              <w:tc>
                <w:tcPr>
                  <w:tcW w:w="997" w:type="dxa"/>
                  <w:vMerge w:val="restart"/>
                  <w:vAlign w:val="center"/>
                </w:tcPr>
                <w:p w:rsidR="006568DE" w:rsidRPr="00EF5876" w:rsidRDefault="006568DE" w:rsidP="00EF5876">
                  <w:pPr>
                    <w:spacing w:after="0"/>
                  </w:pPr>
                  <w:r w:rsidRPr="00EF5876">
                    <w:rPr>
                      <w:b/>
                    </w:rPr>
                    <w:lastRenderedPageBreak/>
                    <w:t>MTP [MW]</w:t>
                  </w:r>
                </w:p>
              </w:tc>
              <w:tc>
                <w:tcPr>
                  <w:tcW w:w="4106" w:type="dxa"/>
                  <w:gridSpan w:val="3"/>
                </w:tcPr>
                <w:p w:rsidR="006568DE" w:rsidRPr="00EF5876" w:rsidRDefault="006568DE" w:rsidP="00EF5876">
                  <w:pPr>
                    <w:spacing w:after="0"/>
                  </w:pPr>
                  <w:r w:rsidRPr="00EF5876">
                    <w:t xml:space="preserve">Štandardné stavové podmienky, suchý plyn, </w:t>
                  </w:r>
                </w:p>
                <w:p w:rsidR="006568DE" w:rsidRPr="00EF5876" w:rsidRDefault="006568DE" w:rsidP="00EF5876">
                  <w:pPr>
                    <w:spacing w:after="0"/>
                  </w:pPr>
                  <w:r w:rsidRPr="00EF5876">
                    <w:t>Tuhé palivá: O</w:t>
                  </w:r>
                  <w:r w:rsidRPr="00EF5876">
                    <w:rPr>
                      <w:vertAlign w:val="subscript"/>
                    </w:rPr>
                    <w:t xml:space="preserve">2 </w:t>
                  </w:r>
                  <w:proofErr w:type="spellStart"/>
                  <w:r w:rsidRPr="00EF5876">
                    <w:rPr>
                      <w:vertAlign w:val="subscript"/>
                    </w:rPr>
                    <w:t>ref</w:t>
                  </w:r>
                  <w:proofErr w:type="spellEnd"/>
                  <w:r w:rsidR="00EF5876" w:rsidRPr="00EF5876">
                    <w:t xml:space="preserve">: 6 % objemu </w:t>
                  </w:r>
                </w:p>
              </w:tc>
            </w:tr>
            <w:tr w:rsidR="00EF5876" w:rsidRPr="00EF5876" w:rsidTr="00EF5876">
              <w:trPr>
                <w:trHeight w:val="1124"/>
              </w:trPr>
              <w:tc>
                <w:tcPr>
                  <w:tcW w:w="988" w:type="dxa"/>
                  <w:vMerge/>
                  <w:vAlign w:val="center"/>
                </w:tcPr>
                <w:p w:rsidR="006568DE" w:rsidRPr="00EF5876" w:rsidRDefault="006568DE" w:rsidP="00EF5876">
                  <w:pPr>
                    <w:spacing w:after="0"/>
                    <w:rPr>
                      <w:b/>
                    </w:rPr>
                  </w:pPr>
                </w:p>
              </w:tc>
              <w:tc>
                <w:tcPr>
                  <w:tcW w:w="997" w:type="dxa"/>
                  <w:vMerge/>
                  <w:vAlign w:val="center"/>
                </w:tcPr>
                <w:p w:rsidR="006568DE" w:rsidRPr="00EF5876" w:rsidRDefault="006568DE" w:rsidP="00EF5876">
                  <w:pPr>
                    <w:spacing w:after="0"/>
                    <w:rPr>
                      <w:b/>
                    </w:rPr>
                  </w:pPr>
                </w:p>
              </w:tc>
              <w:tc>
                <w:tcPr>
                  <w:tcW w:w="4106" w:type="dxa"/>
                  <w:gridSpan w:val="3"/>
                </w:tcPr>
                <w:p w:rsidR="006568DE" w:rsidRPr="00EF5876" w:rsidRDefault="006568DE" w:rsidP="00EF5876">
                  <w:pPr>
                    <w:spacing w:after="0"/>
                  </w:pPr>
                  <w:r w:rsidRPr="00EF5876">
                    <w:t>Na spaľovacie zariadenia zaradené v OPR podľa § 17a ods. 1písm. b) sa emisné limity neuplatňujú okrem</w:t>
                  </w:r>
                  <w:r w:rsidR="00EF5876" w:rsidRPr="00EF5876">
                    <w:t xml:space="preserve"> </w:t>
                  </w:r>
                  <w:r w:rsidRPr="00EF5876">
                    <w:t>EL pre TZL: 100 mg/m</w:t>
                  </w:r>
                  <w:r w:rsidRPr="00EF5876">
                    <w:rPr>
                      <w:vertAlign w:val="superscript"/>
                    </w:rPr>
                    <w:t>3</w:t>
                  </w:r>
                  <w:r w:rsidRPr="00EF5876">
                    <w:t xml:space="preserve"> pre spaľovanie tuhých palív vrátane biomasy.</w:t>
                  </w:r>
                </w:p>
              </w:tc>
            </w:tr>
            <w:tr w:rsidR="00EF5876" w:rsidRPr="00EF5876" w:rsidTr="00EF5876">
              <w:trPr>
                <w:trHeight w:val="363"/>
              </w:trPr>
              <w:tc>
                <w:tcPr>
                  <w:tcW w:w="988" w:type="dxa"/>
                  <w:vMerge/>
                  <w:vAlign w:val="center"/>
                </w:tcPr>
                <w:p w:rsidR="006568DE" w:rsidRPr="00EF5876" w:rsidRDefault="006568DE" w:rsidP="00EF5876">
                  <w:pPr>
                    <w:spacing w:after="0"/>
                    <w:rPr>
                      <w:b/>
                    </w:rPr>
                  </w:pPr>
                </w:p>
              </w:tc>
              <w:tc>
                <w:tcPr>
                  <w:tcW w:w="997" w:type="dxa"/>
                  <w:vMerge/>
                  <w:vAlign w:val="center"/>
                </w:tcPr>
                <w:p w:rsidR="006568DE" w:rsidRPr="00EF5876" w:rsidRDefault="006568DE" w:rsidP="00EF5876">
                  <w:pPr>
                    <w:spacing w:after="0"/>
                    <w:rPr>
                      <w:b/>
                    </w:rPr>
                  </w:pPr>
                </w:p>
              </w:tc>
              <w:tc>
                <w:tcPr>
                  <w:tcW w:w="4106" w:type="dxa"/>
                  <w:gridSpan w:val="3"/>
                </w:tcPr>
                <w:p w:rsidR="006568DE" w:rsidRPr="00EF5876" w:rsidRDefault="006568DE" w:rsidP="00EF5876">
                  <w:pPr>
                    <w:spacing w:after="0"/>
                    <w:ind w:left="284" w:hanging="284"/>
                    <w:jc w:val="both"/>
                    <w:rPr>
                      <w:lang w:val="en-US"/>
                    </w:rPr>
                  </w:pPr>
                  <w:r w:rsidRPr="00EF5876">
                    <w:rPr>
                      <w:b/>
                    </w:rPr>
                    <w:t xml:space="preserve">Emisný limit </w:t>
                  </w:r>
                  <w:r w:rsidRPr="00EF5876">
                    <w:rPr>
                      <w:b/>
                    </w:rPr>
                    <w:sym w:font="Symbol" w:char="F05B"/>
                  </w:r>
                  <w:r w:rsidRPr="00EF5876">
                    <w:rPr>
                      <w:b/>
                    </w:rPr>
                    <w:t>mg/m</w:t>
                  </w:r>
                  <w:r w:rsidRPr="00EF5876">
                    <w:rPr>
                      <w:b/>
                      <w:vertAlign w:val="superscript"/>
                    </w:rPr>
                    <w:t>3</w:t>
                  </w:r>
                  <w:r w:rsidRPr="00EF5876">
                    <w:rPr>
                      <w:b/>
                    </w:rPr>
                    <w:sym w:font="Symbol" w:char="F05D"/>
                  </w:r>
                </w:p>
              </w:tc>
            </w:tr>
            <w:tr w:rsidR="00EF5876" w:rsidRPr="00EF5876" w:rsidTr="00EF5876">
              <w:tc>
                <w:tcPr>
                  <w:tcW w:w="988" w:type="dxa"/>
                  <w:vMerge/>
                </w:tcPr>
                <w:p w:rsidR="006568DE" w:rsidRPr="00EF5876" w:rsidRDefault="006568DE" w:rsidP="00EF5876">
                  <w:pPr>
                    <w:spacing w:after="0"/>
                  </w:pPr>
                </w:p>
              </w:tc>
              <w:tc>
                <w:tcPr>
                  <w:tcW w:w="997" w:type="dxa"/>
                  <w:vMerge/>
                </w:tcPr>
                <w:p w:rsidR="006568DE" w:rsidRPr="00EF5876" w:rsidRDefault="006568DE" w:rsidP="00EF5876">
                  <w:pPr>
                    <w:spacing w:after="0"/>
                    <w:jc w:val="center"/>
                    <w:rPr>
                      <w:b/>
                    </w:rPr>
                  </w:pPr>
                </w:p>
              </w:tc>
              <w:tc>
                <w:tcPr>
                  <w:tcW w:w="1129" w:type="dxa"/>
                </w:tcPr>
                <w:p w:rsidR="006568DE" w:rsidRPr="00EF5876" w:rsidRDefault="006568DE" w:rsidP="00EF5876">
                  <w:pPr>
                    <w:spacing w:after="0"/>
                    <w:jc w:val="center"/>
                    <w:rPr>
                      <w:b/>
                    </w:rPr>
                  </w:pPr>
                  <w:r w:rsidRPr="00EF5876">
                    <w:rPr>
                      <w:b/>
                    </w:rPr>
                    <w:t>TZL</w:t>
                  </w:r>
                </w:p>
              </w:tc>
              <w:tc>
                <w:tcPr>
                  <w:tcW w:w="1701" w:type="dxa"/>
                </w:tcPr>
                <w:p w:rsidR="006568DE" w:rsidRPr="00EF5876" w:rsidRDefault="006568DE" w:rsidP="00EF5876">
                  <w:pPr>
                    <w:spacing w:after="0"/>
                    <w:jc w:val="center"/>
                    <w:rPr>
                      <w:b/>
                      <w:vertAlign w:val="subscript"/>
                    </w:rPr>
                  </w:pPr>
                  <w:r w:rsidRPr="00EF5876">
                    <w:rPr>
                      <w:b/>
                    </w:rPr>
                    <w:t>SO</w:t>
                  </w:r>
                  <w:r w:rsidRPr="00EF5876">
                    <w:rPr>
                      <w:b/>
                      <w:vertAlign w:val="subscript"/>
                    </w:rPr>
                    <w:t>2</w:t>
                  </w:r>
                </w:p>
              </w:tc>
              <w:tc>
                <w:tcPr>
                  <w:tcW w:w="1276" w:type="dxa"/>
                </w:tcPr>
                <w:p w:rsidR="006568DE" w:rsidRPr="00EF5876" w:rsidRDefault="006568DE" w:rsidP="00EF5876">
                  <w:pPr>
                    <w:spacing w:after="0"/>
                    <w:jc w:val="center"/>
                    <w:rPr>
                      <w:b/>
                      <w:vertAlign w:val="subscript"/>
                    </w:rPr>
                  </w:pPr>
                  <w:r w:rsidRPr="00EF5876">
                    <w:rPr>
                      <w:b/>
                    </w:rPr>
                    <w:t>NO</w:t>
                  </w:r>
                  <w:r w:rsidRPr="00EF5876">
                    <w:rPr>
                      <w:b/>
                      <w:vertAlign w:val="subscript"/>
                    </w:rPr>
                    <w:t>X</w:t>
                  </w:r>
                </w:p>
              </w:tc>
            </w:tr>
            <w:tr w:rsidR="00EF5876" w:rsidRPr="00EF5876" w:rsidTr="00EF5876">
              <w:trPr>
                <w:trHeight w:val="283"/>
              </w:trPr>
              <w:tc>
                <w:tcPr>
                  <w:tcW w:w="988" w:type="dxa"/>
                  <w:vMerge w:val="restart"/>
                  <w:vAlign w:val="center"/>
                </w:tcPr>
                <w:p w:rsidR="006568DE" w:rsidRPr="00EF5876" w:rsidRDefault="006568DE" w:rsidP="00EF5876">
                  <w:pPr>
                    <w:spacing w:after="0"/>
                  </w:pPr>
                  <w:r w:rsidRPr="00EF5876">
                    <w:t>Tuhé palivá</w:t>
                  </w:r>
                </w:p>
                <w:p w:rsidR="006568DE" w:rsidRPr="00EF5876" w:rsidRDefault="006568DE" w:rsidP="00EF5876">
                  <w:pPr>
                    <w:spacing w:after="0"/>
                  </w:pPr>
                  <w:r w:rsidRPr="00EF5876">
                    <w:t>okrem biomasy</w:t>
                  </w:r>
                </w:p>
              </w:tc>
              <w:tc>
                <w:tcPr>
                  <w:tcW w:w="997" w:type="dxa"/>
                </w:tcPr>
                <w:p w:rsidR="006568DE" w:rsidRPr="00EF5876" w:rsidRDefault="006568DE" w:rsidP="00EF5876">
                  <w:pPr>
                    <w:spacing w:after="0"/>
                    <w:jc w:val="center"/>
                  </w:pPr>
                  <w:r w:rsidRPr="00EF5876">
                    <w:t>≥ 1-5</w:t>
                  </w:r>
                </w:p>
              </w:tc>
              <w:tc>
                <w:tcPr>
                  <w:tcW w:w="1129" w:type="dxa"/>
                </w:tcPr>
                <w:p w:rsidR="006568DE" w:rsidRPr="00EF5876" w:rsidRDefault="006568DE" w:rsidP="00EF5876">
                  <w:pPr>
                    <w:spacing w:after="0"/>
                    <w:jc w:val="center"/>
                  </w:pPr>
                  <w:r w:rsidRPr="00EF5876">
                    <w:t>50</w:t>
                  </w:r>
                </w:p>
              </w:tc>
              <w:tc>
                <w:tcPr>
                  <w:tcW w:w="1701" w:type="dxa"/>
                </w:tcPr>
                <w:p w:rsidR="006568DE" w:rsidRPr="00EF5876" w:rsidRDefault="006568DE" w:rsidP="00EF5876">
                  <w:pPr>
                    <w:spacing w:after="0"/>
                    <w:jc w:val="center"/>
                  </w:pPr>
                  <w:r w:rsidRPr="00EF5876">
                    <w:t>400</w:t>
                  </w:r>
                </w:p>
              </w:tc>
              <w:tc>
                <w:tcPr>
                  <w:tcW w:w="1276" w:type="dxa"/>
                </w:tcPr>
                <w:p w:rsidR="006568DE" w:rsidRPr="00EF5876" w:rsidRDefault="006568DE" w:rsidP="00EF5876">
                  <w:pPr>
                    <w:spacing w:after="0"/>
                    <w:jc w:val="center"/>
                  </w:pPr>
                  <w:r w:rsidRPr="00EF5876">
                    <w:t>500</w:t>
                  </w:r>
                </w:p>
              </w:tc>
            </w:tr>
            <w:tr w:rsidR="00EF5876" w:rsidRPr="00EF5876" w:rsidTr="00EF5876">
              <w:trPr>
                <w:trHeight w:val="283"/>
              </w:trPr>
              <w:tc>
                <w:tcPr>
                  <w:tcW w:w="988" w:type="dxa"/>
                  <w:vMerge/>
                </w:tcPr>
                <w:p w:rsidR="006568DE" w:rsidRPr="00EF5876" w:rsidRDefault="006568DE" w:rsidP="00EF5876">
                  <w:pPr>
                    <w:spacing w:after="0"/>
                  </w:pPr>
                </w:p>
              </w:tc>
              <w:tc>
                <w:tcPr>
                  <w:tcW w:w="997" w:type="dxa"/>
                </w:tcPr>
                <w:p w:rsidR="006568DE" w:rsidRPr="00EF5876" w:rsidRDefault="006568DE" w:rsidP="00EF5876">
                  <w:pPr>
                    <w:spacing w:after="0"/>
                    <w:jc w:val="center"/>
                  </w:pPr>
                  <w:r w:rsidRPr="00EF5876">
                    <w:t>&gt; 5-20</w:t>
                  </w:r>
                </w:p>
              </w:tc>
              <w:tc>
                <w:tcPr>
                  <w:tcW w:w="1129" w:type="dxa"/>
                </w:tcPr>
                <w:p w:rsidR="006568DE" w:rsidRPr="00EF5876" w:rsidRDefault="006568DE" w:rsidP="00EF5876">
                  <w:pPr>
                    <w:spacing w:after="0"/>
                    <w:jc w:val="center"/>
                  </w:pPr>
                  <w:r w:rsidRPr="00EF5876">
                    <w:t>30</w:t>
                  </w:r>
                </w:p>
              </w:tc>
              <w:tc>
                <w:tcPr>
                  <w:tcW w:w="1701" w:type="dxa"/>
                </w:tcPr>
                <w:p w:rsidR="006568DE" w:rsidRPr="00EF5876" w:rsidRDefault="006568DE" w:rsidP="00EF5876">
                  <w:pPr>
                    <w:spacing w:after="0"/>
                    <w:jc w:val="center"/>
                  </w:pPr>
                  <w:r w:rsidRPr="00EF5876">
                    <w:t>400</w:t>
                  </w:r>
                </w:p>
              </w:tc>
              <w:tc>
                <w:tcPr>
                  <w:tcW w:w="1276" w:type="dxa"/>
                </w:tcPr>
                <w:p w:rsidR="006568DE" w:rsidRPr="00EF5876" w:rsidRDefault="006568DE" w:rsidP="00EF5876">
                  <w:pPr>
                    <w:spacing w:after="0"/>
                    <w:jc w:val="center"/>
                  </w:pPr>
                  <w:r w:rsidRPr="00EF5876">
                    <w:t>300</w:t>
                  </w:r>
                </w:p>
              </w:tc>
            </w:tr>
            <w:tr w:rsidR="00EF5876" w:rsidRPr="00EF5876" w:rsidTr="00EF5876">
              <w:trPr>
                <w:trHeight w:val="283"/>
              </w:trPr>
              <w:tc>
                <w:tcPr>
                  <w:tcW w:w="988" w:type="dxa"/>
                  <w:vMerge/>
                </w:tcPr>
                <w:p w:rsidR="006568DE" w:rsidRPr="00EF5876" w:rsidRDefault="006568DE" w:rsidP="00EF5876">
                  <w:pPr>
                    <w:spacing w:after="0"/>
                  </w:pPr>
                </w:p>
              </w:tc>
              <w:tc>
                <w:tcPr>
                  <w:tcW w:w="997" w:type="dxa"/>
                </w:tcPr>
                <w:p w:rsidR="006568DE" w:rsidRPr="00EF5876" w:rsidRDefault="006568DE" w:rsidP="00EF5876">
                  <w:pPr>
                    <w:spacing w:after="0"/>
                    <w:jc w:val="center"/>
                  </w:pPr>
                  <w:r w:rsidRPr="00EF5876">
                    <w:t>&gt; 20</w:t>
                  </w:r>
                </w:p>
              </w:tc>
              <w:tc>
                <w:tcPr>
                  <w:tcW w:w="1129" w:type="dxa"/>
                </w:tcPr>
                <w:p w:rsidR="006568DE" w:rsidRPr="00EF5876" w:rsidRDefault="006568DE" w:rsidP="00EF5876">
                  <w:pPr>
                    <w:spacing w:after="0"/>
                    <w:jc w:val="center"/>
                  </w:pPr>
                  <w:r w:rsidRPr="00EF5876">
                    <w:t>20</w:t>
                  </w:r>
                </w:p>
              </w:tc>
              <w:tc>
                <w:tcPr>
                  <w:tcW w:w="1701" w:type="dxa"/>
                </w:tcPr>
                <w:p w:rsidR="006568DE" w:rsidRPr="00EF5876" w:rsidRDefault="006568DE" w:rsidP="00EF5876">
                  <w:pPr>
                    <w:spacing w:after="0"/>
                    <w:jc w:val="center"/>
                  </w:pPr>
                  <w:r w:rsidRPr="00EF5876">
                    <w:t>400</w:t>
                  </w:r>
                </w:p>
              </w:tc>
              <w:tc>
                <w:tcPr>
                  <w:tcW w:w="1276" w:type="dxa"/>
                </w:tcPr>
                <w:p w:rsidR="006568DE" w:rsidRPr="00EF5876" w:rsidRDefault="006568DE" w:rsidP="00EF5876">
                  <w:pPr>
                    <w:spacing w:after="0"/>
                    <w:jc w:val="center"/>
                  </w:pPr>
                  <w:r w:rsidRPr="00EF5876">
                    <w:t>300</w:t>
                  </w:r>
                </w:p>
              </w:tc>
            </w:tr>
            <w:tr w:rsidR="00EF5876" w:rsidRPr="00EF5876" w:rsidTr="00EF5876">
              <w:trPr>
                <w:trHeight w:val="283"/>
              </w:trPr>
              <w:tc>
                <w:tcPr>
                  <w:tcW w:w="988" w:type="dxa"/>
                  <w:vMerge w:val="restart"/>
                  <w:vAlign w:val="center"/>
                </w:tcPr>
                <w:p w:rsidR="006568DE" w:rsidRPr="00EF5876" w:rsidRDefault="006568DE" w:rsidP="00EF5876">
                  <w:pPr>
                    <w:spacing w:after="0"/>
                  </w:pPr>
                  <w:r w:rsidRPr="00EF5876">
                    <w:t>Biomasa</w:t>
                  </w:r>
                </w:p>
              </w:tc>
              <w:tc>
                <w:tcPr>
                  <w:tcW w:w="997" w:type="dxa"/>
                </w:tcPr>
                <w:p w:rsidR="006568DE" w:rsidRPr="00EF5876" w:rsidRDefault="006568DE" w:rsidP="00EF5876">
                  <w:pPr>
                    <w:spacing w:after="0"/>
                    <w:jc w:val="center"/>
                  </w:pPr>
                  <w:r w:rsidRPr="00EF5876">
                    <w:t>≥ 1- 5</w:t>
                  </w:r>
                </w:p>
              </w:tc>
              <w:tc>
                <w:tcPr>
                  <w:tcW w:w="1129" w:type="dxa"/>
                </w:tcPr>
                <w:p w:rsidR="006568DE" w:rsidRPr="00EF5876" w:rsidRDefault="006568DE" w:rsidP="00EF5876">
                  <w:pPr>
                    <w:spacing w:after="0"/>
                    <w:jc w:val="center"/>
                  </w:pPr>
                  <w:r w:rsidRPr="00EF5876">
                    <w:t>50</w:t>
                  </w:r>
                </w:p>
              </w:tc>
              <w:tc>
                <w:tcPr>
                  <w:tcW w:w="1701" w:type="dxa"/>
                </w:tcPr>
                <w:p w:rsidR="006568DE" w:rsidRPr="00EF5876" w:rsidRDefault="006568DE" w:rsidP="00EF5876">
                  <w:pPr>
                    <w:spacing w:after="0"/>
                    <w:jc w:val="center"/>
                  </w:pPr>
                  <w:r w:rsidRPr="00EF5876">
                    <w:t>200</w:t>
                  </w:r>
                  <w:r w:rsidRPr="00EF5876">
                    <w:rPr>
                      <w:vertAlign w:val="superscript"/>
                    </w:rPr>
                    <w:t>1</w:t>
                  </w:r>
                  <w:r w:rsidRPr="00EF5876">
                    <w:t>)</w:t>
                  </w:r>
                </w:p>
              </w:tc>
              <w:tc>
                <w:tcPr>
                  <w:tcW w:w="1276" w:type="dxa"/>
                </w:tcPr>
                <w:p w:rsidR="006568DE" w:rsidRPr="00EF5876" w:rsidRDefault="006568DE" w:rsidP="00EF5876">
                  <w:pPr>
                    <w:spacing w:after="0"/>
                    <w:jc w:val="center"/>
                  </w:pPr>
                  <w:r w:rsidRPr="00EF5876">
                    <w:t>500</w:t>
                  </w:r>
                </w:p>
              </w:tc>
            </w:tr>
            <w:tr w:rsidR="00EF5876" w:rsidRPr="00EF5876" w:rsidTr="00EF5876">
              <w:trPr>
                <w:trHeight w:val="283"/>
              </w:trPr>
              <w:tc>
                <w:tcPr>
                  <w:tcW w:w="988" w:type="dxa"/>
                  <w:vMerge/>
                </w:tcPr>
                <w:p w:rsidR="006568DE" w:rsidRPr="00EF5876" w:rsidRDefault="006568DE" w:rsidP="00EF5876">
                  <w:pPr>
                    <w:spacing w:after="0"/>
                  </w:pPr>
                </w:p>
              </w:tc>
              <w:tc>
                <w:tcPr>
                  <w:tcW w:w="997" w:type="dxa"/>
                </w:tcPr>
                <w:p w:rsidR="006568DE" w:rsidRPr="00EF5876" w:rsidRDefault="006568DE" w:rsidP="00EF5876">
                  <w:pPr>
                    <w:spacing w:after="0"/>
                    <w:jc w:val="center"/>
                  </w:pPr>
                  <w:r w:rsidRPr="00EF5876">
                    <w:t>&gt; 5-20</w:t>
                  </w:r>
                </w:p>
              </w:tc>
              <w:tc>
                <w:tcPr>
                  <w:tcW w:w="1129" w:type="dxa"/>
                </w:tcPr>
                <w:p w:rsidR="006568DE" w:rsidRPr="00EF5876" w:rsidRDefault="006568DE" w:rsidP="00EF5876">
                  <w:pPr>
                    <w:spacing w:after="0"/>
                    <w:jc w:val="center"/>
                  </w:pPr>
                  <w:r w:rsidRPr="00EF5876">
                    <w:t>30</w:t>
                  </w:r>
                </w:p>
              </w:tc>
              <w:tc>
                <w:tcPr>
                  <w:tcW w:w="1701" w:type="dxa"/>
                </w:tcPr>
                <w:p w:rsidR="006568DE" w:rsidRPr="00EF5876" w:rsidRDefault="006568DE" w:rsidP="00EF5876">
                  <w:pPr>
                    <w:spacing w:after="0"/>
                    <w:jc w:val="center"/>
                  </w:pPr>
                  <w:r w:rsidRPr="00EF5876">
                    <w:t>200</w:t>
                  </w:r>
                  <w:r w:rsidRPr="00EF5876">
                    <w:rPr>
                      <w:vertAlign w:val="superscript"/>
                    </w:rPr>
                    <w:t>1</w:t>
                  </w:r>
                  <w:r w:rsidRPr="00EF5876">
                    <w:t>)</w:t>
                  </w:r>
                </w:p>
              </w:tc>
              <w:tc>
                <w:tcPr>
                  <w:tcW w:w="1276" w:type="dxa"/>
                </w:tcPr>
                <w:p w:rsidR="006568DE" w:rsidRPr="00EF5876" w:rsidRDefault="006568DE" w:rsidP="00EF5876">
                  <w:pPr>
                    <w:spacing w:after="0"/>
                    <w:jc w:val="center"/>
                  </w:pPr>
                  <w:r w:rsidRPr="00EF5876">
                    <w:t>300</w:t>
                  </w:r>
                </w:p>
              </w:tc>
            </w:tr>
            <w:tr w:rsidR="00EF5876" w:rsidRPr="00EF5876" w:rsidTr="00EF5876">
              <w:trPr>
                <w:trHeight w:val="283"/>
              </w:trPr>
              <w:tc>
                <w:tcPr>
                  <w:tcW w:w="988" w:type="dxa"/>
                  <w:vMerge/>
                </w:tcPr>
                <w:p w:rsidR="006568DE" w:rsidRPr="00EF5876" w:rsidRDefault="006568DE" w:rsidP="00EF5876">
                  <w:pPr>
                    <w:spacing w:after="0"/>
                  </w:pPr>
                </w:p>
              </w:tc>
              <w:tc>
                <w:tcPr>
                  <w:tcW w:w="997" w:type="dxa"/>
                </w:tcPr>
                <w:p w:rsidR="006568DE" w:rsidRPr="00EF5876" w:rsidRDefault="006568DE" w:rsidP="00EF5876">
                  <w:pPr>
                    <w:spacing w:after="0"/>
                    <w:jc w:val="center"/>
                  </w:pPr>
                  <w:r w:rsidRPr="00EF5876">
                    <w:t>&gt; 20</w:t>
                  </w:r>
                </w:p>
              </w:tc>
              <w:tc>
                <w:tcPr>
                  <w:tcW w:w="1129" w:type="dxa"/>
                </w:tcPr>
                <w:p w:rsidR="006568DE" w:rsidRPr="00EF5876" w:rsidRDefault="006568DE" w:rsidP="00EF5876">
                  <w:pPr>
                    <w:spacing w:after="0"/>
                    <w:jc w:val="center"/>
                  </w:pPr>
                  <w:r w:rsidRPr="00EF5876">
                    <w:t>20</w:t>
                  </w:r>
                </w:p>
              </w:tc>
              <w:tc>
                <w:tcPr>
                  <w:tcW w:w="1701" w:type="dxa"/>
                </w:tcPr>
                <w:p w:rsidR="006568DE" w:rsidRPr="00EF5876" w:rsidRDefault="006568DE" w:rsidP="00EF5876">
                  <w:pPr>
                    <w:spacing w:after="0"/>
                    <w:jc w:val="center"/>
                  </w:pPr>
                  <w:r w:rsidRPr="00EF5876">
                    <w:t>200</w:t>
                  </w:r>
                  <w:r w:rsidRPr="00EF5876">
                    <w:rPr>
                      <w:vertAlign w:val="superscript"/>
                    </w:rPr>
                    <w:t>1</w:t>
                  </w:r>
                  <w:r w:rsidRPr="00EF5876">
                    <w:t>)</w:t>
                  </w:r>
                </w:p>
              </w:tc>
              <w:tc>
                <w:tcPr>
                  <w:tcW w:w="1276" w:type="dxa"/>
                </w:tcPr>
                <w:p w:rsidR="006568DE" w:rsidRPr="00EF5876" w:rsidRDefault="006568DE" w:rsidP="00EF5876">
                  <w:pPr>
                    <w:spacing w:after="0"/>
                    <w:jc w:val="center"/>
                  </w:pPr>
                  <w:r w:rsidRPr="00EF5876">
                    <w:t>300</w:t>
                  </w:r>
                </w:p>
              </w:tc>
            </w:tr>
            <w:tr w:rsidR="00EF5876" w:rsidRPr="00EF5876" w:rsidTr="00EF5876">
              <w:trPr>
                <w:trHeight w:val="283"/>
              </w:trPr>
              <w:tc>
                <w:tcPr>
                  <w:tcW w:w="988" w:type="dxa"/>
                </w:tcPr>
                <w:p w:rsidR="006568DE" w:rsidRPr="00EF5876" w:rsidRDefault="006568DE" w:rsidP="00EF5876">
                  <w:pPr>
                    <w:spacing w:after="0"/>
                  </w:pPr>
                  <w:r w:rsidRPr="00EF5876">
                    <w:t xml:space="preserve">Plynový olej </w:t>
                  </w:r>
                </w:p>
              </w:tc>
              <w:tc>
                <w:tcPr>
                  <w:tcW w:w="997" w:type="dxa"/>
                </w:tcPr>
                <w:p w:rsidR="006568DE" w:rsidRPr="00EF5876" w:rsidRDefault="006568DE" w:rsidP="00EF5876">
                  <w:pPr>
                    <w:spacing w:after="0"/>
                    <w:jc w:val="center"/>
                  </w:pPr>
                  <w:r w:rsidRPr="00EF5876">
                    <w:t>≥ 1</w:t>
                  </w:r>
                </w:p>
              </w:tc>
              <w:tc>
                <w:tcPr>
                  <w:tcW w:w="1129" w:type="dxa"/>
                </w:tcPr>
                <w:p w:rsidR="006568DE" w:rsidRPr="00EF5876" w:rsidRDefault="006568DE" w:rsidP="00EF5876">
                  <w:pPr>
                    <w:spacing w:after="0"/>
                    <w:jc w:val="center"/>
                  </w:pPr>
                  <w:r w:rsidRPr="00EF5876">
                    <w:t>-</w:t>
                  </w:r>
                </w:p>
              </w:tc>
              <w:tc>
                <w:tcPr>
                  <w:tcW w:w="1701" w:type="dxa"/>
                </w:tcPr>
                <w:p w:rsidR="006568DE" w:rsidRPr="00EF5876" w:rsidRDefault="006568DE" w:rsidP="00EF5876">
                  <w:pPr>
                    <w:spacing w:after="0"/>
                    <w:jc w:val="center"/>
                  </w:pPr>
                  <w:r w:rsidRPr="00EF5876">
                    <w:t>-</w:t>
                  </w:r>
                </w:p>
              </w:tc>
              <w:tc>
                <w:tcPr>
                  <w:tcW w:w="1276" w:type="dxa"/>
                </w:tcPr>
                <w:p w:rsidR="006568DE" w:rsidRPr="00EF5876" w:rsidRDefault="006568DE" w:rsidP="00EF5876">
                  <w:pPr>
                    <w:spacing w:after="0"/>
                    <w:jc w:val="center"/>
                  </w:pPr>
                  <w:r w:rsidRPr="00EF5876">
                    <w:t>200</w:t>
                  </w:r>
                </w:p>
              </w:tc>
            </w:tr>
            <w:tr w:rsidR="00EF5876" w:rsidRPr="00EF5876" w:rsidTr="00EF5876">
              <w:trPr>
                <w:trHeight w:val="283"/>
              </w:trPr>
              <w:tc>
                <w:tcPr>
                  <w:tcW w:w="988" w:type="dxa"/>
                  <w:vMerge w:val="restart"/>
                </w:tcPr>
                <w:p w:rsidR="006568DE" w:rsidRPr="00EF5876" w:rsidRDefault="006568DE" w:rsidP="00EF5876">
                  <w:pPr>
                    <w:tabs>
                      <w:tab w:val="left" w:pos="284"/>
                    </w:tabs>
                    <w:spacing w:after="0"/>
                  </w:pPr>
                  <w:r w:rsidRPr="00EF5876">
                    <w:t>Iné kvapalné palivá</w:t>
                  </w:r>
                </w:p>
              </w:tc>
              <w:tc>
                <w:tcPr>
                  <w:tcW w:w="997" w:type="dxa"/>
                </w:tcPr>
                <w:p w:rsidR="006568DE" w:rsidRPr="00EF5876" w:rsidRDefault="006568DE" w:rsidP="00EF5876">
                  <w:pPr>
                    <w:spacing w:after="0"/>
                    <w:jc w:val="center"/>
                  </w:pPr>
                  <w:r w:rsidRPr="00EF5876">
                    <w:t>≥ 1- 5</w:t>
                  </w:r>
                </w:p>
              </w:tc>
              <w:tc>
                <w:tcPr>
                  <w:tcW w:w="1129" w:type="dxa"/>
                </w:tcPr>
                <w:p w:rsidR="006568DE" w:rsidRPr="00EF5876" w:rsidRDefault="006568DE" w:rsidP="00EF5876">
                  <w:pPr>
                    <w:spacing w:after="0"/>
                    <w:jc w:val="center"/>
                  </w:pPr>
                  <w:r w:rsidRPr="00EF5876">
                    <w:t>50</w:t>
                  </w:r>
                </w:p>
              </w:tc>
              <w:tc>
                <w:tcPr>
                  <w:tcW w:w="1701" w:type="dxa"/>
                </w:tcPr>
                <w:p w:rsidR="006568DE" w:rsidRPr="00EF5876" w:rsidRDefault="006568DE" w:rsidP="00EF5876">
                  <w:pPr>
                    <w:spacing w:after="0"/>
                    <w:jc w:val="center"/>
                  </w:pPr>
                  <w:r w:rsidRPr="00EF5876">
                    <w:t>350</w:t>
                  </w:r>
                </w:p>
              </w:tc>
              <w:tc>
                <w:tcPr>
                  <w:tcW w:w="1276" w:type="dxa"/>
                </w:tcPr>
                <w:p w:rsidR="006568DE" w:rsidRPr="00EF5876" w:rsidRDefault="006568DE" w:rsidP="00EF5876">
                  <w:pPr>
                    <w:spacing w:after="0"/>
                    <w:jc w:val="center"/>
                  </w:pPr>
                  <w:r w:rsidRPr="00EF5876">
                    <w:t>300</w:t>
                  </w:r>
                </w:p>
              </w:tc>
            </w:tr>
            <w:tr w:rsidR="00EF5876" w:rsidRPr="00EF5876" w:rsidTr="00EF5876">
              <w:trPr>
                <w:trHeight w:val="283"/>
              </w:trPr>
              <w:tc>
                <w:tcPr>
                  <w:tcW w:w="988" w:type="dxa"/>
                  <w:vMerge/>
                </w:tcPr>
                <w:p w:rsidR="006568DE" w:rsidRPr="00EF5876" w:rsidRDefault="006568DE" w:rsidP="00EF5876">
                  <w:pPr>
                    <w:tabs>
                      <w:tab w:val="left" w:pos="284"/>
                    </w:tabs>
                    <w:spacing w:after="0"/>
                    <w:rPr>
                      <w:b/>
                    </w:rPr>
                  </w:pPr>
                </w:p>
              </w:tc>
              <w:tc>
                <w:tcPr>
                  <w:tcW w:w="997" w:type="dxa"/>
                </w:tcPr>
                <w:p w:rsidR="006568DE" w:rsidRPr="00EF5876" w:rsidRDefault="006568DE" w:rsidP="00EF5876">
                  <w:pPr>
                    <w:spacing w:after="0"/>
                    <w:jc w:val="center"/>
                  </w:pPr>
                  <w:r w:rsidRPr="00EF5876">
                    <w:t>&gt; 5</w:t>
                  </w:r>
                </w:p>
              </w:tc>
              <w:tc>
                <w:tcPr>
                  <w:tcW w:w="1129" w:type="dxa"/>
                </w:tcPr>
                <w:p w:rsidR="006568DE" w:rsidRPr="00EF5876" w:rsidRDefault="006568DE" w:rsidP="00EF5876">
                  <w:pPr>
                    <w:spacing w:after="0"/>
                    <w:jc w:val="center"/>
                  </w:pPr>
                  <w:r w:rsidRPr="00EF5876">
                    <w:t>20</w:t>
                  </w:r>
                </w:p>
              </w:tc>
              <w:tc>
                <w:tcPr>
                  <w:tcW w:w="1701" w:type="dxa"/>
                </w:tcPr>
                <w:p w:rsidR="006568DE" w:rsidRPr="00EF5876" w:rsidRDefault="006568DE" w:rsidP="00EF5876">
                  <w:pPr>
                    <w:spacing w:after="0"/>
                    <w:jc w:val="center"/>
                  </w:pPr>
                  <w:r w:rsidRPr="00EF5876">
                    <w:t>350</w:t>
                  </w:r>
                </w:p>
              </w:tc>
              <w:tc>
                <w:tcPr>
                  <w:tcW w:w="1276" w:type="dxa"/>
                </w:tcPr>
                <w:p w:rsidR="006568DE" w:rsidRPr="00EF5876" w:rsidRDefault="006568DE" w:rsidP="00EF5876">
                  <w:pPr>
                    <w:spacing w:after="0"/>
                    <w:jc w:val="center"/>
                  </w:pPr>
                  <w:r w:rsidRPr="00EF5876">
                    <w:t>300</w:t>
                  </w:r>
                </w:p>
              </w:tc>
            </w:tr>
            <w:tr w:rsidR="00EF5876" w:rsidRPr="00EF5876" w:rsidTr="00EF5876">
              <w:trPr>
                <w:trHeight w:val="283"/>
              </w:trPr>
              <w:tc>
                <w:tcPr>
                  <w:tcW w:w="988" w:type="dxa"/>
                </w:tcPr>
                <w:p w:rsidR="006568DE" w:rsidRPr="00EF5876" w:rsidRDefault="006568DE" w:rsidP="00EF5876">
                  <w:pPr>
                    <w:spacing w:after="0"/>
                  </w:pPr>
                  <w:r w:rsidRPr="00EF5876">
                    <w:t>ZPN</w:t>
                  </w:r>
                </w:p>
              </w:tc>
              <w:tc>
                <w:tcPr>
                  <w:tcW w:w="997" w:type="dxa"/>
                </w:tcPr>
                <w:p w:rsidR="006568DE" w:rsidRPr="00EF5876" w:rsidRDefault="006568DE" w:rsidP="00EF5876">
                  <w:pPr>
                    <w:spacing w:after="0"/>
                    <w:jc w:val="center"/>
                  </w:pPr>
                  <w:r w:rsidRPr="00EF5876">
                    <w:t>≥ 1</w:t>
                  </w:r>
                </w:p>
              </w:tc>
              <w:tc>
                <w:tcPr>
                  <w:tcW w:w="1129" w:type="dxa"/>
                </w:tcPr>
                <w:p w:rsidR="006568DE" w:rsidRPr="00EF5876" w:rsidRDefault="006568DE" w:rsidP="00EF5876">
                  <w:pPr>
                    <w:spacing w:after="0"/>
                    <w:jc w:val="center"/>
                  </w:pPr>
                  <w:r w:rsidRPr="00EF5876">
                    <w:t>-</w:t>
                  </w:r>
                </w:p>
              </w:tc>
              <w:tc>
                <w:tcPr>
                  <w:tcW w:w="1701" w:type="dxa"/>
                </w:tcPr>
                <w:p w:rsidR="006568DE" w:rsidRPr="00EF5876" w:rsidRDefault="006568DE" w:rsidP="00EF5876">
                  <w:pPr>
                    <w:spacing w:after="0"/>
                    <w:jc w:val="center"/>
                  </w:pPr>
                  <w:r w:rsidRPr="00EF5876">
                    <w:t>-</w:t>
                  </w:r>
                </w:p>
              </w:tc>
              <w:tc>
                <w:tcPr>
                  <w:tcW w:w="1276" w:type="dxa"/>
                </w:tcPr>
                <w:p w:rsidR="006568DE" w:rsidRPr="00EF5876" w:rsidRDefault="006568DE" w:rsidP="00EF5876">
                  <w:pPr>
                    <w:spacing w:after="0"/>
                    <w:jc w:val="center"/>
                  </w:pPr>
                  <w:r w:rsidRPr="00EF5876">
                    <w:t>100</w:t>
                  </w:r>
                </w:p>
              </w:tc>
            </w:tr>
            <w:tr w:rsidR="00EF5876" w:rsidRPr="00EF5876" w:rsidTr="00EF5876">
              <w:trPr>
                <w:trHeight w:val="283"/>
              </w:trPr>
              <w:tc>
                <w:tcPr>
                  <w:tcW w:w="988" w:type="dxa"/>
                </w:tcPr>
                <w:p w:rsidR="006568DE" w:rsidRPr="00EF5876" w:rsidRDefault="006568DE" w:rsidP="00EF5876">
                  <w:pPr>
                    <w:spacing w:after="0"/>
                  </w:pPr>
                  <w:r w:rsidRPr="00EF5876">
                    <w:t xml:space="preserve">Iné plynné palivá </w:t>
                  </w:r>
                </w:p>
              </w:tc>
              <w:tc>
                <w:tcPr>
                  <w:tcW w:w="997" w:type="dxa"/>
                  <w:vAlign w:val="center"/>
                </w:tcPr>
                <w:p w:rsidR="006568DE" w:rsidRPr="00EF5876" w:rsidRDefault="006568DE" w:rsidP="00EF5876">
                  <w:pPr>
                    <w:spacing w:after="0"/>
                    <w:jc w:val="center"/>
                  </w:pPr>
                  <w:r w:rsidRPr="00EF5876">
                    <w:t>≥ 1</w:t>
                  </w:r>
                </w:p>
              </w:tc>
              <w:tc>
                <w:tcPr>
                  <w:tcW w:w="1129" w:type="dxa"/>
                  <w:vAlign w:val="center"/>
                </w:tcPr>
                <w:p w:rsidR="006568DE" w:rsidRPr="00EF5876" w:rsidRDefault="006568DE" w:rsidP="00EF5876">
                  <w:pPr>
                    <w:spacing w:after="0"/>
                    <w:jc w:val="center"/>
                  </w:pPr>
                  <w:r w:rsidRPr="00EF5876">
                    <w:t>-</w:t>
                  </w:r>
                </w:p>
              </w:tc>
              <w:tc>
                <w:tcPr>
                  <w:tcW w:w="1701" w:type="dxa"/>
                  <w:vAlign w:val="center"/>
                </w:tcPr>
                <w:p w:rsidR="006568DE" w:rsidRPr="00EF5876" w:rsidRDefault="006568DE" w:rsidP="00EF5876">
                  <w:pPr>
                    <w:spacing w:after="0"/>
                    <w:jc w:val="center"/>
                  </w:pPr>
                  <w:r w:rsidRPr="00EF5876">
                    <w:t>35, 100</w:t>
                  </w:r>
                  <w:r w:rsidRPr="00EF5876">
                    <w:rPr>
                      <w:vertAlign w:val="superscript"/>
                    </w:rPr>
                    <w:t>3</w:t>
                  </w:r>
                  <w:r w:rsidRPr="00EF5876">
                    <w:t>), 200</w:t>
                  </w:r>
                  <w:r w:rsidRPr="00EF5876">
                    <w:rPr>
                      <w:vertAlign w:val="superscript"/>
                    </w:rPr>
                    <w:t>4</w:t>
                  </w:r>
                  <w:r w:rsidRPr="00EF5876">
                    <w:t>), 400</w:t>
                  </w:r>
                  <w:r w:rsidRPr="00EF5876">
                    <w:rPr>
                      <w:vertAlign w:val="superscript"/>
                    </w:rPr>
                    <w:t>5</w:t>
                  </w:r>
                  <w:r w:rsidRPr="00EF5876">
                    <w:t>)</w:t>
                  </w:r>
                </w:p>
              </w:tc>
              <w:tc>
                <w:tcPr>
                  <w:tcW w:w="1276" w:type="dxa"/>
                  <w:vAlign w:val="center"/>
                </w:tcPr>
                <w:p w:rsidR="006568DE" w:rsidRPr="00EF5876" w:rsidRDefault="006568DE" w:rsidP="00EF5876">
                  <w:pPr>
                    <w:spacing w:after="0"/>
                    <w:jc w:val="center"/>
                  </w:pPr>
                  <w:r w:rsidRPr="00EF5876">
                    <w:t>200</w:t>
                  </w:r>
                </w:p>
              </w:tc>
            </w:tr>
          </w:tbl>
          <w:p w:rsidR="006568DE" w:rsidRPr="00EF5876" w:rsidRDefault="006568DE" w:rsidP="00215280">
            <w:pPr>
              <w:pStyle w:val="Odsekzoznamu"/>
              <w:keepNext w:val="0"/>
              <w:numPr>
                <w:ilvl w:val="2"/>
                <w:numId w:val="34"/>
              </w:numPr>
              <w:spacing w:before="0" w:after="0"/>
              <w:ind w:left="284" w:hanging="284"/>
              <w:contextualSpacing/>
              <w:jc w:val="left"/>
              <w:rPr>
                <w:sz w:val="22"/>
                <w:szCs w:val="22"/>
              </w:rPr>
            </w:pPr>
            <w:r w:rsidRPr="00EF5876">
              <w:rPr>
                <w:sz w:val="22"/>
                <w:szCs w:val="22"/>
              </w:rPr>
              <w:t xml:space="preserve">EL sa neuplatňuje sa  v prípade zariadení spaľujúcich výlučne drevnú biomasu. </w:t>
            </w:r>
          </w:p>
          <w:p w:rsidR="006568DE" w:rsidRPr="00EF5876" w:rsidRDefault="006568DE" w:rsidP="00215280">
            <w:pPr>
              <w:pStyle w:val="Odsekzoznamu"/>
              <w:keepNext w:val="0"/>
              <w:numPr>
                <w:ilvl w:val="2"/>
                <w:numId w:val="34"/>
              </w:numPr>
              <w:spacing w:before="0" w:after="0"/>
              <w:ind w:left="284" w:hanging="284"/>
              <w:contextualSpacing/>
              <w:jc w:val="left"/>
              <w:rPr>
                <w:sz w:val="22"/>
                <w:szCs w:val="22"/>
              </w:rPr>
            </w:pPr>
            <w:r w:rsidRPr="00EF5876">
              <w:rPr>
                <w:sz w:val="22"/>
                <w:szCs w:val="22"/>
              </w:rPr>
              <w:t xml:space="preserve">Platí pre spaľovanie  slamy. </w:t>
            </w:r>
          </w:p>
          <w:p w:rsidR="006568DE" w:rsidRPr="00EF5876" w:rsidRDefault="006568DE" w:rsidP="00215280">
            <w:pPr>
              <w:pStyle w:val="Odsekzoznamu"/>
              <w:keepNext w:val="0"/>
              <w:numPr>
                <w:ilvl w:val="2"/>
                <w:numId w:val="34"/>
              </w:numPr>
              <w:spacing w:before="0" w:after="0"/>
              <w:ind w:left="284" w:hanging="284"/>
              <w:contextualSpacing/>
              <w:rPr>
                <w:sz w:val="22"/>
                <w:szCs w:val="22"/>
              </w:rPr>
            </w:pPr>
            <w:r w:rsidRPr="00EF5876">
              <w:rPr>
                <w:sz w:val="22"/>
                <w:szCs w:val="22"/>
              </w:rPr>
              <w:t xml:space="preserve">Platí pre bioplyn. </w:t>
            </w:r>
          </w:p>
          <w:p w:rsidR="006568DE" w:rsidRPr="00EF5876" w:rsidRDefault="006568DE" w:rsidP="00215280">
            <w:pPr>
              <w:pStyle w:val="Odsekzoznamu"/>
              <w:keepNext w:val="0"/>
              <w:numPr>
                <w:ilvl w:val="2"/>
                <w:numId w:val="34"/>
              </w:numPr>
              <w:tabs>
                <w:tab w:val="left" w:pos="284"/>
              </w:tabs>
              <w:spacing w:before="0" w:after="0"/>
              <w:ind w:left="0" w:firstLine="0"/>
              <w:contextualSpacing/>
              <w:rPr>
                <w:sz w:val="22"/>
                <w:szCs w:val="22"/>
              </w:rPr>
            </w:pPr>
            <w:r w:rsidRPr="00EF5876">
              <w:rPr>
                <w:sz w:val="22"/>
                <w:szCs w:val="22"/>
              </w:rPr>
              <w:t>Platí pre nízkovýhrevný  vysokopecný plyn v železiarskom a oceliarskom priemysle.</w:t>
            </w:r>
          </w:p>
          <w:p w:rsidR="00B20392" w:rsidRPr="00EF5876" w:rsidRDefault="006568DE" w:rsidP="00603CC4">
            <w:pPr>
              <w:pStyle w:val="Odsekzoznamu"/>
              <w:keepNext w:val="0"/>
              <w:numPr>
                <w:ilvl w:val="2"/>
                <w:numId w:val="34"/>
              </w:numPr>
              <w:tabs>
                <w:tab w:val="left" w:pos="284"/>
              </w:tabs>
              <w:spacing w:before="0" w:after="0"/>
              <w:ind w:left="0" w:firstLine="0"/>
              <w:contextualSpacing/>
              <w:rPr>
                <w:sz w:val="22"/>
                <w:szCs w:val="22"/>
              </w:rPr>
            </w:pPr>
            <w:r w:rsidRPr="00EF5876">
              <w:rPr>
                <w:sz w:val="22"/>
                <w:szCs w:val="22"/>
              </w:rPr>
              <w:t>Platí pre koksárenský plyn.</w:t>
            </w:r>
          </w:p>
        </w:tc>
        <w:tc>
          <w:tcPr>
            <w:tcW w:w="508" w:type="dxa"/>
            <w:tcBorders>
              <w:top w:val="nil"/>
              <w:bottom w:val="nil"/>
            </w:tcBorders>
            <w:vAlign w:val="center"/>
          </w:tcPr>
          <w:p w:rsidR="00B20392" w:rsidRPr="00603CC4" w:rsidRDefault="00B20392" w:rsidP="00603CC4">
            <w:pPr>
              <w:spacing w:after="0" w:line="240" w:lineRule="auto"/>
            </w:pPr>
          </w:p>
        </w:tc>
        <w:tc>
          <w:tcPr>
            <w:tcW w:w="508" w:type="dxa"/>
            <w:tcBorders>
              <w:top w:val="nil"/>
              <w:bottom w:val="nil"/>
            </w:tcBorders>
            <w:vAlign w:val="center"/>
          </w:tcPr>
          <w:p w:rsidR="00B20392" w:rsidRPr="00603CC4" w:rsidRDefault="00B20392" w:rsidP="00603CC4">
            <w:pPr>
              <w:spacing w:after="0" w:line="240" w:lineRule="auto"/>
            </w:pPr>
          </w:p>
        </w:tc>
      </w:tr>
      <w:tr w:rsidR="00B20392" w:rsidRPr="00603CC4" w:rsidTr="00EF5876">
        <w:tc>
          <w:tcPr>
            <w:tcW w:w="709" w:type="dxa"/>
            <w:tcBorders>
              <w:top w:val="nil"/>
            </w:tcBorders>
            <w:vAlign w:val="center"/>
          </w:tcPr>
          <w:p w:rsidR="00B20392" w:rsidRPr="00603CC4" w:rsidRDefault="00B20392" w:rsidP="00603CC4">
            <w:pPr>
              <w:spacing w:after="0" w:line="240" w:lineRule="auto"/>
            </w:pPr>
            <w:r w:rsidRPr="00603CC4">
              <w:lastRenderedPageBreak/>
              <w:t>Tab.2</w:t>
            </w:r>
          </w:p>
        </w:tc>
        <w:tc>
          <w:tcPr>
            <w:tcW w:w="5771" w:type="dxa"/>
            <w:vAlign w:val="center"/>
          </w:tcPr>
          <w:p w:rsidR="00B20392" w:rsidRPr="00603CC4" w:rsidRDefault="00B20392" w:rsidP="00603CC4">
            <w:pPr>
              <w:spacing w:before="120" w:after="0" w:line="240" w:lineRule="auto"/>
              <w:jc w:val="both"/>
            </w:pPr>
            <w:r w:rsidRPr="00603CC4">
              <w:t>Emisné limity (mg/Nm3) pre nové motory a plynové turbíny</w:t>
            </w:r>
          </w:p>
          <w:p w:rsidR="00B20392" w:rsidRPr="00603CC4" w:rsidRDefault="00380EB5" w:rsidP="00603CC4">
            <w:pPr>
              <w:spacing w:before="120" w:after="0" w:line="240" w:lineRule="auto"/>
              <w:jc w:val="both"/>
            </w:pPr>
            <w:r>
              <w:rPr>
                <w:noProof/>
                <w:lang w:eastAsia="sk-SK"/>
              </w:rPr>
              <w:drawing>
                <wp:inline distT="0" distB="0" distL="0" distR="0" wp14:anchorId="37A5EEA9" wp14:editId="73C191B3">
                  <wp:extent cx="4238625" cy="2924175"/>
                  <wp:effectExtent l="0" t="0" r="9525" b="952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38625" cy="2924175"/>
                          </a:xfrm>
                          <a:prstGeom prst="rect">
                            <a:avLst/>
                          </a:prstGeom>
                          <a:noFill/>
                          <a:ln>
                            <a:noFill/>
                          </a:ln>
                        </pic:spPr>
                      </pic:pic>
                    </a:graphicData>
                  </a:graphic>
                </wp:inline>
              </w:drawing>
            </w:r>
          </w:p>
          <w:p w:rsidR="00B20392" w:rsidRPr="00603CC4" w:rsidRDefault="00B20392" w:rsidP="00603CC4">
            <w:pPr>
              <w:spacing w:before="120" w:after="0" w:line="240" w:lineRule="auto"/>
              <w:jc w:val="both"/>
            </w:pPr>
            <w:r w:rsidRPr="00603CC4">
              <w:t>(1) Do 1. januára 2025, 590 mg/Nm3 v prípade naftových motorov, ktoré sú súčasťou SIS alebo MIS.</w:t>
            </w:r>
          </w:p>
          <w:p w:rsidR="00B20392" w:rsidRPr="00603CC4" w:rsidRDefault="00B20392" w:rsidP="00603CC4">
            <w:pPr>
              <w:spacing w:before="120" w:after="0" w:line="240" w:lineRule="auto"/>
              <w:jc w:val="both"/>
            </w:pPr>
            <w:r w:rsidRPr="00603CC4">
              <w:t xml:space="preserve">(2) 40 mg/Nm3 v prípade bioplynu. </w:t>
            </w:r>
          </w:p>
          <w:p w:rsidR="00B20392" w:rsidRPr="00603CC4" w:rsidRDefault="00B20392" w:rsidP="00603CC4">
            <w:pPr>
              <w:spacing w:before="120" w:after="0" w:line="240" w:lineRule="auto"/>
              <w:jc w:val="both"/>
            </w:pPr>
            <w:r w:rsidRPr="00603CC4">
              <w:t xml:space="preserve">(3) Motory s prevádzkou 500 až 1 500 hodín ročne môžu byť oslobodené od povinnosti dodržiavať tieto emisné limity, ak uplatňujú primárne opatrenia na znižovanie emisií NOx a spĺňajú emisné limity uvedené v poznámke pod čiarou č. 4. </w:t>
            </w:r>
          </w:p>
          <w:p w:rsidR="00B20392" w:rsidRPr="00603CC4" w:rsidRDefault="00B20392" w:rsidP="00603CC4">
            <w:pPr>
              <w:spacing w:before="120" w:after="0" w:line="240" w:lineRule="auto"/>
              <w:jc w:val="both"/>
            </w:pPr>
            <w:r w:rsidRPr="00603CC4">
              <w:t xml:space="preserve">(4) Do 1. januára 2025 v prípade SIS a MIS 1 850 mg/Nm3 pre </w:t>
            </w:r>
            <w:r w:rsidRPr="00603CC4">
              <w:lastRenderedPageBreak/>
              <w:t xml:space="preserve">dvojpalivový motor v kvapalnom režime a 380 mg/Nm3 v plynnom režime; 1 300 mg/Nm3 pre naftové motory s RPM ≤ 1 200 </w:t>
            </w:r>
            <w:proofErr w:type="spellStart"/>
            <w:r w:rsidRPr="00603CC4">
              <w:t>ot</w:t>
            </w:r>
            <w:proofErr w:type="spellEnd"/>
            <w:r w:rsidRPr="00603CC4">
              <w:t xml:space="preserve">./min. s celkovým menovitým tepelným príkonom menším alebo rovnajúcim sa 20 MW a 1 850 mg/Nm3 pre naftové motory s celkovým menovitým tepelným príkonom väčším ako 20 MW; 750 mg/Nm3 pre naftové motory s RPM &gt; 1 200 </w:t>
            </w:r>
            <w:proofErr w:type="spellStart"/>
            <w:r w:rsidRPr="00603CC4">
              <w:t>ot</w:t>
            </w:r>
            <w:proofErr w:type="spellEnd"/>
            <w:r w:rsidRPr="00603CC4">
              <w:t>./min.</w:t>
            </w:r>
          </w:p>
          <w:p w:rsidR="00B20392" w:rsidRPr="00603CC4" w:rsidRDefault="00B20392" w:rsidP="00603CC4">
            <w:pPr>
              <w:spacing w:before="120" w:after="0" w:line="240" w:lineRule="auto"/>
              <w:jc w:val="both"/>
            </w:pPr>
            <w:r w:rsidRPr="00603CC4">
              <w:t xml:space="preserve"> (5) 225 mg/Nm3 v prípade dvojpalivových motorov v kvapalnom režime.</w:t>
            </w:r>
          </w:p>
          <w:p w:rsidR="00B20392" w:rsidRPr="00603CC4" w:rsidRDefault="00B20392" w:rsidP="00603CC4">
            <w:pPr>
              <w:spacing w:before="120" w:after="0" w:line="240" w:lineRule="auto"/>
              <w:jc w:val="both"/>
            </w:pPr>
            <w:r w:rsidRPr="00603CC4">
              <w:t xml:space="preserve"> (6) 225 mg/Nm3 v prípade naftových motorov s celkovým menovitým tepelným príkonom menším alebo rovnajúcim sa 20 MW s RPM ≤ 1 200 </w:t>
            </w:r>
            <w:proofErr w:type="spellStart"/>
            <w:r w:rsidRPr="00603CC4">
              <w:t>ot</w:t>
            </w:r>
            <w:proofErr w:type="spellEnd"/>
            <w:r w:rsidRPr="00603CC4">
              <w:t xml:space="preserve">./min. </w:t>
            </w:r>
          </w:p>
          <w:p w:rsidR="00B20392" w:rsidRPr="00603CC4" w:rsidRDefault="00B20392" w:rsidP="00603CC4">
            <w:pPr>
              <w:spacing w:before="120" w:after="0" w:line="240" w:lineRule="auto"/>
              <w:jc w:val="both"/>
            </w:pPr>
            <w:r w:rsidRPr="00603CC4">
              <w:t xml:space="preserve">(7) 190 mg/Nm3 v prípade dvojpalivových motorov v kvapalnom režime. </w:t>
            </w:r>
          </w:p>
          <w:p w:rsidR="00B20392" w:rsidRPr="00603CC4" w:rsidRDefault="00B20392" w:rsidP="00603CC4">
            <w:pPr>
              <w:spacing w:before="120" w:after="0" w:line="240" w:lineRule="auto"/>
              <w:jc w:val="both"/>
            </w:pPr>
            <w:r w:rsidRPr="00603CC4">
              <w:t xml:space="preserve">(8) Tieto emisné limity sa uplatňujú iba pri zaťažení nad 70 %. </w:t>
            </w:r>
          </w:p>
          <w:p w:rsidR="00B20392" w:rsidRPr="00603CC4" w:rsidRDefault="00B20392" w:rsidP="00603CC4">
            <w:pPr>
              <w:spacing w:before="120" w:after="0" w:line="240" w:lineRule="auto"/>
              <w:jc w:val="both"/>
            </w:pPr>
            <w:r w:rsidRPr="00603CC4">
              <w:t xml:space="preserve">(9) Do 1. januára 2025, 550 mg/Nm3 v prípade zariadení, ktoré sú súčasťou SIS alebo MIS. </w:t>
            </w:r>
          </w:p>
          <w:p w:rsidR="00B20392" w:rsidRPr="00603CC4" w:rsidRDefault="00B20392" w:rsidP="00603CC4">
            <w:pPr>
              <w:spacing w:before="120" w:after="0" w:line="240" w:lineRule="auto"/>
              <w:jc w:val="both"/>
            </w:pPr>
            <w:r w:rsidRPr="00603CC4">
              <w:t xml:space="preserve">(10) Do 1. januára 2025, 75 mg/Nm3 v prípade naftových motorov, ktoré sú súčasťou SIS alebo MIS. </w:t>
            </w:r>
          </w:p>
          <w:p w:rsidR="00B20392" w:rsidRPr="00603CC4" w:rsidRDefault="00B20392" w:rsidP="00603CC4">
            <w:pPr>
              <w:spacing w:before="120" w:after="0" w:line="240" w:lineRule="auto"/>
              <w:jc w:val="both"/>
            </w:pPr>
            <w:r w:rsidRPr="00603CC4">
              <w:t>(11) 20 mg/Nm3 v prípade zariadení s celkovým menovitým tepelným príkonom rovnajúcim sa alebo väčším ako 1 MW a menším alebo rovnajúcim sa 5 MW.</w:t>
            </w:r>
          </w:p>
        </w:tc>
        <w:tc>
          <w:tcPr>
            <w:tcW w:w="397" w:type="dxa"/>
            <w:vAlign w:val="center"/>
          </w:tcPr>
          <w:p w:rsidR="00B20392" w:rsidRPr="00603CC4" w:rsidRDefault="00945A32" w:rsidP="00603CC4">
            <w:pPr>
              <w:spacing w:after="0" w:line="240" w:lineRule="auto"/>
            </w:pPr>
            <w:r>
              <w:lastRenderedPageBreak/>
              <w:t>N</w:t>
            </w:r>
          </w:p>
        </w:tc>
        <w:tc>
          <w:tcPr>
            <w:tcW w:w="708" w:type="dxa"/>
            <w:vAlign w:val="center"/>
          </w:tcPr>
          <w:p w:rsidR="00B20392" w:rsidRPr="00603CC4" w:rsidRDefault="007D65D8" w:rsidP="00603CC4">
            <w:pPr>
              <w:spacing w:after="0" w:line="240" w:lineRule="auto"/>
            </w:pPr>
            <w:r>
              <w:t>N410</w:t>
            </w:r>
          </w:p>
        </w:tc>
        <w:tc>
          <w:tcPr>
            <w:tcW w:w="596" w:type="dxa"/>
            <w:vAlign w:val="center"/>
          </w:tcPr>
          <w:p w:rsidR="00B20392" w:rsidRDefault="007D65D8" w:rsidP="00FA5311">
            <w:pPr>
              <w:spacing w:after="0" w:line="240" w:lineRule="auto"/>
              <w:ind w:right="-79"/>
            </w:pPr>
            <w:r>
              <w:t>Pr. 4 Časť IV</w:t>
            </w:r>
          </w:p>
          <w:p w:rsidR="007D65D8" w:rsidRDefault="007D65D8" w:rsidP="00603CC4">
            <w:pPr>
              <w:spacing w:after="0" w:line="240" w:lineRule="auto"/>
            </w:pPr>
            <w:r>
              <w:t xml:space="preserve">B: 3  </w:t>
            </w:r>
            <w:proofErr w:type="spellStart"/>
            <w:r>
              <w:t>Tab</w:t>
            </w:r>
            <w:proofErr w:type="spellEnd"/>
            <w:r>
              <w:t xml:space="preserve"> B</w:t>
            </w:r>
          </w:p>
          <w:p w:rsidR="007D65D8" w:rsidRDefault="007D65D8" w:rsidP="00603CC4">
            <w:pPr>
              <w:spacing w:after="0" w:line="240" w:lineRule="auto"/>
            </w:pPr>
            <w:r>
              <w:t xml:space="preserve">B: 4 </w:t>
            </w:r>
          </w:p>
          <w:p w:rsidR="007D65D8" w:rsidRDefault="007D65D8" w:rsidP="00603CC4">
            <w:pPr>
              <w:spacing w:after="0" w:line="240" w:lineRule="auto"/>
            </w:pPr>
            <w:proofErr w:type="spellStart"/>
            <w:r>
              <w:t>Tab.B</w:t>
            </w:r>
            <w:proofErr w:type="spellEnd"/>
          </w:p>
          <w:p w:rsidR="007D65D8" w:rsidRPr="00603CC4" w:rsidRDefault="007D65D8" w:rsidP="00603CC4">
            <w:pPr>
              <w:spacing w:after="0" w:line="240" w:lineRule="auto"/>
            </w:pPr>
          </w:p>
        </w:tc>
        <w:tc>
          <w:tcPr>
            <w:tcW w:w="6396" w:type="dxa"/>
            <w:vAlign w:val="center"/>
          </w:tcPr>
          <w:p w:rsidR="00B20392" w:rsidRPr="00EF5876" w:rsidRDefault="00B20392" w:rsidP="00603CC4">
            <w:pPr>
              <w:spacing w:after="0" w:line="240" w:lineRule="auto"/>
            </w:pPr>
          </w:p>
          <w:p w:rsidR="00E90F86" w:rsidRPr="00EF5876" w:rsidRDefault="007D65D8" w:rsidP="00603CC4">
            <w:pPr>
              <w:spacing w:after="0" w:line="240" w:lineRule="auto"/>
              <w:rPr>
                <w:b/>
              </w:rPr>
            </w:pPr>
            <w:r w:rsidRPr="00EF5876">
              <w:rPr>
                <w:b/>
              </w:rPr>
              <w:t>B</w:t>
            </w:r>
            <w:r w:rsidR="00E90F86" w:rsidRPr="00EF5876">
              <w:rPr>
                <w:b/>
              </w:rPr>
              <w:t>. Emisné limity pre plynové turbíny – nové zariadenia</w:t>
            </w:r>
          </w:p>
          <w:p w:rsidR="00E90F86" w:rsidRPr="00EF5876" w:rsidRDefault="00E90F86" w:rsidP="00603CC4">
            <w:pPr>
              <w:spacing w:after="0" w:line="240" w:lineRule="auto"/>
              <w:rPr>
                <w:b/>
              </w:rPr>
            </w:pPr>
          </w:p>
          <w:tbl>
            <w:tblPr>
              <w:tblStyle w:val="Mriekatabuky"/>
              <w:tblW w:w="0" w:type="auto"/>
              <w:tblLayout w:type="fixed"/>
              <w:tblLook w:val="04A0" w:firstRow="1" w:lastRow="0" w:firstColumn="1" w:lastColumn="0" w:noHBand="0" w:noVBand="1"/>
            </w:tblPr>
            <w:tblGrid>
              <w:gridCol w:w="988"/>
              <w:gridCol w:w="850"/>
              <w:gridCol w:w="1276"/>
              <w:gridCol w:w="1134"/>
              <w:gridCol w:w="1134"/>
            </w:tblGrid>
            <w:tr w:rsidR="00EF5876" w:rsidRPr="00EF5876" w:rsidTr="00DD75FE">
              <w:tc>
                <w:tcPr>
                  <w:tcW w:w="988" w:type="dxa"/>
                  <w:vMerge w:val="restart"/>
                  <w:vAlign w:val="center"/>
                </w:tcPr>
                <w:p w:rsidR="00E90F86" w:rsidRPr="00EF5876" w:rsidRDefault="00E90F86" w:rsidP="00EF5876">
                  <w:pPr>
                    <w:spacing w:after="0"/>
                    <w:rPr>
                      <w:b/>
                    </w:rPr>
                  </w:pPr>
                  <w:r w:rsidRPr="00EF5876">
                    <w:rPr>
                      <w:b/>
                    </w:rPr>
                    <w:t>Podmienky platnosti  EL</w:t>
                  </w:r>
                </w:p>
              </w:tc>
              <w:tc>
                <w:tcPr>
                  <w:tcW w:w="850" w:type="dxa"/>
                  <w:vMerge w:val="restart"/>
                  <w:vAlign w:val="center"/>
                </w:tcPr>
                <w:p w:rsidR="00E90F86" w:rsidRPr="00EF5876" w:rsidRDefault="00E90F86" w:rsidP="00EF5876">
                  <w:pPr>
                    <w:spacing w:after="0"/>
                  </w:pPr>
                  <w:r w:rsidRPr="00EF5876">
                    <w:rPr>
                      <w:b/>
                    </w:rPr>
                    <w:t>MTP [MW]</w:t>
                  </w:r>
                </w:p>
              </w:tc>
              <w:tc>
                <w:tcPr>
                  <w:tcW w:w="3544" w:type="dxa"/>
                  <w:gridSpan w:val="3"/>
                </w:tcPr>
                <w:p w:rsidR="00E90F86" w:rsidRPr="00EF5876" w:rsidRDefault="00E90F86" w:rsidP="00EF5876">
                  <w:pPr>
                    <w:spacing w:after="0"/>
                    <w:ind w:left="284" w:hanging="284"/>
                    <w:jc w:val="both"/>
                  </w:pPr>
                  <w:r w:rsidRPr="00EF5876">
                    <w:t>Štandardné stavové podmienky, suchý plyn, O</w:t>
                  </w:r>
                  <w:r w:rsidRPr="00EF5876">
                    <w:rPr>
                      <w:vertAlign w:val="subscript"/>
                    </w:rPr>
                    <w:t xml:space="preserve">2 </w:t>
                  </w:r>
                  <w:proofErr w:type="spellStart"/>
                  <w:r w:rsidRPr="00EF5876">
                    <w:rPr>
                      <w:vertAlign w:val="subscript"/>
                    </w:rPr>
                    <w:t>ref</w:t>
                  </w:r>
                  <w:proofErr w:type="spellEnd"/>
                  <w:r w:rsidRPr="00EF5876">
                    <w:t xml:space="preserve">: 15 % objemu </w:t>
                  </w:r>
                </w:p>
              </w:tc>
            </w:tr>
            <w:tr w:rsidR="00EF5876" w:rsidRPr="00EF5876" w:rsidTr="00DD75FE">
              <w:trPr>
                <w:trHeight w:val="327"/>
              </w:trPr>
              <w:tc>
                <w:tcPr>
                  <w:tcW w:w="988" w:type="dxa"/>
                  <w:vMerge/>
                </w:tcPr>
                <w:p w:rsidR="00E90F86" w:rsidRPr="00EF5876" w:rsidRDefault="00E90F86" w:rsidP="00EF5876">
                  <w:pPr>
                    <w:spacing w:after="0"/>
                  </w:pPr>
                </w:p>
              </w:tc>
              <w:tc>
                <w:tcPr>
                  <w:tcW w:w="850" w:type="dxa"/>
                  <w:vMerge/>
                </w:tcPr>
                <w:p w:rsidR="00E90F86" w:rsidRPr="00EF5876" w:rsidRDefault="00E90F86" w:rsidP="00EF5876">
                  <w:pPr>
                    <w:spacing w:after="0"/>
                    <w:jc w:val="center"/>
                  </w:pPr>
                </w:p>
              </w:tc>
              <w:tc>
                <w:tcPr>
                  <w:tcW w:w="3544" w:type="dxa"/>
                  <w:gridSpan w:val="3"/>
                  <w:vAlign w:val="center"/>
                </w:tcPr>
                <w:p w:rsidR="00E90F86" w:rsidRPr="00EF5876" w:rsidRDefault="00E90F86" w:rsidP="00EF5876">
                  <w:pPr>
                    <w:spacing w:after="0"/>
                    <w:ind w:left="284" w:hanging="284"/>
                    <w:rPr>
                      <w:b/>
                      <w:lang w:val="en-US"/>
                    </w:rPr>
                  </w:pPr>
                  <w:r w:rsidRPr="00EF5876">
                    <w:rPr>
                      <w:lang w:eastAsia="sk-SK"/>
                    </w:rPr>
                    <w:t>Pre plynové turbíny  platia EL pri zaťažení  &gt; 70 %.</w:t>
                  </w:r>
                </w:p>
              </w:tc>
            </w:tr>
            <w:tr w:rsidR="00EF5876" w:rsidRPr="00EF5876" w:rsidTr="00DD75FE">
              <w:trPr>
                <w:trHeight w:val="326"/>
              </w:trPr>
              <w:tc>
                <w:tcPr>
                  <w:tcW w:w="988" w:type="dxa"/>
                  <w:vMerge/>
                </w:tcPr>
                <w:p w:rsidR="00E90F86" w:rsidRPr="00EF5876" w:rsidRDefault="00E90F86" w:rsidP="00EF5876">
                  <w:pPr>
                    <w:spacing w:after="0"/>
                  </w:pPr>
                </w:p>
              </w:tc>
              <w:tc>
                <w:tcPr>
                  <w:tcW w:w="850" w:type="dxa"/>
                  <w:vMerge/>
                </w:tcPr>
                <w:p w:rsidR="00E90F86" w:rsidRPr="00EF5876" w:rsidRDefault="00E90F86" w:rsidP="00EF5876">
                  <w:pPr>
                    <w:spacing w:after="0"/>
                    <w:jc w:val="center"/>
                  </w:pPr>
                </w:p>
              </w:tc>
              <w:tc>
                <w:tcPr>
                  <w:tcW w:w="3544" w:type="dxa"/>
                  <w:gridSpan w:val="3"/>
                  <w:vAlign w:val="center"/>
                </w:tcPr>
                <w:p w:rsidR="00E90F86" w:rsidRPr="00EF5876" w:rsidRDefault="00E90F86" w:rsidP="00EF5876">
                  <w:pPr>
                    <w:spacing w:after="0"/>
                    <w:ind w:left="284" w:hanging="284"/>
                    <w:jc w:val="both"/>
                    <w:rPr>
                      <w:lang w:val="en-US"/>
                    </w:rPr>
                  </w:pPr>
                  <w:r w:rsidRPr="00EF5876">
                    <w:rPr>
                      <w:b/>
                    </w:rPr>
                    <w:t xml:space="preserve">Emisný limit </w:t>
                  </w:r>
                  <w:r w:rsidRPr="00EF5876">
                    <w:rPr>
                      <w:b/>
                    </w:rPr>
                    <w:sym w:font="Symbol" w:char="F05B"/>
                  </w:r>
                  <w:r w:rsidRPr="00EF5876">
                    <w:rPr>
                      <w:b/>
                    </w:rPr>
                    <w:t>mg/m</w:t>
                  </w:r>
                  <w:r w:rsidRPr="00EF5876">
                    <w:rPr>
                      <w:b/>
                      <w:vertAlign w:val="superscript"/>
                    </w:rPr>
                    <w:t>3</w:t>
                  </w:r>
                  <w:r w:rsidRPr="00EF5876">
                    <w:rPr>
                      <w:b/>
                    </w:rPr>
                    <w:sym w:font="Symbol" w:char="F05D"/>
                  </w:r>
                </w:p>
              </w:tc>
            </w:tr>
            <w:tr w:rsidR="00E90F86" w:rsidRPr="00EF5876" w:rsidTr="00DD75FE">
              <w:tc>
                <w:tcPr>
                  <w:tcW w:w="988" w:type="dxa"/>
                  <w:vMerge/>
                </w:tcPr>
                <w:p w:rsidR="00E90F86" w:rsidRPr="00EF5876" w:rsidRDefault="00E90F86" w:rsidP="00EF5876">
                  <w:pPr>
                    <w:spacing w:after="0"/>
                  </w:pPr>
                </w:p>
              </w:tc>
              <w:tc>
                <w:tcPr>
                  <w:tcW w:w="850" w:type="dxa"/>
                  <w:vMerge/>
                </w:tcPr>
                <w:p w:rsidR="00E90F86" w:rsidRPr="00EF5876" w:rsidRDefault="00E90F86" w:rsidP="00EF5876">
                  <w:pPr>
                    <w:spacing w:after="0"/>
                    <w:jc w:val="center"/>
                    <w:rPr>
                      <w:b/>
                    </w:rPr>
                  </w:pPr>
                </w:p>
              </w:tc>
              <w:tc>
                <w:tcPr>
                  <w:tcW w:w="1276" w:type="dxa"/>
                </w:tcPr>
                <w:p w:rsidR="00E90F86" w:rsidRPr="00EF5876" w:rsidRDefault="00E90F86" w:rsidP="00EF5876">
                  <w:pPr>
                    <w:spacing w:after="0"/>
                    <w:jc w:val="center"/>
                    <w:rPr>
                      <w:b/>
                    </w:rPr>
                  </w:pPr>
                  <w:r w:rsidRPr="00EF5876">
                    <w:rPr>
                      <w:b/>
                    </w:rPr>
                    <w:t>TZL</w:t>
                  </w:r>
                </w:p>
              </w:tc>
              <w:tc>
                <w:tcPr>
                  <w:tcW w:w="1134" w:type="dxa"/>
                </w:tcPr>
                <w:p w:rsidR="00E90F86" w:rsidRPr="00EF5876" w:rsidRDefault="00E90F86" w:rsidP="00EF5876">
                  <w:pPr>
                    <w:spacing w:after="0"/>
                    <w:jc w:val="center"/>
                    <w:rPr>
                      <w:b/>
                      <w:vertAlign w:val="subscript"/>
                    </w:rPr>
                  </w:pPr>
                  <w:r w:rsidRPr="00EF5876">
                    <w:rPr>
                      <w:b/>
                    </w:rPr>
                    <w:t>SO</w:t>
                  </w:r>
                  <w:r w:rsidRPr="00EF5876">
                    <w:rPr>
                      <w:b/>
                      <w:vertAlign w:val="subscript"/>
                    </w:rPr>
                    <w:t>2</w:t>
                  </w:r>
                </w:p>
              </w:tc>
              <w:tc>
                <w:tcPr>
                  <w:tcW w:w="1134" w:type="dxa"/>
                </w:tcPr>
                <w:p w:rsidR="00E90F86" w:rsidRPr="00EF5876" w:rsidRDefault="00E90F86" w:rsidP="00EF5876">
                  <w:pPr>
                    <w:spacing w:after="0"/>
                    <w:jc w:val="center"/>
                    <w:rPr>
                      <w:b/>
                      <w:vertAlign w:val="subscript"/>
                    </w:rPr>
                  </w:pPr>
                  <w:r w:rsidRPr="00EF5876">
                    <w:rPr>
                      <w:b/>
                    </w:rPr>
                    <w:t>NO</w:t>
                  </w:r>
                  <w:r w:rsidRPr="00EF5876">
                    <w:rPr>
                      <w:b/>
                      <w:vertAlign w:val="subscript"/>
                    </w:rPr>
                    <w:t>X</w:t>
                  </w:r>
                </w:p>
              </w:tc>
            </w:tr>
            <w:tr w:rsidR="00E90F86" w:rsidRPr="00EF5876" w:rsidTr="00DD75FE">
              <w:tc>
                <w:tcPr>
                  <w:tcW w:w="988" w:type="dxa"/>
                </w:tcPr>
                <w:p w:rsidR="00E90F86" w:rsidRPr="00EF5876" w:rsidRDefault="00E90F86" w:rsidP="00EF5876">
                  <w:pPr>
                    <w:spacing w:after="0"/>
                  </w:pPr>
                  <w:r w:rsidRPr="00EF5876">
                    <w:t xml:space="preserve">Plynový olej </w:t>
                  </w:r>
                </w:p>
              </w:tc>
              <w:tc>
                <w:tcPr>
                  <w:tcW w:w="850" w:type="dxa"/>
                </w:tcPr>
                <w:p w:rsidR="00E90F86" w:rsidRPr="00EF5876" w:rsidRDefault="00E90F86" w:rsidP="00EF5876">
                  <w:pPr>
                    <w:spacing w:after="0"/>
                    <w:jc w:val="center"/>
                  </w:pPr>
                  <w:r w:rsidRPr="00EF5876">
                    <w:t>≥ 1</w:t>
                  </w:r>
                </w:p>
              </w:tc>
              <w:tc>
                <w:tcPr>
                  <w:tcW w:w="1276" w:type="dxa"/>
                </w:tcPr>
                <w:p w:rsidR="00E90F86" w:rsidRPr="00EF5876" w:rsidRDefault="00E90F86" w:rsidP="00EF5876">
                  <w:pPr>
                    <w:spacing w:after="0"/>
                    <w:jc w:val="center"/>
                  </w:pPr>
                  <w:r w:rsidRPr="00EF5876">
                    <w:t>-</w:t>
                  </w:r>
                </w:p>
              </w:tc>
              <w:tc>
                <w:tcPr>
                  <w:tcW w:w="1134" w:type="dxa"/>
                </w:tcPr>
                <w:p w:rsidR="00E90F86" w:rsidRPr="00EF5876" w:rsidRDefault="00E90F86" w:rsidP="00EF5876">
                  <w:pPr>
                    <w:spacing w:after="0"/>
                    <w:jc w:val="center"/>
                  </w:pPr>
                  <w:r w:rsidRPr="00EF5876">
                    <w:t>-</w:t>
                  </w:r>
                </w:p>
              </w:tc>
              <w:tc>
                <w:tcPr>
                  <w:tcW w:w="1134" w:type="dxa"/>
                </w:tcPr>
                <w:p w:rsidR="00E90F86" w:rsidRPr="00EF5876" w:rsidRDefault="00E90F86" w:rsidP="00EF5876">
                  <w:pPr>
                    <w:spacing w:after="0"/>
                    <w:jc w:val="center"/>
                  </w:pPr>
                  <w:r w:rsidRPr="00EF5876">
                    <w:t>75</w:t>
                  </w:r>
                </w:p>
              </w:tc>
            </w:tr>
            <w:tr w:rsidR="00EF5876" w:rsidRPr="00EF5876" w:rsidTr="00DD75FE">
              <w:tc>
                <w:tcPr>
                  <w:tcW w:w="988" w:type="dxa"/>
                  <w:vMerge w:val="restart"/>
                </w:tcPr>
                <w:p w:rsidR="00E90F86" w:rsidRPr="00EF5876" w:rsidRDefault="00E90F86" w:rsidP="00EF5876">
                  <w:pPr>
                    <w:tabs>
                      <w:tab w:val="left" w:pos="284"/>
                    </w:tabs>
                    <w:spacing w:after="0"/>
                  </w:pPr>
                  <w:r w:rsidRPr="00EF5876">
                    <w:t>Iné kvapalné palivá</w:t>
                  </w:r>
                </w:p>
              </w:tc>
              <w:tc>
                <w:tcPr>
                  <w:tcW w:w="850" w:type="dxa"/>
                </w:tcPr>
                <w:p w:rsidR="00E90F86" w:rsidRPr="00EF5876" w:rsidRDefault="00E90F86" w:rsidP="00EF5876">
                  <w:pPr>
                    <w:spacing w:after="0"/>
                    <w:jc w:val="center"/>
                  </w:pPr>
                  <w:r w:rsidRPr="00EF5876">
                    <w:t>≥1-5</w:t>
                  </w:r>
                </w:p>
              </w:tc>
              <w:tc>
                <w:tcPr>
                  <w:tcW w:w="1276" w:type="dxa"/>
                </w:tcPr>
                <w:p w:rsidR="00E90F86" w:rsidRPr="00EF5876" w:rsidRDefault="00E90F86" w:rsidP="00EF5876">
                  <w:pPr>
                    <w:spacing w:after="0"/>
                    <w:jc w:val="center"/>
                  </w:pPr>
                  <w:r w:rsidRPr="00EF5876">
                    <w:t>20</w:t>
                  </w:r>
                </w:p>
              </w:tc>
              <w:tc>
                <w:tcPr>
                  <w:tcW w:w="1134" w:type="dxa"/>
                </w:tcPr>
                <w:p w:rsidR="00E90F86" w:rsidRPr="00EF5876" w:rsidRDefault="00E90F86" w:rsidP="00EF5876">
                  <w:pPr>
                    <w:spacing w:after="0"/>
                    <w:jc w:val="center"/>
                  </w:pPr>
                  <w:r w:rsidRPr="00EF5876">
                    <w:t>120</w:t>
                  </w:r>
                </w:p>
              </w:tc>
              <w:tc>
                <w:tcPr>
                  <w:tcW w:w="1134" w:type="dxa"/>
                </w:tcPr>
                <w:p w:rsidR="00E90F86" w:rsidRPr="00EF5876" w:rsidRDefault="00E90F86" w:rsidP="00EF5876">
                  <w:pPr>
                    <w:spacing w:after="0"/>
                    <w:jc w:val="center"/>
                  </w:pPr>
                  <w:r w:rsidRPr="00EF5876">
                    <w:t>75</w:t>
                  </w:r>
                </w:p>
              </w:tc>
            </w:tr>
            <w:tr w:rsidR="00E90F86" w:rsidRPr="00EF5876" w:rsidTr="00DD75FE">
              <w:tc>
                <w:tcPr>
                  <w:tcW w:w="988" w:type="dxa"/>
                  <w:vMerge/>
                </w:tcPr>
                <w:p w:rsidR="00E90F86" w:rsidRPr="00EF5876" w:rsidRDefault="00E90F86" w:rsidP="00EF5876">
                  <w:pPr>
                    <w:spacing w:after="0"/>
                  </w:pPr>
                </w:p>
              </w:tc>
              <w:tc>
                <w:tcPr>
                  <w:tcW w:w="850" w:type="dxa"/>
                </w:tcPr>
                <w:p w:rsidR="00E90F86" w:rsidRPr="00EF5876" w:rsidRDefault="00E90F86" w:rsidP="00EF5876">
                  <w:pPr>
                    <w:spacing w:after="0"/>
                    <w:jc w:val="center"/>
                  </w:pPr>
                  <w:r w:rsidRPr="00EF5876">
                    <w:t>&gt; 5</w:t>
                  </w:r>
                </w:p>
              </w:tc>
              <w:tc>
                <w:tcPr>
                  <w:tcW w:w="1276" w:type="dxa"/>
                </w:tcPr>
                <w:p w:rsidR="00E90F86" w:rsidRPr="00EF5876" w:rsidRDefault="00E90F86" w:rsidP="00EF5876">
                  <w:pPr>
                    <w:spacing w:after="0"/>
                    <w:jc w:val="center"/>
                  </w:pPr>
                  <w:r w:rsidRPr="00EF5876">
                    <w:t>10</w:t>
                  </w:r>
                </w:p>
              </w:tc>
              <w:tc>
                <w:tcPr>
                  <w:tcW w:w="1134" w:type="dxa"/>
                </w:tcPr>
                <w:p w:rsidR="00E90F86" w:rsidRPr="00EF5876" w:rsidRDefault="00E90F86" w:rsidP="00EF5876">
                  <w:pPr>
                    <w:spacing w:after="0"/>
                    <w:jc w:val="center"/>
                  </w:pPr>
                  <w:r w:rsidRPr="00EF5876">
                    <w:t>120</w:t>
                  </w:r>
                </w:p>
              </w:tc>
              <w:tc>
                <w:tcPr>
                  <w:tcW w:w="1134" w:type="dxa"/>
                </w:tcPr>
                <w:p w:rsidR="00E90F86" w:rsidRPr="00EF5876" w:rsidRDefault="00E90F86" w:rsidP="00EF5876">
                  <w:pPr>
                    <w:spacing w:after="0"/>
                    <w:jc w:val="center"/>
                  </w:pPr>
                  <w:r w:rsidRPr="00EF5876">
                    <w:t>75</w:t>
                  </w:r>
                </w:p>
              </w:tc>
            </w:tr>
            <w:tr w:rsidR="00E90F86" w:rsidRPr="00EF5876" w:rsidTr="00DD75FE">
              <w:tc>
                <w:tcPr>
                  <w:tcW w:w="988" w:type="dxa"/>
                </w:tcPr>
                <w:p w:rsidR="00E90F86" w:rsidRPr="00EF5876" w:rsidRDefault="00E90F86" w:rsidP="00EF5876">
                  <w:pPr>
                    <w:spacing w:after="0"/>
                  </w:pPr>
                  <w:r w:rsidRPr="00EF5876">
                    <w:t>ZPN</w:t>
                  </w:r>
                </w:p>
              </w:tc>
              <w:tc>
                <w:tcPr>
                  <w:tcW w:w="850" w:type="dxa"/>
                </w:tcPr>
                <w:p w:rsidR="00E90F86" w:rsidRPr="00EF5876" w:rsidRDefault="00E90F86" w:rsidP="00EF5876">
                  <w:pPr>
                    <w:spacing w:after="0"/>
                    <w:jc w:val="center"/>
                  </w:pPr>
                  <w:r w:rsidRPr="00EF5876">
                    <w:t>≥ 1</w:t>
                  </w:r>
                </w:p>
              </w:tc>
              <w:tc>
                <w:tcPr>
                  <w:tcW w:w="1276" w:type="dxa"/>
                </w:tcPr>
                <w:p w:rsidR="00E90F86" w:rsidRPr="00EF5876" w:rsidRDefault="00E90F86" w:rsidP="00EF5876">
                  <w:pPr>
                    <w:spacing w:after="0"/>
                    <w:jc w:val="center"/>
                  </w:pPr>
                  <w:r w:rsidRPr="00EF5876">
                    <w:t>-</w:t>
                  </w:r>
                </w:p>
              </w:tc>
              <w:tc>
                <w:tcPr>
                  <w:tcW w:w="1134" w:type="dxa"/>
                </w:tcPr>
                <w:p w:rsidR="00E90F86" w:rsidRPr="00EF5876" w:rsidRDefault="00E90F86" w:rsidP="00EF5876">
                  <w:pPr>
                    <w:spacing w:after="0"/>
                    <w:jc w:val="center"/>
                  </w:pPr>
                  <w:r w:rsidRPr="00EF5876">
                    <w:t>-</w:t>
                  </w:r>
                </w:p>
              </w:tc>
              <w:tc>
                <w:tcPr>
                  <w:tcW w:w="1134" w:type="dxa"/>
                </w:tcPr>
                <w:p w:rsidR="00E90F86" w:rsidRPr="00EF5876" w:rsidRDefault="00E90F86" w:rsidP="00EF5876">
                  <w:pPr>
                    <w:spacing w:after="0"/>
                    <w:jc w:val="center"/>
                  </w:pPr>
                  <w:r w:rsidRPr="00EF5876">
                    <w:t>50</w:t>
                  </w:r>
                </w:p>
              </w:tc>
            </w:tr>
            <w:tr w:rsidR="00EF5876" w:rsidRPr="00EF5876" w:rsidTr="00DD75FE">
              <w:tc>
                <w:tcPr>
                  <w:tcW w:w="988" w:type="dxa"/>
                </w:tcPr>
                <w:p w:rsidR="00E90F86" w:rsidRPr="00EF5876" w:rsidRDefault="00E90F86" w:rsidP="00EF5876">
                  <w:pPr>
                    <w:spacing w:after="0"/>
                  </w:pPr>
                  <w:r w:rsidRPr="00EF5876">
                    <w:t xml:space="preserve">Iné plynné palivá </w:t>
                  </w:r>
                </w:p>
              </w:tc>
              <w:tc>
                <w:tcPr>
                  <w:tcW w:w="850" w:type="dxa"/>
                </w:tcPr>
                <w:p w:rsidR="00E90F86" w:rsidRPr="00EF5876" w:rsidRDefault="00E90F86" w:rsidP="00EF5876">
                  <w:pPr>
                    <w:spacing w:after="0"/>
                    <w:jc w:val="center"/>
                  </w:pPr>
                  <w:r w:rsidRPr="00EF5876">
                    <w:t>≥ 1</w:t>
                  </w:r>
                </w:p>
              </w:tc>
              <w:tc>
                <w:tcPr>
                  <w:tcW w:w="1276" w:type="dxa"/>
                </w:tcPr>
                <w:p w:rsidR="00E90F86" w:rsidRPr="00EF5876" w:rsidRDefault="00E90F86" w:rsidP="00EF5876">
                  <w:pPr>
                    <w:spacing w:after="0"/>
                    <w:jc w:val="center"/>
                  </w:pPr>
                  <w:r w:rsidRPr="00EF5876">
                    <w:t>-</w:t>
                  </w:r>
                </w:p>
              </w:tc>
              <w:tc>
                <w:tcPr>
                  <w:tcW w:w="1134" w:type="dxa"/>
                </w:tcPr>
                <w:p w:rsidR="00E90F86" w:rsidRPr="00EF5876" w:rsidRDefault="00E90F86" w:rsidP="00EF5876">
                  <w:pPr>
                    <w:spacing w:after="0"/>
                    <w:jc w:val="center"/>
                  </w:pPr>
                  <w:r w:rsidRPr="00EF5876">
                    <w:t>15, 40</w:t>
                  </w:r>
                  <w:r w:rsidRPr="00EF5876">
                    <w:rPr>
                      <w:vertAlign w:val="superscript"/>
                    </w:rPr>
                    <w:t>1</w:t>
                  </w:r>
                  <w:r w:rsidRPr="00EF5876">
                    <w:t xml:space="preserve">) </w:t>
                  </w:r>
                </w:p>
              </w:tc>
              <w:tc>
                <w:tcPr>
                  <w:tcW w:w="1134" w:type="dxa"/>
                </w:tcPr>
                <w:p w:rsidR="00E90F86" w:rsidRPr="00EF5876" w:rsidRDefault="00E90F86" w:rsidP="00EF5876">
                  <w:pPr>
                    <w:spacing w:after="0"/>
                    <w:jc w:val="center"/>
                  </w:pPr>
                  <w:r w:rsidRPr="00EF5876">
                    <w:t>75</w:t>
                  </w:r>
                </w:p>
              </w:tc>
            </w:tr>
          </w:tbl>
          <w:p w:rsidR="00215280" w:rsidRPr="00EF5876" w:rsidRDefault="00215280" w:rsidP="00215280">
            <w:pPr>
              <w:pStyle w:val="Normln"/>
              <w:keepNext/>
              <w:numPr>
                <w:ilvl w:val="0"/>
                <w:numId w:val="43"/>
              </w:numPr>
              <w:rPr>
                <w:rFonts w:ascii="Calibri" w:eastAsia="Calibri" w:hAnsi="Calibri" w:cs="Calibri"/>
                <w:szCs w:val="22"/>
                <w:lang w:val="sk-SK" w:eastAsia="en-US"/>
              </w:rPr>
            </w:pPr>
            <w:r w:rsidRPr="00EF5876">
              <w:rPr>
                <w:rFonts w:ascii="Calibri" w:eastAsia="Calibri" w:hAnsi="Calibri" w:cs="Calibri"/>
                <w:szCs w:val="22"/>
                <w:lang w:val="sk-SK" w:eastAsia="en-US"/>
              </w:rPr>
              <w:t>Platí pre dieselové motory:</w:t>
            </w:r>
          </w:p>
          <w:p w:rsidR="00215280" w:rsidRPr="00EF5876" w:rsidRDefault="00215280" w:rsidP="00215280">
            <w:pPr>
              <w:pStyle w:val="Normln"/>
              <w:keepNext/>
              <w:numPr>
                <w:ilvl w:val="0"/>
                <w:numId w:val="44"/>
              </w:numPr>
              <w:rPr>
                <w:rFonts w:ascii="Calibri" w:eastAsia="Calibri" w:hAnsi="Calibri" w:cs="Calibri"/>
                <w:szCs w:val="22"/>
                <w:lang w:val="sk-SK" w:eastAsia="en-US"/>
              </w:rPr>
            </w:pPr>
            <w:r w:rsidRPr="00EF5876">
              <w:rPr>
                <w:rFonts w:ascii="Calibri" w:eastAsia="Calibri" w:hAnsi="Calibri" w:cs="Calibri"/>
                <w:szCs w:val="22"/>
                <w:lang w:val="sk-SK" w:eastAsia="en-US"/>
              </w:rPr>
              <w:t xml:space="preserve">konštruované do 18. 5. 2006, </w:t>
            </w:r>
          </w:p>
          <w:p w:rsidR="00215280" w:rsidRPr="00EF5876" w:rsidRDefault="00215280" w:rsidP="00215280">
            <w:pPr>
              <w:pStyle w:val="Normln"/>
              <w:keepNext/>
              <w:numPr>
                <w:ilvl w:val="0"/>
                <w:numId w:val="44"/>
              </w:numPr>
              <w:rPr>
                <w:rFonts w:ascii="Calibri" w:eastAsia="Calibri" w:hAnsi="Calibri" w:cs="Calibri"/>
                <w:szCs w:val="22"/>
                <w:lang w:val="sk-SK" w:eastAsia="en-US"/>
              </w:rPr>
            </w:pPr>
            <w:r w:rsidRPr="00EF5876">
              <w:rPr>
                <w:rFonts w:ascii="Calibri" w:eastAsia="Calibri" w:hAnsi="Calibri" w:cs="Calibri"/>
                <w:szCs w:val="22"/>
                <w:lang w:val="sk-SK" w:eastAsia="en-US"/>
              </w:rPr>
              <w:t>pre dvojpalivové motory v kvapalnom režime.</w:t>
            </w:r>
          </w:p>
          <w:p w:rsidR="00215280" w:rsidRPr="00EF5876" w:rsidRDefault="00215280" w:rsidP="00215280">
            <w:pPr>
              <w:pStyle w:val="Normln"/>
              <w:keepNext/>
              <w:numPr>
                <w:ilvl w:val="0"/>
                <w:numId w:val="43"/>
              </w:numPr>
              <w:rPr>
                <w:rFonts w:ascii="Calibri" w:eastAsia="Calibri" w:hAnsi="Calibri" w:cs="Calibri"/>
                <w:szCs w:val="22"/>
                <w:lang w:val="sk-SK" w:eastAsia="en-US"/>
              </w:rPr>
            </w:pPr>
            <w:r w:rsidRPr="00EF5876">
              <w:rPr>
                <w:rFonts w:ascii="Calibri" w:eastAsia="Calibri" w:hAnsi="Calibri" w:cs="Calibri"/>
                <w:szCs w:val="22"/>
                <w:lang w:val="sk-SK" w:eastAsia="en-US"/>
              </w:rPr>
              <w:t>Platí pre motory s MTP &gt; 5 MW a ≤ 20 MW.</w:t>
            </w:r>
          </w:p>
          <w:p w:rsidR="00215280" w:rsidRPr="00EF5876" w:rsidRDefault="00215280" w:rsidP="00215280">
            <w:pPr>
              <w:pStyle w:val="Odsekzoznamu"/>
              <w:numPr>
                <w:ilvl w:val="0"/>
                <w:numId w:val="43"/>
              </w:numPr>
              <w:spacing w:after="0"/>
              <w:contextualSpacing/>
              <w:rPr>
                <w:rFonts w:ascii="Calibri" w:eastAsia="Calibri" w:hAnsi="Calibri" w:cs="Calibri"/>
                <w:sz w:val="22"/>
                <w:szCs w:val="22"/>
              </w:rPr>
            </w:pPr>
            <w:r w:rsidRPr="00EF5876">
              <w:rPr>
                <w:rFonts w:ascii="Calibri" w:eastAsia="Calibri" w:hAnsi="Calibri" w:cs="Calibri"/>
                <w:sz w:val="22"/>
                <w:szCs w:val="22"/>
              </w:rPr>
              <w:t xml:space="preserve">Platí pre dvojpalivové motory v plynnom režime. </w:t>
            </w:r>
          </w:p>
          <w:p w:rsidR="00215280" w:rsidRPr="00EF5876" w:rsidRDefault="00215280" w:rsidP="00215280">
            <w:pPr>
              <w:pStyle w:val="Odsekzoznamu"/>
              <w:numPr>
                <w:ilvl w:val="0"/>
                <w:numId w:val="43"/>
              </w:numPr>
              <w:spacing w:after="0"/>
              <w:contextualSpacing/>
              <w:rPr>
                <w:rFonts w:ascii="Calibri" w:eastAsia="Calibri" w:hAnsi="Calibri" w:cs="Calibri"/>
                <w:sz w:val="22"/>
                <w:szCs w:val="22"/>
              </w:rPr>
            </w:pPr>
            <w:r w:rsidRPr="00EF5876">
              <w:rPr>
                <w:rFonts w:ascii="Calibri" w:eastAsia="Calibri" w:hAnsi="Calibri" w:cs="Calibri"/>
                <w:sz w:val="22"/>
                <w:szCs w:val="22"/>
              </w:rPr>
              <w:t>Platí pre spaľovanie bioplynu.</w:t>
            </w:r>
          </w:p>
          <w:p w:rsidR="00215280" w:rsidRPr="00EF5876" w:rsidRDefault="00215280" w:rsidP="00215280">
            <w:pPr>
              <w:pStyle w:val="Odsekzoznamu"/>
              <w:numPr>
                <w:ilvl w:val="0"/>
                <w:numId w:val="43"/>
              </w:numPr>
              <w:spacing w:after="0"/>
              <w:contextualSpacing/>
              <w:rPr>
                <w:rFonts w:ascii="Calibri" w:eastAsia="Calibri" w:hAnsi="Calibri" w:cs="Calibri"/>
                <w:sz w:val="22"/>
                <w:szCs w:val="22"/>
              </w:rPr>
            </w:pPr>
            <w:r w:rsidRPr="00EF5876">
              <w:rPr>
                <w:rFonts w:ascii="Calibri" w:eastAsia="Calibri" w:hAnsi="Calibri" w:cs="Calibri"/>
                <w:sz w:val="22"/>
                <w:szCs w:val="22"/>
              </w:rPr>
              <w:t>Platí pre spaľovanie nízkovýhrevných vysokopecných  plynov v železiarskom oceliarskom priemysle.</w:t>
            </w:r>
          </w:p>
          <w:p w:rsidR="00215280" w:rsidRPr="00EF5876" w:rsidRDefault="00215280" w:rsidP="00215280">
            <w:pPr>
              <w:pStyle w:val="Odsekzoznamu"/>
              <w:numPr>
                <w:ilvl w:val="0"/>
                <w:numId w:val="43"/>
              </w:numPr>
              <w:spacing w:after="0"/>
              <w:contextualSpacing/>
              <w:rPr>
                <w:rFonts w:ascii="Calibri" w:eastAsia="Calibri" w:hAnsi="Calibri" w:cs="Calibri"/>
                <w:sz w:val="22"/>
                <w:szCs w:val="22"/>
              </w:rPr>
            </w:pPr>
            <w:r w:rsidRPr="00EF5876">
              <w:rPr>
                <w:rFonts w:ascii="Calibri" w:eastAsia="Calibri" w:hAnsi="Calibri" w:cs="Calibri"/>
                <w:sz w:val="22"/>
                <w:szCs w:val="22"/>
              </w:rPr>
              <w:t xml:space="preserve">Platí pre spaľovanie </w:t>
            </w:r>
            <w:proofErr w:type="spellStart"/>
            <w:r w:rsidRPr="00EF5876">
              <w:rPr>
                <w:rFonts w:ascii="Calibri" w:eastAsia="Calibri" w:hAnsi="Calibri" w:cs="Calibri"/>
                <w:sz w:val="22"/>
                <w:szCs w:val="22"/>
              </w:rPr>
              <w:t>nízkovýhrených</w:t>
            </w:r>
            <w:proofErr w:type="spellEnd"/>
            <w:r w:rsidRPr="00EF5876">
              <w:rPr>
                <w:rFonts w:ascii="Calibri" w:eastAsia="Calibri" w:hAnsi="Calibri" w:cs="Calibri"/>
                <w:sz w:val="22"/>
                <w:szCs w:val="22"/>
              </w:rPr>
              <w:t xml:space="preserve">  koksárenských plynov. </w:t>
            </w:r>
          </w:p>
          <w:p w:rsidR="00215280" w:rsidRPr="00EF5876" w:rsidRDefault="00215280" w:rsidP="00603CC4">
            <w:pPr>
              <w:spacing w:after="0" w:line="240" w:lineRule="auto"/>
              <w:rPr>
                <w:b/>
              </w:rPr>
            </w:pPr>
          </w:p>
          <w:p w:rsidR="00E90F86" w:rsidRPr="00EF5876" w:rsidRDefault="007D65D8" w:rsidP="00E90F86">
            <w:pPr>
              <w:pStyle w:val="Normln"/>
              <w:keepNext/>
              <w:rPr>
                <w:b/>
                <w:szCs w:val="22"/>
                <w:lang w:val="sk-SK"/>
              </w:rPr>
            </w:pPr>
            <w:r w:rsidRPr="00EF5876">
              <w:rPr>
                <w:b/>
                <w:szCs w:val="22"/>
                <w:lang w:val="sk-SK"/>
              </w:rPr>
              <w:t xml:space="preserve">B. </w:t>
            </w:r>
            <w:r w:rsidR="00E90F86" w:rsidRPr="00EF5876">
              <w:rPr>
                <w:b/>
                <w:szCs w:val="22"/>
                <w:lang w:val="sk-SK"/>
              </w:rPr>
              <w:t xml:space="preserve">Emisné limity pre piestové spaľovacie motory – nové zariadenia </w:t>
            </w:r>
          </w:p>
          <w:tbl>
            <w:tblPr>
              <w:tblStyle w:val="Mriekatabuky"/>
              <w:tblW w:w="0" w:type="auto"/>
              <w:tblLayout w:type="fixed"/>
              <w:tblLook w:val="04A0" w:firstRow="1" w:lastRow="0" w:firstColumn="1" w:lastColumn="0" w:noHBand="0" w:noVBand="1"/>
            </w:tblPr>
            <w:tblGrid>
              <w:gridCol w:w="1559"/>
              <w:gridCol w:w="993"/>
              <w:gridCol w:w="850"/>
              <w:gridCol w:w="1129"/>
              <w:gridCol w:w="1564"/>
            </w:tblGrid>
            <w:tr w:rsidR="00EF5876" w:rsidRPr="00EF5876" w:rsidTr="00EF5876">
              <w:trPr>
                <w:trHeight w:val="377"/>
              </w:trPr>
              <w:tc>
                <w:tcPr>
                  <w:tcW w:w="1559" w:type="dxa"/>
                  <w:vMerge w:val="restart"/>
                  <w:vAlign w:val="center"/>
                </w:tcPr>
                <w:p w:rsidR="00215280" w:rsidRPr="00EF5876" w:rsidRDefault="00215280" w:rsidP="00EF5876">
                  <w:pPr>
                    <w:spacing w:after="0"/>
                    <w:rPr>
                      <w:b/>
                    </w:rPr>
                  </w:pPr>
                  <w:r w:rsidRPr="00EF5876">
                    <w:rPr>
                      <w:b/>
                    </w:rPr>
                    <w:t>Podmienky platnosti  EL</w:t>
                  </w:r>
                </w:p>
              </w:tc>
              <w:tc>
                <w:tcPr>
                  <w:tcW w:w="993" w:type="dxa"/>
                  <w:vMerge w:val="restart"/>
                  <w:vAlign w:val="center"/>
                </w:tcPr>
                <w:p w:rsidR="00215280" w:rsidRPr="00EF5876" w:rsidRDefault="00215280" w:rsidP="00EF5876">
                  <w:pPr>
                    <w:spacing w:after="0"/>
                  </w:pPr>
                  <w:r w:rsidRPr="00EF5876">
                    <w:rPr>
                      <w:b/>
                    </w:rPr>
                    <w:t>MTP [MW]</w:t>
                  </w:r>
                </w:p>
              </w:tc>
              <w:tc>
                <w:tcPr>
                  <w:tcW w:w="3543" w:type="dxa"/>
                  <w:gridSpan w:val="3"/>
                </w:tcPr>
                <w:p w:rsidR="00215280" w:rsidRPr="00EF5876" w:rsidRDefault="00215280" w:rsidP="00EF5876">
                  <w:pPr>
                    <w:spacing w:after="0"/>
                    <w:ind w:left="284" w:hanging="284"/>
                    <w:jc w:val="both"/>
                  </w:pPr>
                  <w:r w:rsidRPr="00EF5876">
                    <w:t>Štandardné stavové podmienky, suchý plyn, O</w:t>
                  </w:r>
                  <w:r w:rsidRPr="00EF5876">
                    <w:rPr>
                      <w:vertAlign w:val="subscript"/>
                    </w:rPr>
                    <w:t xml:space="preserve">2 </w:t>
                  </w:r>
                  <w:proofErr w:type="spellStart"/>
                  <w:r w:rsidRPr="00EF5876">
                    <w:rPr>
                      <w:vertAlign w:val="subscript"/>
                    </w:rPr>
                    <w:t>ref</w:t>
                  </w:r>
                  <w:proofErr w:type="spellEnd"/>
                  <w:r w:rsidRPr="00EF5876">
                    <w:t xml:space="preserve">: 15 % objemu </w:t>
                  </w:r>
                </w:p>
              </w:tc>
            </w:tr>
            <w:tr w:rsidR="00EF5876" w:rsidRPr="00EF5876" w:rsidTr="00EF5876">
              <w:trPr>
                <w:trHeight w:val="376"/>
              </w:trPr>
              <w:tc>
                <w:tcPr>
                  <w:tcW w:w="1559" w:type="dxa"/>
                  <w:vMerge/>
                  <w:vAlign w:val="center"/>
                </w:tcPr>
                <w:p w:rsidR="00215280" w:rsidRPr="00EF5876" w:rsidRDefault="00215280" w:rsidP="00EF5876">
                  <w:pPr>
                    <w:spacing w:after="0"/>
                    <w:rPr>
                      <w:b/>
                    </w:rPr>
                  </w:pPr>
                </w:p>
              </w:tc>
              <w:tc>
                <w:tcPr>
                  <w:tcW w:w="993" w:type="dxa"/>
                  <w:vMerge/>
                  <w:vAlign w:val="center"/>
                </w:tcPr>
                <w:p w:rsidR="00215280" w:rsidRPr="00EF5876" w:rsidRDefault="00215280" w:rsidP="00EF5876">
                  <w:pPr>
                    <w:spacing w:after="0"/>
                    <w:rPr>
                      <w:b/>
                    </w:rPr>
                  </w:pPr>
                </w:p>
              </w:tc>
              <w:tc>
                <w:tcPr>
                  <w:tcW w:w="3543" w:type="dxa"/>
                  <w:gridSpan w:val="3"/>
                </w:tcPr>
                <w:p w:rsidR="00215280" w:rsidRPr="00EF5876" w:rsidRDefault="00215280" w:rsidP="00EF5876">
                  <w:pPr>
                    <w:spacing w:after="0"/>
                    <w:ind w:left="284" w:hanging="284"/>
                    <w:jc w:val="both"/>
                    <w:rPr>
                      <w:lang w:val="en-US"/>
                    </w:rPr>
                  </w:pPr>
                  <w:r w:rsidRPr="00EF5876">
                    <w:rPr>
                      <w:b/>
                    </w:rPr>
                    <w:t xml:space="preserve">Emisný limit </w:t>
                  </w:r>
                  <w:r w:rsidRPr="00EF5876">
                    <w:rPr>
                      <w:b/>
                    </w:rPr>
                    <w:sym w:font="Symbol" w:char="F05B"/>
                  </w:r>
                  <w:r w:rsidRPr="00EF5876">
                    <w:rPr>
                      <w:b/>
                    </w:rPr>
                    <w:t>mg/m</w:t>
                  </w:r>
                  <w:r w:rsidRPr="00EF5876">
                    <w:rPr>
                      <w:b/>
                      <w:vertAlign w:val="superscript"/>
                    </w:rPr>
                    <w:t>3</w:t>
                  </w:r>
                  <w:r w:rsidRPr="00EF5876">
                    <w:rPr>
                      <w:b/>
                    </w:rPr>
                    <w:sym w:font="Symbol" w:char="F05D"/>
                  </w:r>
                </w:p>
              </w:tc>
            </w:tr>
            <w:tr w:rsidR="00EF5876" w:rsidRPr="00EF5876" w:rsidTr="00EF5876">
              <w:tc>
                <w:tcPr>
                  <w:tcW w:w="1559" w:type="dxa"/>
                  <w:vMerge/>
                </w:tcPr>
                <w:p w:rsidR="00215280" w:rsidRPr="00EF5876" w:rsidRDefault="00215280" w:rsidP="00EF5876">
                  <w:pPr>
                    <w:spacing w:after="0"/>
                  </w:pPr>
                </w:p>
              </w:tc>
              <w:tc>
                <w:tcPr>
                  <w:tcW w:w="993" w:type="dxa"/>
                  <w:vMerge/>
                </w:tcPr>
                <w:p w:rsidR="00215280" w:rsidRPr="00EF5876" w:rsidRDefault="00215280" w:rsidP="00EF5876">
                  <w:pPr>
                    <w:spacing w:after="0"/>
                    <w:jc w:val="center"/>
                    <w:rPr>
                      <w:b/>
                    </w:rPr>
                  </w:pPr>
                </w:p>
              </w:tc>
              <w:tc>
                <w:tcPr>
                  <w:tcW w:w="850" w:type="dxa"/>
                </w:tcPr>
                <w:p w:rsidR="00215280" w:rsidRPr="00EF5876" w:rsidRDefault="00215280" w:rsidP="00EF5876">
                  <w:pPr>
                    <w:spacing w:after="0"/>
                    <w:jc w:val="center"/>
                    <w:rPr>
                      <w:b/>
                    </w:rPr>
                  </w:pPr>
                  <w:r w:rsidRPr="00EF5876">
                    <w:rPr>
                      <w:b/>
                    </w:rPr>
                    <w:t>TZL</w:t>
                  </w:r>
                </w:p>
              </w:tc>
              <w:tc>
                <w:tcPr>
                  <w:tcW w:w="1129" w:type="dxa"/>
                </w:tcPr>
                <w:p w:rsidR="00215280" w:rsidRPr="00EF5876" w:rsidRDefault="00215280" w:rsidP="00EF5876">
                  <w:pPr>
                    <w:spacing w:after="0"/>
                    <w:jc w:val="center"/>
                    <w:rPr>
                      <w:b/>
                      <w:vertAlign w:val="subscript"/>
                    </w:rPr>
                  </w:pPr>
                  <w:r w:rsidRPr="00EF5876">
                    <w:rPr>
                      <w:b/>
                    </w:rPr>
                    <w:t>SO</w:t>
                  </w:r>
                  <w:r w:rsidRPr="00EF5876">
                    <w:rPr>
                      <w:b/>
                      <w:vertAlign w:val="subscript"/>
                    </w:rPr>
                    <w:t>2</w:t>
                  </w:r>
                </w:p>
              </w:tc>
              <w:tc>
                <w:tcPr>
                  <w:tcW w:w="1564" w:type="dxa"/>
                </w:tcPr>
                <w:p w:rsidR="00215280" w:rsidRPr="00EF5876" w:rsidRDefault="00215280" w:rsidP="00EF5876">
                  <w:pPr>
                    <w:spacing w:after="0"/>
                    <w:jc w:val="center"/>
                    <w:rPr>
                      <w:b/>
                      <w:vertAlign w:val="subscript"/>
                    </w:rPr>
                  </w:pPr>
                  <w:r w:rsidRPr="00EF5876">
                    <w:rPr>
                      <w:b/>
                    </w:rPr>
                    <w:t>NO</w:t>
                  </w:r>
                  <w:r w:rsidRPr="00EF5876">
                    <w:rPr>
                      <w:b/>
                      <w:vertAlign w:val="subscript"/>
                    </w:rPr>
                    <w:t>X</w:t>
                  </w:r>
                  <w:r w:rsidRPr="00EF5876">
                    <w:rPr>
                      <w:vertAlign w:val="superscript"/>
                    </w:rPr>
                    <w:t>1</w:t>
                  </w:r>
                  <w:r w:rsidRPr="00EF5876">
                    <w:t>)</w:t>
                  </w:r>
                </w:p>
              </w:tc>
            </w:tr>
            <w:tr w:rsidR="00EF5876" w:rsidRPr="00EF5876" w:rsidTr="00EF5876">
              <w:tc>
                <w:tcPr>
                  <w:tcW w:w="1559" w:type="dxa"/>
                  <w:vAlign w:val="center"/>
                </w:tcPr>
                <w:p w:rsidR="00215280" w:rsidRPr="00EF5876" w:rsidRDefault="00215280" w:rsidP="00EF5876">
                  <w:pPr>
                    <w:spacing w:after="0"/>
                  </w:pPr>
                  <w:r w:rsidRPr="00EF5876">
                    <w:t>Plynový olej</w:t>
                  </w:r>
                </w:p>
              </w:tc>
              <w:tc>
                <w:tcPr>
                  <w:tcW w:w="993" w:type="dxa"/>
                  <w:vAlign w:val="center"/>
                </w:tcPr>
                <w:p w:rsidR="00215280" w:rsidRPr="00EF5876" w:rsidRDefault="00215280" w:rsidP="00EF5876">
                  <w:pPr>
                    <w:spacing w:after="0"/>
                    <w:jc w:val="center"/>
                  </w:pPr>
                  <w:r w:rsidRPr="00EF5876">
                    <w:t>≥ 1</w:t>
                  </w:r>
                </w:p>
              </w:tc>
              <w:tc>
                <w:tcPr>
                  <w:tcW w:w="850" w:type="dxa"/>
                  <w:vAlign w:val="center"/>
                </w:tcPr>
                <w:p w:rsidR="00215280" w:rsidRPr="00EF5876" w:rsidRDefault="00215280" w:rsidP="00EF5876">
                  <w:pPr>
                    <w:spacing w:after="0"/>
                    <w:jc w:val="center"/>
                  </w:pPr>
                  <w:r w:rsidRPr="00EF5876">
                    <w:t>-</w:t>
                  </w:r>
                </w:p>
              </w:tc>
              <w:tc>
                <w:tcPr>
                  <w:tcW w:w="1129" w:type="dxa"/>
                  <w:vAlign w:val="center"/>
                </w:tcPr>
                <w:p w:rsidR="00215280" w:rsidRPr="00EF5876" w:rsidRDefault="00215280" w:rsidP="00EF5876">
                  <w:pPr>
                    <w:spacing w:after="0"/>
                    <w:jc w:val="center"/>
                  </w:pPr>
                  <w:r w:rsidRPr="00EF5876">
                    <w:t>-</w:t>
                  </w:r>
                </w:p>
              </w:tc>
              <w:tc>
                <w:tcPr>
                  <w:tcW w:w="1564" w:type="dxa"/>
                  <w:vAlign w:val="center"/>
                </w:tcPr>
                <w:p w:rsidR="00215280" w:rsidRPr="00EF5876" w:rsidRDefault="00215280" w:rsidP="00EF5876">
                  <w:pPr>
                    <w:spacing w:after="0"/>
                    <w:jc w:val="center"/>
                  </w:pPr>
                  <w:r w:rsidRPr="00EF5876">
                    <w:t>190, 225</w:t>
                  </w:r>
                  <w:r w:rsidRPr="00EF5876">
                    <w:rPr>
                      <w:vertAlign w:val="superscript"/>
                    </w:rPr>
                    <w:t>2</w:t>
                  </w:r>
                  <w:r w:rsidRPr="00EF5876">
                    <w:t>)</w:t>
                  </w:r>
                </w:p>
              </w:tc>
            </w:tr>
            <w:tr w:rsidR="00EF5876" w:rsidRPr="00EF5876" w:rsidTr="00EF5876">
              <w:tc>
                <w:tcPr>
                  <w:tcW w:w="1559" w:type="dxa"/>
                  <w:vMerge w:val="restart"/>
                  <w:vAlign w:val="center"/>
                </w:tcPr>
                <w:p w:rsidR="00215280" w:rsidRPr="00EF5876" w:rsidRDefault="00215280" w:rsidP="00EF5876">
                  <w:pPr>
                    <w:tabs>
                      <w:tab w:val="left" w:pos="284"/>
                    </w:tabs>
                    <w:spacing w:after="0"/>
                  </w:pPr>
                  <w:r w:rsidRPr="00EF5876">
                    <w:t>Iné kvapalné palivá</w:t>
                  </w:r>
                </w:p>
              </w:tc>
              <w:tc>
                <w:tcPr>
                  <w:tcW w:w="993" w:type="dxa"/>
                  <w:vAlign w:val="center"/>
                </w:tcPr>
                <w:p w:rsidR="00215280" w:rsidRPr="00EF5876" w:rsidRDefault="00215280" w:rsidP="00EF5876">
                  <w:pPr>
                    <w:spacing w:after="0"/>
                    <w:jc w:val="center"/>
                  </w:pPr>
                  <w:r w:rsidRPr="00EF5876">
                    <w:t>≥1-20</w:t>
                  </w:r>
                </w:p>
              </w:tc>
              <w:tc>
                <w:tcPr>
                  <w:tcW w:w="850" w:type="dxa"/>
                  <w:vAlign w:val="center"/>
                </w:tcPr>
                <w:p w:rsidR="00215280" w:rsidRPr="00EF5876" w:rsidRDefault="00215280" w:rsidP="00EF5876">
                  <w:pPr>
                    <w:spacing w:after="0"/>
                    <w:jc w:val="center"/>
                  </w:pPr>
                  <w:r w:rsidRPr="00EF5876">
                    <w:t>20</w:t>
                  </w:r>
                </w:p>
              </w:tc>
              <w:tc>
                <w:tcPr>
                  <w:tcW w:w="1129" w:type="dxa"/>
                  <w:vAlign w:val="center"/>
                </w:tcPr>
                <w:p w:rsidR="00215280" w:rsidRPr="00EF5876" w:rsidRDefault="00215280" w:rsidP="00EF5876">
                  <w:pPr>
                    <w:spacing w:after="0"/>
                    <w:jc w:val="center"/>
                  </w:pPr>
                  <w:r w:rsidRPr="00EF5876">
                    <w:t>120</w:t>
                  </w:r>
                </w:p>
              </w:tc>
              <w:tc>
                <w:tcPr>
                  <w:tcW w:w="1564" w:type="dxa"/>
                  <w:vAlign w:val="center"/>
                </w:tcPr>
                <w:p w:rsidR="00215280" w:rsidRPr="00EF5876" w:rsidRDefault="00215280" w:rsidP="00EF5876">
                  <w:pPr>
                    <w:spacing w:after="0"/>
                    <w:jc w:val="center"/>
                  </w:pPr>
                  <w:r w:rsidRPr="00EF5876">
                    <w:t>190, 225</w:t>
                  </w:r>
                  <w:r w:rsidRPr="00EF5876">
                    <w:rPr>
                      <w:vertAlign w:val="superscript"/>
                    </w:rPr>
                    <w:t>2</w:t>
                  </w:r>
                  <w:r w:rsidRPr="00EF5876">
                    <w:t>)</w:t>
                  </w:r>
                  <w:r w:rsidRPr="00EF5876">
                    <w:rPr>
                      <w:vertAlign w:val="superscript"/>
                    </w:rPr>
                    <w:t xml:space="preserve"> 3</w:t>
                  </w:r>
                  <w:r w:rsidRPr="00EF5876">
                    <w:t>)</w:t>
                  </w:r>
                </w:p>
              </w:tc>
            </w:tr>
            <w:tr w:rsidR="00EF5876" w:rsidRPr="00EF5876" w:rsidTr="00EF5876">
              <w:tc>
                <w:tcPr>
                  <w:tcW w:w="1559" w:type="dxa"/>
                  <w:vMerge/>
                  <w:vAlign w:val="center"/>
                </w:tcPr>
                <w:p w:rsidR="00215280" w:rsidRPr="00EF5876" w:rsidRDefault="00215280" w:rsidP="00EF5876">
                  <w:pPr>
                    <w:spacing w:after="0"/>
                  </w:pPr>
                </w:p>
              </w:tc>
              <w:tc>
                <w:tcPr>
                  <w:tcW w:w="993" w:type="dxa"/>
                  <w:vAlign w:val="center"/>
                </w:tcPr>
                <w:p w:rsidR="00215280" w:rsidRPr="00EF5876" w:rsidRDefault="00215280" w:rsidP="00EF5876">
                  <w:pPr>
                    <w:spacing w:after="0"/>
                    <w:jc w:val="center"/>
                  </w:pPr>
                  <w:r w:rsidRPr="00EF5876">
                    <w:t>&gt; 20</w:t>
                  </w:r>
                </w:p>
              </w:tc>
              <w:tc>
                <w:tcPr>
                  <w:tcW w:w="850" w:type="dxa"/>
                  <w:vAlign w:val="center"/>
                </w:tcPr>
                <w:p w:rsidR="00215280" w:rsidRPr="00EF5876" w:rsidRDefault="00215280" w:rsidP="00EF5876">
                  <w:pPr>
                    <w:spacing w:after="0"/>
                    <w:jc w:val="center"/>
                  </w:pPr>
                  <w:r w:rsidRPr="00EF5876">
                    <w:t>10</w:t>
                  </w:r>
                </w:p>
              </w:tc>
              <w:tc>
                <w:tcPr>
                  <w:tcW w:w="1129" w:type="dxa"/>
                  <w:vAlign w:val="center"/>
                </w:tcPr>
                <w:p w:rsidR="00215280" w:rsidRPr="00EF5876" w:rsidRDefault="00215280" w:rsidP="00EF5876">
                  <w:pPr>
                    <w:spacing w:after="0"/>
                    <w:jc w:val="center"/>
                  </w:pPr>
                  <w:r w:rsidRPr="00EF5876">
                    <w:t>120</w:t>
                  </w:r>
                </w:p>
              </w:tc>
              <w:tc>
                <w:tcPr>
                  <w:tcW w:w="1564" w:type="dxa"/>
                  <w:vAlign w:val="center"/>
                </w:tcPr>
                <w:p w:rsidR="00215280" w:rsidRPr="00EF5876" w:rsidRDefault="00215280" w:rsidP="00EF5876">
                  <w:pPr>
                    <w:spacing w:after="0"/>
                    <w:jc w:val="center"/>
                  </w:pPr>
                  <w:r w:rsidRPr="00EF5876">
                    <w:t>190, 225</w:t>
                  </w:r>
                  <w:r w:rsidRPr="00EF5876">
                    <w:rPr>
                      <w:vertAlign w:val="superscript"/>
                    </w:rPr>
                    <w:t>2</w:t>
                  </w:r>
                  <w:r w:rsidRPr="00EF5876">
                    <w:t>)</w:t>
                  </w:r>
                  <w:r w:rsidRPr="00EF5876">
                    <w:rPr>
                      <w:vertAlign w:val="superscript"/>
                    </w:rPr>
                    <w:t xml:space="preserve"> 3</w:t>
                  </w:r>
                  <w:r w:rsidRPr="00EF5876">
                    <w:t>)</w:t>
                  </w:r>
                </w:p>
              </w:tc>
            </w:tr>
            <w:tr w:rsidR="00EF5876" w:rsidRPr="00EF5876" w:rsidTr="00EF5876">
              <w:tc>
                <w:tcPr>
                  <w:tcW w:w="1559" w:type="dxa"/>
                  <w:vAlign w:val="center"/>
                </w:tcPr>
                <w:p w:rsidR="00215280" w:rsidRPr="00EF5876" w:rsidRDefault="00215280" w:rsidP="00EF5876">
                  <w:pPr>
                    <w:spacing w:after="0"/>
                  </w:pPr>
                  <w:r w:rsidRPr="00EF5876">
                    <w:t>ZPN</w:t>
                  </w:r>
                </w:p>
              </w:tc>
              <w:tc>
                <w:tcPr>
                  <w:tcW w:w="993" w:type="dxa"/>
                  <w:vAlign w:val="center"/>
                </w:tcPr>
                <w:p w:rsidR="00215280" w:rsidRPr="00EF5876" w:rsidRDefault="00215280" w:rsidP="00EF5876">
                  <w:pPr>
                    <w:spacing w:after="0"/>
                    <w:jc w:val="center"/>
                  </w:pPr>
                  <w:r w:rsidRPr="00EF5876">
                    <w:t>≥ 1</w:t>
                  </w:r>
                </w:p>
              </w:tc>
              <w:tc>
                <w:tcPr>
                  <w:tcW w:w="850" w:type="dxa"/>
                  <w:vAlign w:val="center"/>
                </w:tcPr>
                <w:p w:rsidR="00215280" w:rsidRPr="00EF5876" w:rsidRDefault="00215280" w:rsidP="00EF5876">
                  <w:pPr>
                    <w:spacing w:after="0"/>
                    <w:jc w:val="center"/>
                  </w:pPr>
                  <w:r w:rsidRPr="00EF5876">
                    <w:t>-</w:t>
                  </w:r>
                </w:p>
              </w:tc>
              <w:tc>
                <w:tcPr>
                  <w:tcW w:w="1129" w:type="dxa"/>
                  <w:vAlign w:val="center"/>
                </w:tcPr>
                <w:p w:rsidR="00215280" w:rsidRPr="00EF5876" w:rsidRDefault="00215280" w:rsidP="00EF5876">
                  <w:pPr>
                    <w:spacing w:after="0"/>
                    <w:jc w:val="center"/>
                  </w:pPr>
                  <w:r w:rsidRPr="00EF5876">
                    <w:t>-</w:t>
                  </w:r>
                </w:p>
              </w:tc>
              <w:tc>
                <w:tcPr>
                  <w:tcW w:w="1564" w:type="dxa"/>
                  <w:vAlign w:val="center"/>
                </w:tcPr>
                <w:p w:rsidR="00215280" w:rsidRPr="00EF5876" w:rsidRDefault="00215280" w:rsidP="00EF5876">
                  <w:pPr>
                    <w:spacing w:after="0"/>
                    <w:jc w:val="center"/>
                  </w:pPr>
                  <w:r w:rsidRPr="00EF5876">
                    <w:t>95, 190</w:t>
                  </w:r>
                  <w:r w:rsidRPr="00EF5876">
                    <w:rPr>
                      <w:vertAlign w:val="superscript"/>
                    </w:rPr>
                    <w:t>4</w:t>
                  </w:r>
                  <w:r w:rsidRPr="00EF5876">
                    <w:t>)</w:t>
                  </w:r>
                </w:p>
              </w:tc>
            </w:tr>
            <w:tr w:rsidR="00EF5876" w:rsidRPr="00EF5876" w:rsidTr="00EF5876">
              <w:tc>
                <w:tcPr>
                  <w:tcW w:w="1559" w:type="dxa"/>
                  <w:vAlign w:val="center"/>
                </w:tcPr>
                <w:p w:rsidR="00215280" w:rsidRPr="00EF5876" w:rsidRDefault="00215280" w:rsidP="00EF5876">
                  <w:pPr>
                    <w:spacing w:after="0"/>
                  </w:pPr>
                  <w:r w:rsidRPr="00EF5876">
                    <w:t>Iné plynné palivá</w:t>
                  </w:r>
                </w:p>
              </w:tc>
              <w:tc>
                <w:tcPr>
                  <w:tcW w:w="993" w:type="dxa"/>
                  <w:vAlign w:val="center"/>
                </w:tcPr>
                <w:p w:rsidR="00215280" w:rsidRPr="00EF5876" w:rsidRDefault="00215280" w:rsidP="00EF5876">
                  <w:pPr>
                    <w:spacing w:after="0"/>
                    <w:jc w:val="center"/>
                  </w:pPr>
                  <w:r w:rsidRPr="00EF5876">
                    <w:t>≥ 1</w:t>
                  </w:r>
                </w:p>
              </w:tc>
              <w:tc>
                <w:tcPr>
                  <w:tcW w:w="850" w:type="dxa"/>
                  <w:vAlign w:val="center"/>
                </w:tcPr>
                <w:p w:rsidR="00215280" w:rsidRPr="00EF5876" w:rsidRDefault="00215280" w:rsidP="00EF5876">
                  <w:pPr>
                    <w:spacing w:after="0"/>
                    <w:jc w:val="center"/>
                  </w:pPr>
                  <w:r w:rsidRPr="00EF5876">
                    <w:t>-</w:t>
                  </w:r>
                </w:p>
              </w:tc>
              <w:tc>
                <w:tcPr>
                  <w:tcW w:w="1129" w:type="dxa"/>
                  <w:vAlign w:val="center"/>
                </w:tcPr>
                <w:p w:rsidR="00215280" w:rsidRPr="00EF5876" w:rsidRDefault="00215280" w:rsidP="00EF5876">
                  <w:pPr>
                    <w:spacing w:after="0"/>
                    <w:jc w:val="center"/>
                  </w:pPr>
                  <w:r w:rsidRPr="00EF5876">
                    <w:t>15, 40</w:t>
                  </w:r>
                  <w:r w:rsidRPr="00EF5876">
                    <w:rPr>
                      <w:vertAlign w:val="superscript"/>
                    </w:rPr>
                    <w:t>5</w:t>
                  </w:r>
                  <w:r w:rsidRPr="00EF5876">
                    <w:t>)</w:t>
                  </w:r>
                </w:p>
              </w:tc>
              <w:tc>
                <w:tcPr>
                  <w:tcW w:w="1564" w:type="dxa"/>
                  <w:vAlign w:val="center"/>
                </w:tcPr>
                <w:p w:rsidR="00215280" w:rsidRPr="00EF5876" w:rsidRDefault="00215280" w:rsidP="00EF5876">
                  <w:pPr>
                    <w:spacing w:after="0"/>
                    <w:jc w:val="center"/>
                  </w:pPr>
                  <w:r w:rsidRPr="00EF5876">
                    <w:t>190</w:t>
                  </w:r>
                </w:p>
              </w:tc>
            </w:tr>
          </w:tbl>
          <w:p w:rsidR="00215280" w:rsidRPr="00EF5876" w:rsidRDefault="00215280" w:rsidP="00215280">
            <w:pPr>
              <w:pStyle w:val="Normln"/>
              <w:keepNext/>
              <w:numPr>
                <w:ilvl w:val="0"/>
                <w:numId w:val="40"/>
              </w:numPr>
              <w:ind w:left="284" w:hanging="284"/>
              <w:jc w:val="both"/>
              <w:rPr>
                <w:rFonts w:ascii="Calibri" w:eastAsia="Calibri" w:hAnsi="Calibri" w:cs="Calibri"/>
                <w:szCs w:val="22"/>
                <w:lang w:val="sk-SK" w:eastAsia="en-US"/>
              </w:rPr>
            </w:pPr>
            <w:r w:rsidRPr="00EF5876">
              <w:rPr>
                <w:rFonts w:ascii="Calibri" w:eastAsia="Calibri" w:hAnsi="Calibri" w:cs="Calibri"/>
                <w:szCs w:val="22"/>
                <w:lang w:val="sk-SK" w:eastAsia="en-US"/>
              </w:rPr>
              <w:t xml:space="preserve">Pre zariadenia  v OPR pre motory platia osobitné EL pre NOx, ak ide o : </w:t>
            </w:r>
          </w:p>
          <w:p w:rsidR="00215280" w:rsidRPr="00EF5876" w:rsidRDefault="00215280" w:rsidP="00215280">
            <w:pPr>
              <w:pStyle w:val="Normln"/>
              <w:keepNext/>
              <w:numPr>
                <w:ilvl w:val="1"/>
                <w:numId w:val="39"/>
              </w:numPr>
              <w:jc w:val="both"/>
              <w:rPr>
                <w:rFonts w:ascii="Calibri" w:eastAsia="Calibri" w:hAnsi="Calibri" w:cs="Calibri"/>
                <w:szCs w:val="22"/>
                <w:lang w:val="sk-SK" w:eastAsia="en-US"/>
              </w:rPr>
            </w:pPr>
            <w:r w:rsidRPr="00EF5876">
              <w:rPr>
                <w:rFonts w:ascii="Calibri" w:eastAsia="Calibri" w:hAnsi="Calibri" w:cs="Calibri"/>
                <w:szCs w:val="22"/>
                <w:lang w:val="sk-SK" w:eastAsia="en-US"/>
              </w:rPr>
              <w:t xml:space="preserve">dvojpalivové motory </w:t>
            </w:r>
          </w:p>
          <w:p w:rsidR="00215280" w:rsidRPr="00EF5876" w:rsidRDefault="00215280" w:rsidP="00215280">
            <w:pPr>
              <w:pStyle w:val="Normln"/>
              <w:keepNext/>
              <w:numPr>
                <w:ilvl w:val="0"/>
                <w:numId w:val="41"/>
              </w:numPr>
              <w:ind w:left="851" w:hanging="207"/>
              <w:jc w:val="both"/>
              <w:rPr>
                <w:rFonts w:ascii="Calibri" w:eastAsia="Calibri" w:hAnsi="Calibri" w:cs="Calibri"/>
                <w:szCs w:val="22"/>
                <w:lang w:val="sk-SK" w:eastAsia="en-US"/>
              </w:rPr>
            </w:pPr>
            <w:r w:rsidRPr="00EF5876">
              <w:rPr>
                <w:rFonts w:ascii="Calibri" w:eastAsia="Calibri" w:hAnsi="Calibri" w:cs="Calibri"/>
                <w:szCs w:val="22"/>
                <w:lang w:val="sk-SK" w:eastAsia="en-US"/>
              </w:rPr>
              <w:t>v kvapalnom režime:  1850 mg/m3,</w:t>
            </w:r>
          </w:p>
          <w:p w:rsidR="00215280" w:rsidRPr="00EF5876" w:rsidRDefault="00215280" w:rsidP="00215280">
            <w:pPr>
              <w:pStyle w:val="Normln"/>
              <w:keepNext/>
              <w:numPr>
                <w:ilvl w:val="0"/>
                <w:numId w:val="41"/>
              </w:numPr>
              <w:ind w:left="851" w:hanging="207"/>
              <w:jc w:val="both"/>
              <w:rPr>
                <w:rFonts w:ascii="Calibri" w:eastAsia="Calibri" w:hAnsi="Calibri" w:cs="Calibri"/>
                <w:szCs w:val="22"/>
                <w:lang w:val="sk-SK" w:eastAsia="en-US"/>
              </w:rPr>
            </w:pPr>
            <w:r w:rsidRPr="00EF5876">
              <w:rPr>
                <w:rFonts w:ascii="Calibri" w:eastAsia="Calibri" w:hAnsi="Calibri" w:cs="Calibri"/>
                <w:szCs w:val="22"/>
                <w:lang w:val="sk-SK" w:eastAsia="en-US"/>
              </w:rPr>
              <w:t>v plynnom režime:  380 mg/m3,</w:t>
            </w:r>
          </w:p>
          <w:p w:rsidR="00215280" w:rsidRPr="00EF5876" w:rsidRDefault="00215280" w:rsidP="00215280">
            <w:pPr>
              <w:pStyle w:val="Normln"/>
              <w:keepNext/>
              <w:numPr>
                <w:ilvl w:val="1"/>
                <w:numId w:val="39"/>
              </w:numPr>
              <w:jc w:val="both"/>
              <w:rPr>
                <w:rFonts w:ascii="Calibri" w:eastAsia="Calibri" w:hAnsi="Calibri" w:cs="Calibri"/>
                <w:szCs w:val="22"/>
                <w:lang w:val="sk-SK" w:eastAsia="en-US"/>
              </w:rPr>
            </w:pPr>
            <w:r w:rsidRPr="00EF5876">
              <w:rPr>
                <w:rFonts w:ascii="Calibri" w:eastAsia="Calibri" w:hAnsi="Calibri" w:cs="Calibri"/>
                <w:szCs w:val="22"/>
                <w:lang w:val="sk-SK" w:eastAsia="en-US"/>
              </w:rPr>
              <w:t xml:space="preserve">dieselové motory s RPM ≤ 1200ot/min a: </w:t>
            </w:r>
          </w:p>
          <w:p w:rsidR="00215280" w:rsidRPr="00EF5876" w:rsidRDefault="00215280" w:rsidP="00215280">
            <w:pPr>
              <w:pStyle w:val="Normln"/>
              <w:keepNext/>
              <w:numPr>
                <w:ilvl w:val="0"/>
                <w:numId w:val="42"/>
              </w:numPr>
              <w:ind w:left="851" w:hanging="207"/>
              <w:jc w:val="both"/>
              <w:rPr>
                <w:rFonts w:ascii="Calibri" w:eastAsia="Calibri" w:hAnsi="Calibri" w:cs="Calibri"/>
                <w:szCs w:val="22"/>
                <w:lang w:val="sk-SK" w:eastAsia="en-US"/>
              </w:rPr>
            </w:pPr>
            <w:r w:rsidRPr="00EF5876">
              <w:rPr>
                <w:rFonts w:ascii="Calibri" w:eastAsia="Calibri" w:hAnsi="Calibri" w:cs="Calibri"/>
                <w:szCs w:val="22"/>
                <w:lang w:val="sk-SK" w:eastAsia="en-US"/>
              </w:rPr>
              <w:t>celkovým MTP ≤  20 MW:  1300 mg/m3,</w:t>
            </w:r>
          </w:p>
          <w:p w:rsidR="00215280" w:rsidRPr="00EF5876" w:rsidRDefault="00215280" w:rsidP="00215280">
            <w:pPr>
              <w:pStyle w:val="Normln"/>
              <w:keepNext/>
              <w:numPr>
                <w:ilvl w:val="0"/>
                <w:numId w:val="42"/>
              </w:numPr>
              <w:ind w:left="851" w:hanging="207"/>
              <w:jc w:val="both"/>
              <w:rPr>
                <w:rFonts w:ascii="Calibri" w:eastAsia="Calibri" w:hAnsi="Calibri" w:cs="Calibri"/>
                <w:szCs w:val="22"/>
                <w:lang w:val="sk-SK" w:eastAsia="en-US"/>
              </w:rPr>
            </w:pPr>
            <w:r w:rsidRPr="00EF5876">
              <w:rPr>
                <w:rFonts w:ascii="Calibri" w:eastAsia="Calibri" w:hAnsi="Calibri" w:cs="Calibri"/>
                <w:szCs w:val="22"/>
                <w:lang w:val="sk-SK" w:eastAsia="en-US"/>
              </w:rPr>
              <w:t>celkovým  MTP &gt; 20 MW:  1850 mg/m3,</w:t>
            </w:r>
          </w:p>
          <w:p w:rsidR="00215280" w:rsidRPr="00EF5876" w:rsidRDefault="00215280" w:rsidP="00215280">
            <w:pPr>
              <w:pStyle w:val="Normln"/>
              <w:keepNext/>
              <w:ind w:left="284"/>
              <w:rPr>
                <w:rFonts w:ascii="Calibri" w:eastAsia="Calibri" w:hAnsi="Calibri" w:cs="Calibri"/>
                <w:szCs w:val="22"/>
                <w:lang w:val="sk-SK" w:eastAsia="en-US"/>
              </w:rPr>
            </w:pPr>
            <w:r w:rsidRPr="00EF5876">
              <w:rPr>
                <w:rFonts w:ascii="Calibri" w:eastAsia="Calibri" w:hAnsi="Calibri" w:cs="Calibri"/>
                <w:szCs w:val="22"/>
                <w:lang w:val="sk-SK" w:eastAsia="en-US"/>
              </w:rPr>
              <w:t>c)  dieselové motory s RPM &gt; 1200ot/min:  750 mg/m3.</w:t>
            </w:r>
          </w:p>
          <w:p w:rsidR="00215280" w:rsidRPr="00EF5876" w:rsidRDefault="00215280" w:rsidP="00215280">
            <w:pPr>
              <w:pStyle w:val="Normln"/>
              <w:keepNext/>
              <w:rPr>
                <w:rFonts w:ascii="Calibri" w:eastAsia="Calibri" w:hAnsi="Calibri" w:cs="Calibri"/>
                <w:szCs w:val="22"/>
                <w:lang w:val="sk-SK" w:eastAsia="en-US"/>
              </w:rPr>
            </w:pPr>
            <w:r w:rsidRPr="00EF5876">
              <w:rPr>
                <w:rFonts w:ascii="Calibri" w:eastAsia="Calibri" w:hAnsi="Calibri" w:cs="Calibri"/>
                <w:szCs w:val="22"/>
                <w:lang w:val="sk-SK" w:eastAsia="en-US"/>
              </w:rPr>
              <w:t>2) Platí pre dvojpalivové motory v kvapalnom režime.</w:t>
            </w:r>
          </w:p>
          <w:p w:rsidR="00215280" w:rsidRPr="00EF5876" w:rsidRDefault="00215280" w:rsidP="007D65D8">
            <w:pPr>
              <w:keepNext/>
              <w:spacing w:after="0"/>
              <w:ind w:left="284" w:hanging="284"/>
            </w:pPr>
            <w:r w:rsidRPr="00EF5876">
              <w:t>3) Platí pre dieselové motory  s celkovým MTP ≤ 20 MW s RPM ≤ 1 200ot/min..</w:t>
            </w:r>
          </w:p>
          <w:p w:rsidR="00215280" w:rsidRPr="00EF5876" w:rsidRDefault="00215280" w:rsidP="007D65D8">
            <w:pPr>
              <w:keepNext/>
              <w:spacing w:after="0"/>
            </w:pPr>
            <w:r w:rsidRPr="00EF5876">
              <w:t xml:space="preserve">4) Platí pre dvojpalivové motory v plynnom režime. </w:t>
            </w:r>
          </w:p>
          <w:p w:rsidR="00E90F86" w:rsidRPr="00EF5876" w:rsidRDefault="00215280" w:rsidP="007D65D8">
            <w:pPr>
              <w:keepNext/>
              <w:spacing w:after="0"/>
            </w:pPr>
            <w:r w:rsidRPr="00EF5876">
              <w:t>5) Platí pre spaľovanie bioplynu.</w:t>
            </w:r>
          </w:p>
        </w:tc>
        <w:tc>
          <w:tcPr>
            <w:tcW w:w="508" w:type="dxa"/>
            <w:tcBorders>
              <w:top w:val="nil"/>
            </w:tcBorders>
            <w:vAlign w:val="center"/>
          </w:tcPr>
          <w:p w:rsidR="00B20392" w:rsidRPr="00603CC4" w:rsidRDefault="00B20392" w:rsidP="00603CC4">
            <w:pPr>
              <w:spacing w:after="0" w:line="240" w:lineRule="auto"/>
            </w:pPr>
          </w:p>
        </w:tc>
        <w:tc>
          <w:tcPr>
            <w:tcW w:w="508" w:type="dxa"/>
            <w:tcBorders>
              <w:top w:val="nil"/>
            </w:tcBorders>
            <w:vAlign w:val="center"/>
          </w:tcPr>
          <w:p w:rsidR="00B20392" w:rsidRPr="00603CC4" w:rsidRDefault="00B20392" w:rsidP="00603CC4">
            <w:pPr>
              <w:spacing w:after="0" w:line="240" w:lineRule="auto"/>
            </w:pPr>
          </w:p>
        </w:tc>
      </w:tr>
      <w:tr w:rsidR="006E65C5" w:rsidRPr="00603CC4" w:rsidTr="00EE10DB">
        <w:trPr>
          <w:trHeight w:val="4017"/>
        </w:trPr>
        <w:tc>
          <w:tcPr>
            <w:tcW w:w="709" w:type="dxa"/>
            <w:tcBorders>
              <w:top w:val="nil"/>
              <w:bottom w:val="nil"/>
            </w:tcBorders>
            <w:vAlign w:val="center"/>
          </w:tcPr>
          <w:p w:rsidR="006E65C5" w:rsidRDefault="006E65C5" w:rsidP="004564DB">
            <w:pPr>
              <w:spacing w:after="0" w:line="240" w:lineRule="auto"/>
              <w:jc w:val="center"/>
            </w:pPr>
            <w:r w:rsidRPr="00603CC4">
              <w:lastRenderedPageBreak/>
              <w:t>Príloha 3</w:t>
            </w:r>
          </w:p>
          <w:p w:rsidR="006E65C5" w:rsidRPr="00603CC4" w:rsidRDefault="006E65C5" w:rsidP="004564DB">
            <w:pPr>
              <w:spacing w:after="0" w:line="240" w:lineRule="auto"/>
              <w:jc w:val="center"/>
            </w:pPr>
            <w:r>
              <w:t>O:1</w:t>
            </w:r>
          </w:p>
        </w:tc>
        <w:tc>
          <w:tcPr>
            <w:tcW w:w="5771" w:type="dxa"/>
            <w:shd w:val="clear" w:color="auto" w:fill="F2F2F2"/>
            <w:vAlign w:val="center"/>
          </w:tcPr>
          <w:p w:rsidR="006E65C5" w:rsidRDefault="006E65C5" w:rsidP="00603CC4">
            <w:pPr>
              <w:spacing w:after="0" w:line="240" w:lineRule="auto"/>
              <w:jc w:val="both"/>
            </w:pPr>
            <w:r w:rsidRPr="00603CC4">
              <w:t xml:space="preserve">Monitorovanie emisií a posúdenie dosiahnutia súladu Monitorovanie emisií zo strany prevádzkovateľa </w:t>
            </w:r>
          </w:p>
          <w:p w:rsidR="006E65C5" w:rsidRPr="00603CC4" w:rsidRDefault="006E65C5" w:rsidP="00603CC4">
            <w:pPr>
              <w:spacing w:after="0" w:line="240" w:lineRule="auto"/>
              <w:jc w:val="both"/>
            </w:pPr>
            <w:r w:rsidRPr="00603CC4">
              <w:t xml:space="preserve">1. Pravidelné merania sa vyžadujú prinajmenšom: </w:t>
            </w:r>
          </w:p>
          <w:p w:rsidR="006E65C5" w:rsidRPr="00603CC4" w:rsidRDefault="006E65C5" w:rsidP="00603CC4">
            <w:pPr>
              <w:spacing w:before="120" w:after="0" w:line="240" w:lineRule="auto"/>
              <w:jc w:val="both"/>
            </w:pPr>
          </w:p>
          <w:p w:rsidR="006E65C5" w:rsidRPr="00603CC4" w:rsidRDefault="006E65C5" w:rsidP="00603CC4">
            <w:pPr>
              <w:spacing w:before="120" w:after="0" w:line="240" w:lineRule="auto"/>
              <w:jc w:val="both"/>
            </w:pPr>
            <w:r w:rsidRPr="00603CC4">
              <w:t>— každý rok v prípade stredne veľkých spaľovacích zariadení s menovitým tepelným príkonom väčším ako 20 MW.</w:t>
            </w:r>
          </w:p>
          <w:p w:rsidR="006E65C5" w:rsidRDefault="006E65C5" w:rsidP="00603CC4">
            <w:pPr>
              <w:spacing w:before="120" w:after="0" w:line="240" w:lineRule="auto"/>
              <w:jc w:val="both"/>
            </w:pPr>
          </w:p>
          <w:p w:rsidR="006E65C5" w:rsidRPr="00603CC4" w:rsidRDefault="006E65C5" w:rsidP="00603CC4">
            <w:pPr>
              <w:spacing w:before="120" w:after="0" w:line="240" w:lineRule="auto"/>
              <w:jc w:val="both"/>
            </w:pPr>
          </w:p>
          <w:p w:rsidR="006E65C5" w:rsidRPr="00603CC4" w:rsidRDefault="006E65C5" w:rsidP="00603CC4">
            <w:pPr>
              <w:spacing w:before="120" w:after="0" w:line="240" w:lineRule="auto"/>
              <w:jc w:val="both"/>
            </w:pPr>
            <w:r w:rsidRPr="00603CC4">
              <w:t xml:space="preserve">— každé tri roky v prípade stredne veľkých spaľovacích zariadení s menovitým tepelným príkonom rovnajúcim sa alebo väčším ako 1 MW a menším alebo rovnajúcim sa 20 MW, </w:t>
            </w:r>
          </w:p>
          <w:p w:rsidR="006E65C5" w:rsidRPr="00603CC4" w:rsidRDefault="006E65C5" w:rsidP="00603CC4">
            <w:pPr>
              <w:spacing w:before="120" w:after="0" w:line="240" w:lineRule="auto"/>
              <w:jc w:val="both"/>
            </w:pPr>
          </w:p>
        </w:tc>
        <w:tc>
          <w:tcPr>
            <w:tcW w:w="397" w:type="dxa"/>
            <w:shd w:val="clear" w:color="auto" w:fill="F2F2F2"/>
            <w:vAlign w:val="center"/>
          </w:tcPr>
          <w:p w:rsidR="006E65C5" w:rsidRPr="00603CC4" w:rsidRDefault="006E65C5" w:rsidP="00603CC4">
            <w:pPr>
              <w:spacing w:before="120" w:after="0" w:line="240" w:lineRule="auto"/>
            </w:pPr>
            <w:r>
              <w:t>N</w:t>
            </w:r>
          </w:p>
        </w:tc>
        <w:tc>
          <w:tcPr>
            <w:tcW w:w="708" w:type="dxa"/>
            <w:shd w:val="clear" w:color="auto" w:fill="F2F2F2"/>
            <w:vAlign w:val="center"/>
          </w:tcPr>
          <w:p w:rsidR="006E65C5" w:rsidRPr="00603CC4" w:rsidRDefault="006E65C5" w:rsidP="00603CC4">
            <w:pPr>
              <w:spacing w:after="0" w:line="240" w:lineRule="auto"/>
            </w:pPr>
            <w:r w:rsidRPr="00603CC4">
              <w:t>N411</w:t>
            </w:r>
          </w:p>
        </w:tc>
        <w:tc>
          <w:tcPr>
            <w:tcW w:w="596" w:type="dxa"/>
            <w:shd w:val="clear" w:color="auto" w:fill="F2F2F2"/>
            <w:vAlign w:val="center"/>
          </w:tcPr>
          <w:p w:rsidR="006E65C5" w:rsidRDefault="006E65C5" w:rsidP="00603CC4">
            <w:pPr>
              <w:spacing w:before="120" w:after="0" w:line="240" w:lineRule="auto"/>
            </w:pPr>
          </w:p>
          <w:p w:rsidR="006E65C5" w:rsidRPr="00603CC4" w:rsidRDefault="006E65C5" w:rsidP="00603CC4">
            <w:pPr>
              <w:spacing w:before="120" w:after="0" w:line="240" w:lineRule="auto"/>
            </w:pPr>
            <w:r w:rsidRPr="00603CC4">
              <w:t>§</w:t>
            </w:r>
            <w:r>
              <w:t>:</w:t>
            </w:r>
            <w:r w:rsidRPr="00603CC4">
              <w:t>9</w:t>
            </w:r>
          </w:p>
          <w:p w:rsidR="006E65C5" w:rsidRPr="00603CC4" w:rsidRDefault="006E65C5" w:rsidP="00603CC4">
            <w:pPr>
              <w:spacing w:after="0" w:line="240" w:lineRule="auto"/>
            </w:pPr>
            <w:r w:rsidRPr="00603CC4">
              <w:t>O</w:t>
            </w:r>
            <w:r>
              <w:t>:</w:t>
            </w:r>
            <w:r w:rsidRPr="00603CC4">
              <w:t>5</w:t>
            </w:r>
          </w:p>
          <w:p w:rsidR="006E65C5" w:rsidRPr="00603CC4" w:rsidRDefault="006E65C5" w:rsidP="00603CC4">
            <w:pPr>
              <w:spacing w:after="0" w:line="240" w:lineRule="auto"/>
            </w:pPr>
          </w:p>
          <w:p w:rsidR="006E65C5" w:rsidRPr="00603CC4" w:rsidRDefault="006E65C5" w:rsidP="00603CC4">
            <w:pPr>
              <w:spacing w:after="0" w:line="240" w:lineRule="auto"/>
            </w:pPr>
          </w:p>
          <w:p w:rsidR="006E65C5" w:rsidRPr="00603CC4" w:rsidRDefault="006E65C5" w:rsidP="00603CC4">
            <w:pPr>
              <w:spacing w:after="0" w:line="240" w:lineRule="auto"/>
            </w:pPr>
          </w:p>
          <w:p w:rsidR="006E65C5" w:rsidRPr="00603CC4" w:rsidRDefault="006E65C5" w:rsidP="00603CC4">
            <w:pPr>
              <w:spacing w:after="0" w:line="240" w:lineRule="auto"/>
            </w:pPr>
          </w:p>
          <w:p w:rsidR="006E65C5" w:rsidRPr="00603CC4" w:rsidRDefault="006E65C5" w:rsidP="00603CC4">
            <w:pPr>
              <w:spacing w:after="0" w:line="240" w:lineRule="auto"/>
            </w:pPr>
            <w:r w:rsidRPr="00603CC4">
              <w:t>P</w:t>
            </w:r>
            <w:r>
              <w:t>:</w:t>
            </w:r>
            <w:r w:rsidRPr="00603CC4">
              <w:t>b</w:t>
            </w:r>
          </w:p>
          <w:p w:rsidR="006E65C5" w:rsidRPr="00603CC4" w:rsidRDefault="006E65C5" w:rsidP="00603CC4">
            <w:pPr>
              <w:spacing w:after="0" w:line="240" w:lineRule="auto"/>
            </w:pPr>
            <w:r w:rsidRPr="00603CC4">
              <w:t>B</w:t>
            </w:r>
            <w:r>
              <w:t>:</w:t>
            </w:r>
            <w:r w:rsidRPr="00603CC4">
              <w:t>2</w:t>
            </w:r>
          </w:p>
          <w:p w:rsidR="006E65C5" w:rsidRDefault="006E65C5" w:rsidP="00603CC4">
            <w:pPr>
              <w:spacing w:after="0" w:line="240" w:lineRule="auto"/>
            </w:pPr>
          </w:p>
          <w:p w:rsidR="006E65C5" w:rsidRPr="00603CC4" w:rsidRDefault="006E65C5" w:rsidP="00603CC4">
            <w:pPr>
              <w:spacing w:after="0" w:line="240" w:lineRule="auto"/>
            </w:pPr>
            <w:r w:rsidRPr="00603CC4">
              <w:t>P</w:t>
            </w:r>
            <w:r>
              <w:t>:</w:t>
            </w:r>
            <w:r w:rsidRPr="00603CC4">
              <w:t>c</w:t>
            </w:r>
          </w:p>
          <w:p w:rsidR="006E65C5" w:rsidRPr="00603CC4" w:rsidRDefault="006E65C5" w:rsidP="00603CC4">
            <w:pPr>
              <w:spacing w:after="0" w:line="240" w:lineRule="auto"/>
            </w:pPr>
            <w:r w:rsidRPr="00603CC4">
              <w:t>B</w:t>
            </w:r>
            <w:r>
              <w:t>:3</w:t>
            </w:r>
          </w:p>
        </w:tc>
        <w:tc>
          <w:tcPr>
            <w:tcW w:w="6396" w:type="dxa"/>
            <w:shd w:val="clear" w:color="auto" w:fill="F2F2F2"/>
            <w:vAlign w:val="center"/>
          </w:tcPr>
          <w:p w:rsidR="006E65C5" w:rsidRPr="00EF5876" w:rsidRDefault="006E65C5" w:rsidP="00EE10DB">
            <w:pPr>
              <w:tabs>
                <w:tab w:val="left" w:pos="567"/>
              </w:tabs>
              <w:spacing w:after="0" w:line="22" w:lineRule="atLeast"/>
            </w:pPr>
            <w:r w:rsidRPr="00EF5876">
              <w:t xml:space="preserve">(5) Periodickým meraním, ak nie je podľa § 26 ods. 1 alebo ods. 3 písm. b) alebo o)  zákona povolené jeho nahradenie technickým výpočtom podľa odseku 6, pre stredne veľké spaľovacie zariadenia povolený predĺžený interval podľa odseku 8, alebo pre prechodné obdobie ustanovené inak v § 16a, sa zisťujú údaje o dodržaní emisných limitov v odpadových plynoch pre znečisťujúce látky, pre ktoré je ustanovený alebo určený emisný limit (§ 20 ods. 1 písm. b) zákona) a pre oxid uhoľnatý pre všetky spaľovacie zariadenia, najmenej raz za </w:t>
            </w:r>
          </w:p>
          <w:p w:rsidR="006E65C5" w:rsidRPr="00EF5876" w:rsidRDefault="006E65C5" w:rsidP="00603CC4">
            <w:pPr>
              <w:spacing w:after="0" w:line="240" w:lineRule="auto"/>
              <w:jc w:val="both"/>
            </w:pPr>
            <w:r w:rsidRPr="00EF5876">
              <w:t xml:space="preserve">b) kalendárny rok, ak ide o </w:t>
            </w:r>
          </w:p>
          <w:p w:rsidR="006E65C5" w:rsidRPr="00EF5876" w:rsidRDefault="006E65C5" w:rsidP="0013600A">
            <w:pPr>
              <w:spacing w:after="0" w:line="240" w:lineRule="auto"/>
              <w:ind w:left="528" w:hanging="218"/>
              <w:jc w:val="both"/>
            </w:pPr>
            <w:r w:rsidRPr="00EF5876">
              <w:t>2. stredne veľké spaľovacie zariadenie, ktorého celkový menovitý tepelný príkon je väčší ako 20 MW,</w:t>
            </w:r>
          </w:p>
          <w:p w:rsidR="006E65C5" w:rsidRPr="00EF5876" w:rsidRDefault="006E65C5" w:rsidP="00603CC4">
            <w:pPr>
              <w:spacing w:after="0" w:line="240" w:lineRule="auto"/>
              <w:ind w:left="310" w:hanging="310"/>
              <w:jc w:val="both"/>
            </w:pPr>
            <w:r w:rsidRPr="00EF5876">
              <w:t xml:space="preserve">c) tri kalendárne roky, ak ide o spaľovacie zariadenie, ktorého celkový menovitý tepelný príkon sa rovná alebo je väčší ako </w:t>
            </w:r>
          </w:p>
          <w:p w:rsidR="006E65C5" w:rsidRPr="00EF5876" w:rsidRDefault="006E65C5" w:rsidP="00603CC4">
            <w:pPr>
              <w:spacing w:after="0" w:line="240" w:lineRule="auto"/>
              <w:ind w:left="310" w:hanging="310"/>
              <w:jc w:val="both"/>
            </w:pPr>
            <w:r w:rsidRPr="00EF5876">
              <w:t xml:space="preserve">      3. 1 MW a menší alebo sa rovná 20 MW,</w:t>
            </w:r>
          </w:p>
        </w:tc>
        <w:tc>
          <w:tcPr>
            <w:tcW w:w="508" w:type="dxa"/>
            <w:tcBorders>
              <w:top w:val="nil"/>
              <w:bottom w:val="nil"/>
            </w:tcBorders>
            <w:vAlign w:val="center"/>
          </w:tcPr>
          <w:p w:rsidR="006E65C5" w:rsidRPr="00603CC4" w:rsidRDefault="006E65C5" w:rsidP="00603CC4">
            <w:pPr>
              <w:spacing w:after="0" w:line="240" w:lineRule="auto"/>
            </w:pPr>
            <w:r>
              <w:t>Ú</w:t>
            </w:r>
          </w:p>
        </w:tc>
        <w:tc>
          <w:tcPr>
            <w:tcW w:w="508" w:type="dxa"/>
            <w:tcBorders>
              <w:top w:val="nil"/>
              <w:bottom w:val="nil"/>
            </w:tcBorders>
            <w:vAlign w:val="center"/>
          </w:tcPr>
          <w:p w:rsidR="006E65C5" w:rsidRPr="00603CC4" w:rsidRDefault="006E65C5" w:rsidP="00603CC4">
            <w:pPr>
              <w:spacing w:after="0" w:line="240" w:lineRule="auto"/>
            </w:pPr>
          </w:p>
        </w:tc>
      </w:tr>
      <w:tr w:rsidR="006E65C5" w:rsidRPr="00603CC4" w:rsidTr="00EF5876">
        <w:tc>
          <w:tcPr>
            <w:tcW w:w="709" w:type="dxa"/>
            <w:tcBorders>
              <w:top w:val="nil"/>
              <w:bottom w:val="nil"/>
            </w:tcBorders>
            <w:vAlign w:val="center"/>
          </w:tcPr>
          <w:p w:rsidR="006E65C5" w:rsidRPr="00603CC4" w:rsidRDefault="006E65C5" w:rsidP="004564DB">
            <w:pPr>
              <w:spacing w:after="0" w:line="240" w:lineRule="auto"/>
            </w:pPr>
            <w:r w:rsidRPr="00603CC4">
              <w:t>Časť 1</w:t>
            </w:r>
          </w:p>
        </w:tc>
        <w:tc>
          <w:tcPr>
            <w:tcW w:w="5771" w:type="dxa"/>
            <w:shd w:val="clear" w:color="auto" w:fill="F2F2F2"/>
            <w:vAlign w:val="center"/>
          </w:tcPr>
          <w:p w:rsidR="006E65C5" w:rsidRPr="00603CC4" w:rsidRDefault="006E65C5" w:rsidP="00603CC4">
            <w:pPr>
              <w:spacing w:before="120" w:after="0" w:line="240" w:lineRule="auto"/>
              <w:jc w:val="both"/>
            </w:pPr>
            <w:r w:rsidRPr="00603CC4">
              <w:t xml:space="preserve">2. Ako alternatíva frekvencií opakovaní uvedených v bode 1, môžu byť v prípade stredne veľkých spaľovacích zariadení, na ktoré sa vzťahuje </w:t>
            </w:r>
            <w:r w:rsidRPr="00603CC4">
              <w:rPr>
                <w:u w:val="single"/>
              </w:rPr>
              <w:t>článok 6 ods. 3</w:t>
            </w:r>
            <w:r w:rsidRPr="00603CC4">
              <w:t xml:space="preserve"> alebo </w:t>
            </w:r>
            <w:r w:rsidRPr="00603CC4">
              <w:rPr>
                <w:u w:val="single"/>
              </w:rPr>
              <w:t>článok 6 ods. 8</w:t>
            </w:r>
            <w:r w:rsidRPr="00603CC4">
              <w:t xml:space="preserve">, vyžadované pravidelné merania minimálne vždy po uplynutí tohto počtu prevádzkových hodín: </w:t>
            </w:r>
          </w:p>
          <w:p w:rsidR="006E65C5" w:rsidRPr="00603CC4" w:rsidRDefault="006E65C5" w:rsidP="00603CC4">
            <w:pPr>
              <w:spacing w:before="120" w:after="0" w:line="240" w:lineRule="auto"/>
              <w:jc w:val="both"/>
            </w:pPr>
            <w:r w:rsidRPr="00603CC4">
              <w:t xml:space="preserve">— trojnásobok maximálneho priemerného počtu prevádzkových hodín za rok, ktorý sa použije podľa článku 6 ods. 3 alebo článku 6 ods. 8 v prípade stredne veľkých spaľovacích zariadení s menovitým tepelným príkonom rovnajúcim sa alebo väčším ako 1 MW a menším alebo rovnajúcim sa 20 MW, </w:t>
            </w:r>
          </w:p>
          <w:p w:rsidR="006E65C5" w:rsidRPr="00603CC4" w:rsidRDefault="006E65C5" w:rsidP="00603CC4">
            <w:pPr>
              <w:spacing w:before="120" w:after="0" w:line="240" w:lineRule="auto"/>
              <w:jc w:val="both"/>
            </w:pPr>
            <w:r w:rsidRPr="00603CC4">
              <w:t xml:space="preserve">— maximálny priemerný počet prevádzkových hodín za rok, ktorý sa použije podľa článku 6 ods. 3 alebo článku 6 ods. 8 v prípade stredne veľkých spaľovacích zariadení s menovitým tepelným príkonom väčším ako 20 MW. </w:t>
            </w:r>
          </w:p>
          <w:p w:rsidR="006E65C5" w:rsidRPr="00603CC4" w:rsidRDefault="006E65C5" w:rsidP="00603CC4">
            <w:pPr>
              <w:spacing w:before="120" w:after="0" w:line="240" w:lineRule="auto"/>
              <w:jc w:val="both"/>
            </w:pPr>
            <w:r w:rsidRPr="00603CC4">
              <w:t>Frekvencia pravidelných meraní nesmie byť nikdy nižšia ako raz za päť rokov.</w:t>
            </w:r>
          </w:p>
        </w:tc>
        <w:tc>
          <w:tcPr>
            <w:tcW w:w="397" w:type="dxa"/>
            <w:shd w:val="clear" w:color="auto" w:fill="F2F2F2"/>
            <w:vAlign w:val="center"/>
          </w:tcPr>
          <w:p w:rsidR="006E65C5" w:rsidRPr="00603CC4" w:rsidRDefault="006E65C5" w:rsidP="00603CC4">
            <w:pPr>
              <w:spacing w:after="0" w:line="240" w:lineRule="auto"/>
            </w:pPr>
            <w:r>
              <w:t>O</w:t>
            </w:r>
          </w:p>
        </w:tc>
        <w:tc>
          <w:tcPr>
            <w:tcW w:w="708" w:type="dxa"/>
            <w:shd w:val="clear" w:color="auto" w:fill="F2F2F2"/>
            <w:vAlign w:val="center"/>
          </w:tcPr>
          <w:p w:rsidR="006E65C5" w:rsidRPr="00603CC4" w:rsidRDefault="006E65C5" w:rsidP="00603CC4">
            <w:pPr>
              <w:spacing w:after="0" w:line="240" w:lineRule="auto"/>
            </w:pPr>
            <w:r w:rsidRPr="00603CC4">
              <w:t>N411</w:t>
            </w:r>
          </w:p>
        </w:tc>
        <w:tc>
          <w:tcPr>
            <w:tcW w:w="596" w:type="dxa"/>
            <w:shd w:val="clear" w:color="auto" w:fill="F2F2F2"/>
          </w:tcPr>
          <w:p w:rsidR="006E65C5" w:rsidRPr="00603CC4" w:rsidRDefault="006E65C5" w:rsidP="009270ED">
            <w:pPr>
              <w:spacing w:after="0" w:line="240" w:lineRule="auto"/>
              <w:jc w:val="center"/>
            </w:pPr>
            <w:r w:rsidRPr="00603CC4">
              <w:t>§</w:t>
            </w:r>
            <w:r>
              <w:t>:</w:t>
            </w:r>
            <w:r w:rsidRPr="00603CC4">
              <w:t>9</w:t>
            </w:r>
          </w:p>
          <w:p w:rsidR="006E65C5" w:rsidRPr="00603CC4" w:rsidRDefault="006E65C5" w:rsidP="009270ED">
            <w:pPr>
              <w:spacing w:after="0" w:line="240" w:lineRule="auto"/>
              <w:jc w:val="center"/>
            </w:pPr>
            <w:r w:rsidRPr="00603CC4">
              <w:t>O</w:t>
            </w:r>
            <w:r>
              <w:t>:</w:t>
            </w:r>
            <w:r w:rsidRPr="00603CC4">
              <w:t>8</w:t>
            </w:r>
          </w:p>
          <w:p w:rsidR="006E65C5" w:rsidRDefault="006E65C5" w:rsidP="009270ED">
            <w:pPr>
              <w:spacing w:after="0" w:line="240" w:lineRule="auto"/>
              <w:jc w:val="center"/>
            </w:pPr>
          </w:p>
          <w:p w:rsidR="006E65C5" w:rsidRDefault="006E65C5" w:rsidP="009270ED">
            <w:pPr>
              <w:spacing w:after="0" w:line="240" w:lineRule="auto"/>
              <w:jc w:val="center"/>
            </w:pPr>
          </w:p>
          <w:p w:rsidR="006E65C5" w:rsidRDefault="006E65C5" w:rsidP="009270ED">
            <w:pPr>
              <w:spacing w:after="0" w:line="240" w:lineRule="auto"/>
              <w:jc w:val="center"/>
            </w:pPr>
          </w:p>
          <w:p w:rsidR="006E65C5" w:rsidRDefault="006E65C5" w:rsidP="009270ED">
            <w:pPr>
              <w:spacing w:after="0" w:line="240" w:lineRule="auto"/>
              <w:jc w:val="center"/>
            </w:pPr>
          </w:p>
          <w:p w:rsidR="006E65C5" w:rsidRDefault="006E65C5" w:rsidP="009270ED">
            <w:pPr>
              <w:spacing w:after="0" w:line="240" w:lineRule="auto"/>
              <w:jc w:val="center"/>
            </w:pPr>
          </w:p>
          <w:p w:rsidR="006E65C5" w:rsidRDefault="006E65C5" w:rsidP="009270ED">
            <w:pPr>
              <w:spacing w:after="0" w:line="240" w:lineRule="auto"/>
              <w:jc w:val="center"/>
            </w:pPr>
          </w:p>
          <w:p w:rsidR="006E65C5" w:rsidRDefault="006E65C5" w:rsidP="009270ED">
            <w:pPr>
              <w:spacing w:after="0" w:line="240" w:lineRule="auto"/>
              <w:jc w:val="center"/>
            </w:pPr>
          </w:p>
          <w:p w:rsidR="006E65C5" w:rsidRDefault="006E65C5" w:rsidP="009270ED">
            <w:pPr>
              <w:spacing w:after="0" w:line="240" w:lineRule="auto"/>
              <w:jc w:val="center"/>
            </w:pPr>
          </w:p>
          <w:p w:rsidR="006E65C5" w:rsidRDefault="006E65C5" w:rsidP="009270ED">
            <w:pPr>
              <w:spacing w:after="0" w:line="240" w:lineRule="auto"/>
              <w:jc w:val="center"/>
            </w:pPr>
          </w:p>
          <w:p w:rsidR="006E65C5" w:rsidRDefault="006E65C5" w:rsidP="009270ED">
            <w:pPr>
              <w:spacing w:after="0" w:line="240" w:lineRule="auto"/>
              <w:jc w:val="center"/>
            </w:pPr>
          </w:p>
          <w:p w:rsidR="006E65C5" w:rsidRDefault="006E65C5" w:rsidP="009270ED">
            <w:pPr>
              <w:spacing w:after="0" w:line="240" w:lineRule="auto"/>
              <w:jc w:val="center"/>
            </w:pPr>
          </w:p>
          <w:p w:rsidR="006E65C5" w:rsidRDefault="006E65C5" w:rsidP="009270ED">
            <w:pPr>
              <w:spacing w:after="0" w:line="240" w:lineRule="auto"/>
              <w:jc w:val="center"/>
            </w:pPr>
          </w:p>
          <w:p w:rsidR="006E65C5" w:rsidRDefault="006E65C5" w:rsidP="009270ED">
            <w:pPr>
              <w:spacing w:after="0" w:line="240" w:lineRule="auto"/>
              <w:jc w:val="center"/>
            </w:pPr>
          </w:p>
          <w:p w:rsidR="006E65C5" w:rsidRDefault="006E65C5" w:rsidP="009270ED">
            <w:pPr>
              <w:spacing w:after="0" w:line="240" w:lineRule="auto"/>
              <w:jc w:val="center"/>
            </w:pPr>
          </w:p>
          <w:p w:rsidR="006E65C5" w:rsidRDefault="006E65C5" w:rsidP="009270ED">
            <w:pPr>
              <w:spacing w:after="0" w:line="240" w:lineRule="auto"/>
              <w:jc w:val="center"/>
            </w:pPr>
          </w:p>
          <w:p w:rsidR="006E65C5" w:rsidRPr="00603CC4" w:rsidRDefault="006E65C5" w:rsidP="009270ED">
            <w:pPr>
              <w:spacing w:after="0" w:line="240" w:lineRule="auto"/>
              <w:jc w:val="center"/>
            </w:pPr>
            <w:r w:rsidRPr="00603CC4">
              <w:t>O</w:t>
            </w:r>
            <w:r>
              <w:t>:</w:t>
            </w:r>
            <w:r w:rsidRPr="00603CC4">
              <w:t>9</w:t>
            </w:r>
          </w:p>
          <w:p w:rsidR="006E65C5" w:rsidRDefault="006E65C5" w:rsidP="009270ED">
            <w:pPr>
              <w:spacing w:after="0" w:line="240" w:lineRule="auto"/>
              <w:jc w:val="center"/>
            </w:pPr>
          </w:p>
          <w:p w:rsidR="006E65C5" w:rsidRDefault="006E65C5" w:rsidP="009270ED">
            <w:pPr>
              <w:spacing w:after="0" w:line="240" w:lineRule="auto"/>
              <w:jc w:val="center"/>
            </w:pPr>
          </w:p>
          <w:p w:rsidR="006E65C5" w:rsidRDefault="006E65C5" w:rsidP="009270ED">
            <w:pPr>
              <w:spacing w:after="0" w:line="240" w:lineRule="auto"/>
              <w:jc w:val="center"/>
            </w:pPr>
          </w:p>
          <w:p w:rsidR="006E65C5" w:rsidRDefault="006E65C5" w:rsidP="009270ED">
            <w:pPr>
              <w:spacing w:after="0" w:line="240" w:lineRule="auto"/>
              <w:jc w:val="center"/>
            </w:pPr>
          </w:p>
          <w:p w:rsidR="006E65C5" w:rsidRDefault="006E65C5" w:rsidP="009270ED">
            <w:pPr>
              <w:spacing w:after="0" w:line="240" w:lineRule="auto"/>
              <w:jc w:val="center"/>
            </w:pPr>
          </w:p>
          <w:p w:rsidR="006E65C5" w:rsidRDefault="006E65C5" w:rsidP="009270ED">
            <w:pPr>
              <w:spacing w:after="0" w:line="240" w:lineRule="auto"/>
              <w:jc w:val="center"/>
            </w:pPr>
          </w:p>
          <w:p w:rsidR="006E65C5" w:rsidRDefault="006E65C5" w:rsidP="009270ED">
            <w:pPr>
              <w:spacing w:after="0" w:line="240" w:lineRule="auto"/>
              <w:jc w:val="center"/>
            </w:pPr>
          </w:p>
          <w:p w:rsidR="006E65C5" w:rsidRDefault="006E65C5" w:rsidP="009270ED">
            <w:pPr>
              <w:spacing w:after="0" w:line="240" w:lineRule="auto"/>
              <w:jc w:val="center"/>
            </w:pPr>
          </w:p>
          <w:p w:rsidR="006E65C5" w:rsidRDefault="006E65C5" w:rsidP="009270ED">
            <w:pPr>
              <w:spacing w:after="0" w:line="240" w:lineRule="auto"/>
              <w:jc w:val="center"/>
            </w:pPr>
          </w:p>
          <w:p w:rsidR="006E65C5" w:rsidRDefault="006E65C5" w:rsidP="009270ED">
            <w:pPr>
              <w:spacing w:after="0" w:line="240" w:lineRule="auto"/>
              <w:jc w:val="center"/>
            </w:pPr>
          </w:p>
          <w:p w:rsidR="006E65C5" w:rsidRDefault="006E65C5" w:rsidP="009270ED">
            <w:pPr>
              <w:spacing w:after="0" w:line="240" w:lineRule="auto"/>
              <w:jc w:val="center"/>
            </w:pPr>
          </w:p>
          <w:p w:rsidR="006E65C5" w:rsidRDefault="006E65C5" w:rsidP="009270ED">
            <w:pPr>
              <w:spacing w:after="0" w:line="240" w:lineRule="auto"/>
              <w:jc w:val="center"/>
            </w:pPr>
          </w:p>
          <w:p w:rsidR="006E65C5" w:rsidRDefault="006E65C5" w:rsidP="009270ED">
            <w:pPr>
              <w:spacing w:after="0" w:line="240" w:lineRule="auto"/>
              <w:jc w:val="center"/>
            </w:pPr>
          </w:p>
          <w:p w:rsidR="006E65C5" w:rsidRDefault="006E65C5" w:rsidP="009270ED">
            <w:pPr>
              <w:spacing w:after="0" w:line="240" w:lineRule="auto"/>
              <w:jc w:val="center"/>
            </w:pPr>
          </w:p>
          <w:p w:rsidR="006E65C5" w:rsidRDefault="006E65C5" w:rsidP="009270ED">
            <w:pPr>
              <w:spacing w:after="0" w:line="240" w:lineRule="auto"/>
              <w:jc w:val="center"/>
            </w:pPr>
          </w:p>
          <w:p w:rsidR="006E65C5" w:rsidRDefault="006E65C5" w:rsidP="009270ED">
            <w:pPr>
              <w:spacing w:after="0" w:line="240" w:lineRule="auto"/>
              <w:jc w:val="center"/>
            </w:pPr>
          </w:p>
          <w:p w:rsidR="006E65C5" w:rsidRPr="00603CC4" w:rsidRDefault="006E65C5" w:rsidP="00FA5311">
            <w:pPr>
              <w:spacing w:after="0" w:line="240" w:lineRule="auto"/>
              <w:ind w:left="-108" w:right="-79"/>
              <w:jc w:val="center"/>
            </w:pPr>
            <w:r w:rsidRPr="00603CC4">
              <w:t>O</w:t>
            </w:r>
            <w:r>
              <w:t>:</w:t>
            </w:r>
            <w:r w:rsidRPr="00603CC4">
              <w:t>10</w:t>
            </w:r>
          </w:p>
        </w:tc>
        <w:tc>
          <w:tcPr>
            <w:tcW w:w="6396" w:type="dxa"/>
            <w:shd w:val="clear" w:color="auto" w:fill="F2F2F2"/>
            <w:vAlign w:val="center"/>
          </w:tcPr>
          <w:p w:rsidR="006E65C5" w:rsidRPr="00EF5876" w:rsidRDefault="006E65C5" w:rsidP="00EF5876">
            <w:pPr>
              <w:pStyle w:val="Odsekzoznamu1"/>
              <w:tabs>
                <w:tab w:val="left" w:pos="709"/>
              </w:tabs>
              <w:spacing w:line="22" w:lineRule="atLeast"/>
              <w:ind w:left="0" w:firstLine="284"/>
              <w:rPr>
                <w:rFonts w:ascii="Calibri" w:hAnsi="Calibri" w:cs="Calibri"/>
                <w:sz w:val="22"/>
                <w:szCs w:val="22"/>
              </w:rPr>
            </w:pPr>
            <w:r w:rsidRPr="00EF5876">
              <w:rPr>
                <w:rFonts w:ascii="Calibri" w:hAnsi="Calibri" w:cs="Calibri"/>
                <w:sz w:val="22"/>
                <w:szCs w:val="22"/>
              </w:rPr>
              <w:lastRenderedPageBreak/>
              <w:t>(8) Údaje o dodržaní určených emisných limitov v odpadových plynoch z občasného stredne veľkého spaľovacieho zariadenie sa zisťujú periodickým meraním najmenej jeden krát za päť rokov, ak kratší interval nie je určený v povolení, vždy však po uplynutí nasledujúceho počtu prevádzkových hodín:</w:t>
            </w:r>
          </w:p>
          <w:p w:rsidR="006E65C5" w:rsidRPr="00EF5876" w:rsidRDefault="006E65C5" w:rsidP="00215280">
            <w:pPr>
              <w:keepNext/>
              <w:numPr>
                <w:ilvl w:val="0"/>
                <w:numId w:val="5"/>
              </w:numPr>
              <w:spacing w:after="60" w:line="22" w:lineRule="atLeast"/>
              <w:ind w:left="360"/>
              <w:jc w:val="both"/>
            </w:pPr>
            <w:r w:rsidRPr="00EF5876">
              <w:t>trojnásobok maximálneho priemerného počtu prevádzkových hodín za rok podľa odsekov 9 a 10, ak ide o občasné spaľovacie zariadenie, ktorého celkový menovitý tepelný príkon sa rovná alebo je väčší ako 1 MW a menší alebo sa rovná 20 MW,</w:t>
            </w:r>
          </w:p>
          <w:p w:rsidR="006E65C5" w:rsidRPr="00EF5876" w:rsidRDefault="006E65C5" w:rsidP="00215280">
            <w:pPr>
              <w:keepNext/>
              <w:numPr>
                <w:ilvl w:val="0"/>
                <w:numId w:val="5"/>
              </w:numPr>
              <w:spacing w:after="60" w:line="22" w:lineRule="atLeast"/>
              <w:ind w:left="360"/>
              <w:jc w:val="both"/>
            </w:pPr>
            <w:r w:rsidRPr="00EF5876">
              <w:t>maximálny priemerný počet prevádzkových hodín za rok podľa odsekov 9 a 10, ak ide o občasné spaľovacie zariadenie, ktorého celkový menovitý tepelný príkon je väčší ako 20 MW a menší ako 50 MW</w:t>
            </w:r>
          </w:p>
          <w:p w:rsidR="006E65C5" w:rsidRPr="00EF5876" w:rsidRDefault="006E65C5" w:rsidP="00603CC4">
            <w:pPr>
              <w:spacing w:after="0" w:line="22" w:lineRule="atLeast"/>
              <w:rPr>
                <w:i/>
                <w:iCs/>
              </w:rPr>
            </w:pPr>
            <w:r w:rsidRPr="00EF5876">
              <w:rPr>
                <w:i/>
                <w:iCs/>
              </w:rPr>
              <w:t>podľa článku 3 bodu 6 a článku 6 ods. 3 smernice MCP:</w:t>
            </w:r>
          </w:p>
          <w:p w:rsidR="006E65C5" w:rsidRPr="00EF5876" w:rsidRDefault="006E65C5" w:rsidP="00603CC4">
            <w:pPr>
              <w:tabs>
                <w:tab w:val="left" w:pos="709"/>
              </w:tabs>
              <w:spacing w:before="240" w:after="0" w:line="22" w:lineRule="atLeast"/>
            </w:pPr>
            <w:r w:rsidRPr="00EF5876">
              <w:t xml:space="preserve">(9) Ak ide o občasné stredne veľké spaľovacie zariadenie, ktoré je uvedené do prevádzky pred 20. decembrom 2018, alebo pre ktoré bolo vydané povolenie pred 19. decembrom 2017 pod podmienkou, že zariadenie začne prevádzku najneskôr 20. decembra 2018 (ďalej </w:t>
            </w:r>
            <w:r w:rsidRPr="00EF5876">
              <w:lastRenderedPageBreak/>
              <w:t>len „jestvujúce stredne veľké spaľovacie zariadenie“), interval periodického merania podľa odseku 8 platí pre také  jestvujúce občasné stredne veľké spaľovacie zariadenie, ktorého čas prevádzky, ako kĺzavý priemer počas obdobia piatich rokov neprekračuje</w:t>
            </w:r>
          </w:p>
          <w:p w:rsidR="006E65C5" w:rsidRPr="00EF5876" w:rsidRDefault="006E65C5" w:rsidP="00603CC4">
            <w:pPr>
              <w:spacing w:after="0" w:line="22" w:lineRule="atLeast"/>
            </w:pPr>
            <w:r w:rsidRPr="00EF5876">
              <w:t xml:space="preserve">a)  500 prevádzkových hodín ročne, alebo </w:t>
            </w:r>
          </w:p>
          <w:p w:rsidR="006E65C5" w:rsidRPr="00EF5876" w:rsidRDefault="006E65C5" w:rsidP="00603CC4">
            <w:pPr>
              <w:spacing w:after="0" w:line="22" w:lineRule="atLeast"/>
            </w:pPr>
            <w:r w:rsidRPr="00EF5876">
              <w:t xml:space="preserve">b)  1 000 prevádzkových hodín, ak v prípadoch núdze alebo mimoriadnych okolností ide o </w:t>
            </w:r>
          </w:p>
          <w:p w:rsidR="006E65C5" w:rsidRPr="00EF5876" w:rsidRDefault="006E65C5" w:rsidP="00215280">
            <w:pPr>
              <w:numPr>
                <w:ilvl w:val="0"/>
                <w:numId w:val="2"/>
              </w:numPr>
              <w:spacing w:after="0" w:line="22" w:lineRule="atLeast"/>
              <w:ind w:left="360"/>
              <w:jc w:val="both"/>
            </w:pPr>
            <w:r w:rsidRPr="00EF5876">
              <w:t>záložnú výrobu elektrickej energie na prepojených ostrovoch v prípade prerušenia hlavnej dodávky elektriny na ostrov, alebo</w:t>
            </w:r>
          </w:p>
          <w:p w:rsidR="006E65C5" w:rsidRPr="00EF5876" w:rsidRDefault="006E65C5" w:rsidP="00215280">
            <w:pPr>
              <w:numPr>
                <w:ilvl w:val="0"/>
                <w:numId w:val="2"/>
              </w:numPr>
              <w:spacing w:after="0" w:line="22" w:lineRule="atLeast"/>
              <w:ind w:left="360"/>
              <w:jc w:val="both"/>
            </w:pPr>
            <w:r w:rsidRPr="00EF5876">
              <w:t>občasné spaľovacie zariadenia používané na výrobu tepla v prípade výnimočne chladného počasia.</w:t>
            </w:r>
          </w:p>
          <w:p w:rsidR="006E65C5" w:rsidRPr="00EF5876" w:rsidRDefault="006E65C5" w:rsidP="00603CC4">
            <w:pPr>
              <w:spacing w:after="0" w:line="240" w:lineRule="auto"/>
            </w:pPr>
          </w:p>
          <w:p w:rsidR="006E65C5" w:rsidRPr="00EF5876" w:rsidRDefault="006E65C5" w:rsidP="00603CC4">
            <w:pPr>
              <w:spacing w:after="0" w:line="22" w:lineRule="atLeast"/>
              <w:rPr>
                <w:i/>
                <w:iCs/>
              </w:rPr>
            </w:pPr>
            <w:r w:rsidRPr="00EF5876">
              <w:rPr>
                <w:i/>
                <w:iCs/>
              </w:rPr>
              <w:t>podľa článku 3 bodu 7 a článku 6 ods. 8 smernice MCP:</w:t>
            </w:r>
          </w:p>
          <w:p w:rsidR="006E65C5" w:rsidRPr="00EF5876" w:rsidRDefault="006E65C5" w:rsidP="00603CC4">
            <w:pPr>
              <w:tabs>
                <w:tab w:val="left" w:pos="709"/>
              </w:tabs>
              <w:spacing w:before="240" w:after="0" w:line="22" w:lineRule="atLeast"/>
            </w:pPr>
            <w:r w:rsidRPr="00EF5876">
              <w:t>(10) Ak ide o občasné stredne veľké spaľovacie zariadenie povolené alebo uvedené do prevádzky po lehotách podľa odseku 9 (ďalej len „nové stredne veľké spaľovacie zariadenie“), interval periodického merania podľa odseku 8 platí pre také nové občasné stredne veľké spaľovacie zariadenie, ktorého čas prevádzky, ako kĺzavý priemer počas obdobia troch rokov neprekračuje 500 prevádzkových hodín ročne.</w:t>
            </w:r>
          </w:p>
        </w:tc>
        <w:tc>
          <w:tcPr>
            <w:tcW w:w="508" w:type="dxa"/>
            <w:tcBorders>
              <w:top w:val="nil"/>
              <w:bottom w:val="nil"/>
            </w:tcBorders>
            <w:vAlign w:val="center"/>
          </w:tcPr>
          <w:p w:rsidR="006E65C5" w:rsidRPr="00603CC4" w:rsidRDefault="006E65C5" w:rsidP="00603CC4">
            <w:pPr>
              <w:spacing w:after="0" w:line="240" w:lineRule="auto"/>
            </w:pPr>
            <w:r>
              <w:lastRenderedPageBreak/>
              <w:t>Ú</w:t>
            </w:r>
          </w:p>
        </w:tc>
        <w:tc>
          <w:tcPr>
            <w:tcW w:w="508" w:type="dxa"/>
            <w:tcBorders>
              <w:top w:val="nil"/>
              <w:bottom w:val="nil"/>
            </w:tcBorders>
            <w:vAlign w:val="center"/>
          </w:tcPr>
          <w:p w:rsidR="006E65C5" w:rsidRPr="00603CC4" w:rsidRDefault="006E65C5" w:rsidP="00603CC4">
            <w:pPr>
              <w:spacing w:after="0" w:line="240" w:lineRule="auto"/>
            </w:pPr>
          </w:p>
        </w:tc>
      </w:tr>
      <w:tr w:rsidR="006E65C5" w:rsidRPr="00603CC4" w:rsidTr="00EF5876">
        <w:tc>
          <w:tcPr>
            <w:tcW w:w="709" w:type="dxa"/>
            <w:tcBorders>
              <w:top w:val="nil"/>
              <w:bottom w:val="nil"/>
            </w:tcBorders>
            <w:vAlign w:val="center"/>
          </w:tcPr>
          <w:p w:rsidR="006E65C5" w:rsidRPr="00603CC4" w:rsidRDefault="006E65C5" w:rsidP="00603CC4">
            <w:pPr>
              <w:spacing w:after="0" w:line="240" w:lineRule="auto"/>
              <w:jc w:val="center"/>
            </w:pPr>
            <w:r w:rsidRPr="00603CC4">
              <w:lastRenderedPageBreak/>
              <w:t>O 3</w:t>
            </w:r>
          </w:p>
        </w:tc>
        <w:tc>
          <w:tcPr>
            <w:tcW w:w="5771" w:type="dxa"/>
            <w:shd w:val="clear" w:color="auto" w:fill="F2F2F2"/>
            <w:vAlign w:val="center"/>
          </w:tcPr>
          <w:p w:rsidR="006E65C5" w:rsidRPr="00603CC4" w:rsidRDefault="006E65C5" w:rsidP="00603CC4">
            <w:pPr>
              <w:spacing w:before="120" w:after="0" w:line="240" w:lineRule="auto"/>
              <w:jc w:val="both"/>
            </w:pPr>
            <w:r w:rsidRPr="00603CC4">
              <w:t xml:space="preserve">3. Merania sa vyžadujú iba v prípade: </w:t>
            </w:r>
          </w:p>
          <w:p w:rsidR="006E65C5" w:rsidRPr="00603CC4" w:rsidRDefault="006E65C5" w:rsidP="00603CC4">
            <w:pPr>
              <w:spacing w:before="120" w:after="0" w:line="240" w:lineRule="auto"/>
              <w:jc w:val="both"/>
            </w:pPr>
            <w:r w:rsidRPr="00603CC4">
              <w:t xml:space="preserve">a) znečisťujúcich látok, pre ktoré je stanovený emisný limit v tejto smernici pre príslušné zariadenie; </w:t>
            </w:r>
          </w:p>
          <w:p w:rsidR="006E65C5" w:rsidRPr="00603CC4" w:rsidRDefault="006E65C5" w:rsidP="00603CC4">
            <w:pPr>
              <w:spacing w:before="120" w:after="0" w:line="240" w:lineRule="auto"/>
              <w:jc w:val="both"/>
            </w:pPr>
            <w:r w:rsidRPr="00603CC4">
              <w:t>b) CO v prípade všetkých zariadení.</w:t>
            </w:r>
          </w:p>
        </w:tc>
        <w:tc>
          <w:tcPr>
            <w:tcW w:w="397" w:type="dxa"/>
            <w:shd w:val="clear" w:color="auto" w:fill="F2F2F2"/>
            <w:vAlign w:val="center"/>
          </w:tcPr>
          <w:p w:rsidR="006E65C5" w:rsidRPr="00603CC4" w:rsidRDefault="006E65C5" w:rsidP="00603CC4">
            <w:pPr>
              <w:spacing w:after="0" w:line="240" w:lineRule="auto"/>
            </w:pPr>
            <w:r>
              <w:t>N</w:t>
            </w:r>
          </w:p>
        </w:tc>
        <w:tc>
          <w:tcPr>
            <w:tcW w:w="708" w:type="dxa"/>
            <w:shd w:val="clear" w:color="auto" w:fill="F2F2F2"/>
            <w:vAlign w:val="center"/>
          </w:tcPr>
          <w:p w:rsidR="006E65C5" w:rsidRPr="00603CC4" w:rsidRDefault="006E65C5" w:rsidP="00603CC4">
            <w:pPr>
              <w:spacing w:after="0" w:line="240" w:lineRule="auto"/>
            </w:pPr>
            <w:r w:rsidRPr="00603CC4">
              <w:t>N411</w:t>
            </w:r>
          </w:p>
        </w:tc>
        <w:tc>
          <w:tcPr>
            <w:tcW w:w="596" w:type="dxa"/>
            <w:shd w:val="clear" w:color="auto" w:fill="F2F2F2"/>
            <w:vAlign w:val="center"/>
          </w:tcPr>
          <w:p w:rsidR="006E65C5" w:rsidRPr="00603CC4" w:rsidRDefault="006E65C5" w:rsidP="00603CC4">
            <w:pPr>
              <w:spacing w:after="0" w:line="240" w:lineRule="auto"/>
            </w:pPr>
            <w:r w:rsidRPr="00603CC4">
              <w:t>§</w:t>
            </w:r>
            <w:r>
              <w:t>:</w:t>
            </w:r>
            <w:r w:rsidRPr="00603CC4">
              <w:t>9</w:t>
            </w:r>
          </w:p>
          <w:p w:rsidR="006E65C5" w:rsidRPr="00603CC4" w:rsidRDefault="006E65C5" w:rsidP="00603CC4">
            <w:pPr>
              <w:spacing w:after="0" w:line="240" w:lineRule="auto"/>
            </w:pPr>
            <w:r w:rsidRPr="00603CC4">
              <w:t>O</w:t>
            </w:r>
            <w:r>
              <w:t>:</w:t>
            </w:r>
            <w:r w:rsidRPr="00603CC4">
              <w:t>5</w:t>
            </w:r>
          </w:p>
        </w:tc>
        <w:tc>
          <w:tcPr>
            <w:tcW w:w="6396" w:type="dxa"/>
            <w:shd w:val="clear" w:color="auto" w:fill="F2F2F2"/>
            <w:vAlign w:val="center"/>
          </w:tcPr>
          <w:p w:rsidR="006E65C5" w:rsidRPr="00EF5876" w:rsidRDefault="006E65C5" w:rsidP="00603CC4">
            <w:pPr>
              <w:tabs>
                <w:tab w:val="left" w:pos="567"/>
              </w:tabs>
              <w:spacing w:before="120" w:after="0" w:line="22" w:lineRule="atLeast"/>
            </w:pPr>
            <w:r w:rsidRPr="00EF5876">
              <w:t>(5)  </w:t>
            </w:r>
            <w:r w:rsidRPr="00EF5876">
              <w:rPr>
                <w:u w:val="single"/>
              </w:rPr>
              <w:t>Periodickým meraním</w:t>
            </w:r>
            <w:r w:rsidRPr="00EF5876">
              <w:t xml:space="preserve">, ak nie je ak nie je podľa § 26 ods. 1 alebo ods. 3 písm. b) alebo o)  zákona povolené jeho nahradenie technickým výpočtom podľa odseku 6, pre stredne veľké spaľovacie zariadenia povolený predĺžený interval podľa odseku 8, alebo pre prechodné obdobie ustanovené inak v § 16a, </w:t>
            </w:r>
            <w:r w:rsidRPr="00EF5876">
              <w:rPr>
                <w:u w:val="single"/>
              </w:rPr>
              <w:t xml:space="preserve">sa zisťujú údaje o dodržaní emisných limitov v odpadových plynoch pre znečisťujúce látky, pre ktoré je ustanovený alebo určený emisný limit (§ 20 ods. 1 písm. b) zákona) a pre oxid uhoľnatý pre všetky spaľovacie zariadenia, </w:t>
            </w:r>
            <w:r w:rsidRPr="00EF5876">
              <w:t xml:space="preserve">najmenej raz za </w:t>
            </w:r>
          </w:p>
        </w:tc>
        <w:tc>
          <w:tcPr>
            <w:tcW w:w="508" w:type="dxa"/>
            <w:tcBorders>
              <w:top w:val="nil"/>
              <w:bottom w:val="nil"/>
            </w:tcBorders>
            <w:vAlign w:val="center"/>
          </w:tcPr>
          <w:p w:rsidR="006E65C5" w:rsidRPr="00603CC4" w:rsidRDefault="006E65C5" w:rsidP="00603CC4">
            <w:pPr>
              <w:spacing w:after="0" w:line="240" w:lineRule="auto"/>
            </w:pPr>
            <w:r>
              <w:t>Ú</w:t>
            </w:r>
          </w:p>
        </w:tc>
        <w:tc>
          <w:tcPr>
            <w:tcW w:w="508" w:type="dxa"/>
            <w:tcBorders>
              <w:top w:val="nil"/>
              <w:bottom w:val="nil"/>
            </w:tcBorders>
            <w:vAlign w:val="center"/>
          </w:tcPr>
          <w:p w:rsidR="006E65C5" w:rsidRPr="00603CC4" w:rsidRDefault="006E65C5" w:rsidP="00603CC4">
            <w:pPr>
              <w:spacing w:after="0" w:line="240" w:lineRule="auto"/>
            </w:pPr>
          </w:p>
        </w:tc>
      </w:tr>
      <w:tr w:rsidR="006E65C5" w:rsidRPr="00603CC4" w:rsidTr="00EF5876">
        <w:tc>
          <w:tcPr>
            <w:tcW w:w="709" w:type="dxa"/>
            <w:tcBorders>
              <w:top w:val="nil"/>
              <w:bottom w:val="nil"/>
            </w:tcBorders>
            <w:vAlign w:val="center"/>
          </w:tcPr>
          <w:p w:rsidR="006E65C5" w:rsidRPr="00603CC4" w:rsidRDefault="006E65C5" w:rsidP="00603CC4">
            <w:pPr>
              <w:spacing w:after="0" w:line="240" w:lineRule="auto"/>
              <w:jc w:val="center"/>
            </w:pPr>
            <w:r w:rsidRPr="00603CC4">
              <w:t>O 4</w:t>
            </w:r>
          </w:p>
        </w:tc>
        <w:tc>
          <w:tcPr>
            <w:tcW w:w="5771" w:type="dxa"/>
            <w:shd w:val="clear" w:color="auto" w:fill="F2F2F2"/>
            <w:vAlign w:val="center"/>
          </w:tcPr>
          <w:p w:rsidR="006E65C5" w:rsidRPr="00603CC4" w:rsidRDefault="006E65C5" w:rsidP="00603CC4">
            <w:pPr>
              <w:spacing w:before="120" w:after="0" w:line="240" w:lineRule="auto"/>
              <w:jc w:val="both"/>
            </w:pPr>
            <w:r w:rsidRPr="00603CC4">
              <w:t>4. Prvé merania sa vykonajú do štyroch mesiacov po udelení povolenia alebo registrácii zariadenia alebo po dátume začatia prevádzky podľa toho, čo nastane neskôr.</w:t>
            </w:r>
          </w:p>
        </w:tc>
        <w:tc>
          <w:tcPr>
            <w:tcW w:w="397" w:type="dxa"/>
            <w:shd w:val="clear" w:color="auto" w:fill="F2F2F2"/>
            <w:vAlign w:val="center"/>
          </w:tcPr>
          <w:p w:rsidR="006E65C5" w:rsidRPr="00603CC4" w:rsidRDefault="006E65C5" w:rsidP="00603CC4">
            <w:pPr>
              <w:spacing w:after="0" w:line="240" w:lineRule="auto"/>
            </w:pPr>
            <w:r>
              <w:t>N</w:t>
            </w:r>
          </w:p>
        </w:tc>
        <w:tc>
          <w:tcPr>
            <w:tcW w:w="708" w:type="dxa"/>
            <w:shd w:val="clear" w:color="auto" w:fill="F2F2F2"/>
            <w:vAlign w:val="center"/>
          </w:tcPr>
          <w:p w:rsidR="006E65C5" w:rsidRPr="00603CC4" w:rsidRDefault="006E65C5" w:rsidP="00603CC4">
            <w:pPr>
              <w:spacing w:after="0" w:line="240" w:lineRule="auto"/>
            </w:pPr>
            <w:r w:rsidRPr="00603CC4">
              <w:t>N411</w:t>
            </w:r>
          </w:p>
        </w:tc>
        <w:tc>
          <w:tcPr>
            <w:tcW w:w="596" w:type="dxa"/>
            <w:shd w:val="clear" w:color="auto" w:fill="F2F2F2"/>
            <w:vAlign w:val="center"/>
          </w:tcPr>
          <w:p w:rsidR="006E65C5" w:rsidRPr="00603CC4" w:rsidRDefault="006E65C5" w:rsidP="00603CC4">
            <w:pPr>
              <w:spacing w:after="0" w:line="240" w:lineRule="auto"/>
            </w:pPr>
            <w:r w:rsidRPr="00603CC4">
              <w:t>§</w:t>
            </w:r>
            <w:r>
              <w:t>:</w:t>
            </w:r>
            <w:r w:rsidRPr="00603CC4">
              <w:t>9</w:t>
            </w:r>
          </w:p>
          <w:p w:rsidR="006E65C5" w:rsidRPr="00603CC4" w:rsidRDefault="006E65C5" w:rsidP="00FA5311">
            <w:pPr>
              <w:spacing w:after="0" w:line="240" w:lineRule="auto"/>
              <w:ind w:right="-79"/>
            </w:pPr>
            <w:r w:rsidRPr="00603CC4">
              <w:t>O</w:t>
            </w:r>
            <w:r>
              <w:t>:</w:t>
            </w:r>
            <w:r w:rsidRPr="00603CC4">
              <w:t>1</w:t>
            </w:r>
            <w:r>
              <w:t>1</w:t>
            </w:r>
          </w:p>
        </w:tc>
        <w:tc>
          <w:tcPr>
            <w:tcW w:w="6396" w:type="dxa"/>
            <w:shd w:val="clear" w:color="auto" w:fill="F2F2F2"/>
            <w:vAlign w:val="center"/>
          </w:tcPr>
          <w:p w:rsidR="006E65C5" w:rsidRPr="00EF5876" w:rsidRDefault="006E65C5" w:rsidP="007D65D8">
            <w:pPr>
              <w:spacing w:after="0" w:line="240" w:lineRule="auto"/>
              <w:jc w:val="both"/>
            </w:pPr>
            <w:r w:rsidRPr="00EF5876">
              <w:t xml:space="preserve">(11) Ak ide o uvádzanie nového stredne veľkého spaľovacieho zariadenia do prevádzky podľa  § 4 ods. 1 písm. a) alebo o uvádzanie stredne veľkého spaľovacieho zariadenia do prevádzky po jeho zmene podľa § 4 ods. 1 písm. b), prvé merania sa vykonajú do štyroch mesiacov po vydaní povolenia alebo po dátume začatia </w:t>
            </w:r>
            <w:r w:rsidRPr="00EF5876">
              <w:lastRenderedPageBreak/>
              <w:t>prevádzky podľa toho, čo nastane neskôr.</w:t>
            </w:r>
          </w:p>
        </w:tc>
        <w:tc>
          <w:tcPr>
            <w:tcW w:w="508" w:type="dxa"/>
            <w:tcBorders>
              <w:top w:val="nil"/>
              <w:bottom w:val="nil"/>
            </w:tcBorders>
            <w:vAlign w:val="center"/>
          </w:tcPr>
          <w:p w:rsidR="006E65C5" w:rsidRPr="00603CC4" w:rsidRDefault="006E65C5" w:rsidP="00603CC4">
            <w:pPr>
              <w:spacing w:after="0" w:line="240" w:lineRule="auto"/>
            </w:pPr>
            <w:r>
              <w:lastRenderedPageBreak/>
              <w:t>Ú</w:t>
            </w:r>
          </w:p>
        </w:tc>
        <w:tc>
          <w:tcPr>
            <w:tcW w:w="508" w:type="dxa"/>
            <w:tcBorders>
              <w:top w:val="nil"/>
              <w:bottom w:val="nil"/>
            </w:tcBorders>
            <w:vAlign w:val="center"/>
          </w:tcPr>
          <w:p w:rsidR="006E65C5" w:rsidRPr="00603CC4" w:rsidRDefault="006E65C5" w:rsidP="00603CC4">
            <w:pPr>
              <w:spacing w:after="0" w:line="240" w:lineRule="auto"/>
            </w:pPr>
          </w:p>
        </w:tc>
      </w:tr>
      <w:tr w:rsidR="006E65C5" w:rsidRPr="00603CC4" w:rsidTr="00EF5876">
        <w:tc>
          <w:tcPr>
            <w:tcW w:w="709" w:type="dxa"/>
            <w:tcBorders>
              <w:top w:val="nil"/>
              <w:bottom w:val="nil"/>
            </w:tcBorders>
            <w:vAlign w:val="center"/>
          </w:tcPr>
          <w:p w:rsidR="006E65C5" w:rsidRPr="00603CC4" w:rsidRDefault="006E65C5" w:rsidP="00603CC4">
            <w:pPr>
              <w:spacing w:after="0" w:line="240" w:lineRule="auto"/>
              <w:jc w:val="center"/>
            </w:pPr>
            <w:r w:rsidRPr="00603CC4">
              <w:lastRenderedPageBreak/>
              <w:t>O 5</w:t>
            </w:r>
          </w:p>
        </w:tc>
        <w:tc>
          <w:tcPr>
            <w:tcW w:w="5771" w:type="dxa"/>
            <w:shd w:val="clear" w:color="auto" w:fill="F2F2F2"/>
            <w:vAlign w:val="center"/>
          </w:tcPr>
          <w:p w:rsidR="006E65C5" w:rsidRPr="00603CC4" w:rsidRDefault="006E65C5" w:rsidP="00603CC4">
            <w:pPr>
              <w:spacing w:before="120" w:after="0" w:line="240" w:lineRule="auto"/>
              <w:jc w:val="both"/>
            </w:pPr>
            <w:r w:rsidRPr="00603CC4">
              <w:t>5. Ako alternatívu meraní uvedených v bodoch 1, 2 a v bode 3 písm. a) týkajúcich sa SO2 možno na určovanie emisií SO2 používať iné postupy, ktoré sú overené a schválené príslušným orgánom.</w:t>
            </w:r>
          </w:p>
        </w:tc>
        <w:tc>
          <w:tcPr>
            <w:tcW w:w="397" w:type="dxa"/>
            <w:shd w:val="clear" w:color="auto" w:fill="F2F2F2"/>
            <w:vAlign w:val="center"/>
          </w:tcPr>
          <w:p w:rsidR="006E65C5" w:rsidRPr="00603CC4" w:rsidRDefault="006E65C5" w:rsidP="00603CC4">
            <w:pPr>
              <w:spacing w:after="0" w:line="240" w:lineRule="auto"/>
            </w:pPr>
            <w:r>
              <w:t>O</w:t>
            </w:r>
          </w:p>
        </w:tc>
        <w:tc>
          <w:tcPr>
            <w:tcW w:w="708" w:type="dxa"/>
            <w:shd w:val="clear" w:color="auto" w:fill="F2F2F2"/>
            <w:vAlign w:val="center"/>
          </w:tcPr>
          <w:p w:rsidR="006E65C5" w:rsidRPr="00603CC4" w:rsidRDefault="006E65C5" w:rsidP="00603CC4">
            <w:pPr>
              <w:spacing w:after="0" w:line="240" w:lineRule="auto"/>
            </w:pPr>
            <w:r w:rsidRPr="00603CC4">
              <w:t>N411</w:t>
            </w:r>
          </w:p>
        </w:tc>
        <w:tc>
          <w:tcPr>
            <w:tcW w:w="596" w:type="dxa"/>
            <w:shd w:val="clear" w:color="auto" w:fill="F2F2F2"/>
            <w:vAlign w:val="center"/>
          </w:tcPr>
          <w:p w:rsidR="006E65C5" w:rsidRPr="00603CC4" w:rsidRDefault="006E65C5" w:rsidP="00603CC4">
            <w:pPr>
              <w:spacing w:after="0" w:line="240" w:lineRule="auto"/>
            </w:pPr>
            <w:r w:rsidRPr="00603CC4">
              <w:t>§</w:t>
            </w:r>
            <w:r>
              <w:t>:</w:t>
            </w:r>
            <w:r w:rsidRPr="00603CC4">
              <w:t>9</w:t>
            </w:r>
          </w:p>
          <w:p w:rsidR="006E65C5" w:rsidRPr="00603CC4" w:rsidRDefault="006E65C5" w:rsidP="00603CC4">
            <w:pPr>
              <w:spacing w:after="0" w:line="240" w:lineRule="auto"/>
            </w:pPr>
            <w:r w:rsidRPr="00603CC4">
              <w:t>O</w:t>
            </w:r>
            <w:r>
              <w:t>:</w:t>
            </w:r>
            <w:r w:rsidRPr="00603CC4">
              <w:t>6</w:t>
            </w:r>
          </w:p>
          <w:p w:rsidR="006E65C5" w:rsidRPr="00603CC4" w:rsidRDefault="006E65C5" w:rsidP="00603CC4">
            <w:pPr>
              <w:spacing w:after="0" w:line="240" w:lineRule="auto"/>
            </w:pPr>
            <w:r w:rsidRPr="00603CC4">
              <w:t>P</w:t>
            </w:r>
            <w:r>
              <w:t>:</w:t>
            </w:r>
            <w:r w:rsidRPr="00603CC4">
              <w:t>a</w:t>
            </w:r>
          </w:p>
        </w:tc>
        <w:tc>
          <w:tcPr>
            <w:tcW w:w="6396" w:type="dxa"/>
            <w:shd w:val="clear" w:color="auto" w:fill="F2F2F2"/>
            <w:vAlign w:val="center"/>
          </w:tcPr>
          <w:p w:rsidR="006E65C5" w:rsidRPr="00EF5876" w:rsidRDefault="006E65C5" w:rsidP="00603CC4">
            <w:pPr>
              <w:tabs>
                <w:tab w:val="left" w:pos="567"/>
              </w:tabs>
              <w:spacing w:before="240" w:after="0" w:line="22" w:lineRule="atLeast"/>
            </w:pPr>
            <w:r w:rsidRPr="00EF5876">
              <w:t>(6) Periodické meranie údajov o dodržaní emisného limitu možno nahradiť odborne posúdeným a schváleným technickým výpočtom, ak sa  preukáže, že  najvyššia hodnota emisnej veličiny počas ustálenej prevádzky v súlade s povolením vrátane prihliadnutia na predpoklady podľa § 8 ods. 8 nemôže byť za žiadnych okolností vyššia, ako hodnota určeného emisného limitu, ak ide o</w:t>
            </w:r>
          </w:p>
          <w:p w:rsidR="006E65C5" w:rsidRPr="00EF5876" w:rsidRDefault="006E65C5" w:rsidP="00215280">
            <w:pPr>
              <w:keepNext/>
              <w:numPr>
                <w:ilvl w:val="0"/>
                <w:numId w:val="3"/>
              </w:numPr>
              <w:spacing w:before="60" w:after="60" w:line="22" w:lineRule="atLeast"/>
            </w:pPr>
            <w:r w:rsidRPr="00EF5876">
              <w:rPr>
                <w:u w:val="single"/>
              </w:rPr>
              <w:t>oxid siričitý a stredne veľké spaľovacie zariadenie</w:t>
            </w:r>
            <w:r w:rsidRPr="00EF5876">
              <w:t xml:space="preserve"> alebo spaľovacie zariadenie s celkovým menovitým tepelným príkonom menším ako 1 MW,</w:t>
            </w:r>
          </w:p>
        </w:tc>
        <w:tc>
          <w:tcPr>
            <w:tcW w:w="508" w:type="dxa"/>
            <w:tcBorders>
              <w:top w:val="nil"/>
              <w:bottom w:val="nil"/>
            </w:tcBorders>
            <w:vAlign w:val="center"/>
          </w:tcPr>
          <w:p w:rsidR="006E65C5" w:rsidRPr="00603CC4" w:rsidRDefault="006E65C5" w:rsidP="00603CC4">
            <w:pPr>
              <w:spacing w:after="0" w:line="240" w:lineRule="auto"/>
            </w:pPr>
            <w:r>
              <w:t>Ú</w:t>
            </w:r>
          </w:p>
        </w:tc>
        <w:tc>
          <w:tcPr>
            <w:tcW w:w="508" w:type="dxa"/>
            <w:tcBorders>
              <w:top w:val="nil"/>
              <w:bottom w:val="nil"/>
            </w:tcBorders>
            <w:vAlign w:val="center"/>
          </w:tcPr>
          <w:p w:rsidR="006E65C5" w:rsidRPr="00603CC4" w:rsidRDefault="006E65C5" w:rsidP="00603CC4">
            <w:pPr>
              <w:spacing w:after="0" w:line="240" w:lineRule="auto"/>
            </w:pPr>
          </w:p>
        </w:tc>
      </w:tr>
      <w:tr w:rsidR="006E65C5" w:rsidRPr="00603CC4" w:rsidTr="00EF5876">
        <w:tc>
          <w:tcPr>
            <w:tcW w:w="709" w:type="dxa"/>
            <w:tcBorders>
              <w:top w:val="nil"/>
              <w:bottom w:val="nil"/>
            </w:tcBorders>
            <w:vAlign w:val="center"/>
          </w:tcPr>
          <w:p w:rsidR="006E65C5" w:rsidRPr="00603CC4" w:rsidRDefault="006E65C5" w:rsidP="00603CC4">
            <w:pPr>
              <w:spacing w:after="0" w:line="240" w:lineRule="auto"/>
              <w:jc w:val="center"/>
            </w:pPr>
            <w:r w:rsidRPr="00603CC4">
              <w:t>O 6</w:t>
            </w:r>
          </w:p>
        </w:tc>
        <w:tc>
          <w:tcPr>
            <w:tcW w:w="5771" w:type="dxa"/>
            <w:shd w:val="clear" w:color="auto" w:fill="F2F2F2"/>
            <w:vAlign w:val="center"/>
          </w:tcPr>
          <w:p w:rsidR="006E65C5" w:rsidRPr="00603CC4" w:rsidRDefault="006E65C5" w:rsidP="00603CC4">
            <w:pPr>
              <w:spacing w:before="120" w:after="0" w:line="240" w:lineRule="auto"/>
              <w:jc w:val="both"/>
            </w:pPr>
            <w:r w:rsidRPr="00603CC4">
              <w:t>6. Členské štáty môžu ako alternatívu k pravidelným meraniam uvedeným v bode 1 vyžadovať kontinuálne merania. V prípade kontinuálnych meraní podliehajú automatizované systémy merania kontrole prostredníctvom paralelných meraní referenčnými metódami najmenej raz ročne a prevádzkovateľ o výsledkoch týchto kontrol informuje príslušný orgán.</w:t>
            </w:r>
          </w:p>
        </w:tc>
        <w:tc>
          <w:tcPr>
            <w:tcW w:w="397" w:type="dxa"/>
            <w:shd w:val="clear" w:color="auto" w:fill="F2F2F2"/>
            <w:vAlign w:val="center"/>
          </w:tcPr>
          <w:p w:rsidR="006E65C5" w:rsidRPr="00603CC4" w:rsidRDefault="006E65C5" w:rsidP="00603CC4">
            <w:pPr>
              <w:spacing w:after="0" w:line="240" w:lineRule="auto"/>
            </w:pPr>
            <w:r>
              <w:t>O</w:t>
            </w:r>
          </w:p>
        </w:tc>
        <w:tc>
          <w:tcPr>
            <w:tcW w:w="708" w:type="dxa"/>
            <w:shd w:val="clear" w:color="auto" w:fill="F2F2F2"/>
            <w:vAlign w:val="center"/>
          </w:tcPr>
          <w:p w:rsidR="006E65C5" w:rsidRPr="00603CC4" w:rsidRDefault="006E65C5" w:rsidP="00603CC4">
            <w:pPr>
              <w:spacing w:after="0" w:line="240" w:lineRule="auto"/>
            </w:pPr>
            <w:r w:rsidRPr="00603CC4">
              <w:t>N411</w:t>
            </w:r>
          </w:p>
        </w:tc>
        <w:tc>
          <w:tcPr>
            <w:tcW w:w="596" w:type="dxa"/>
            <w:shd w:val="clear" w:color="auto" w:fill="F2F2F2"/>
            <w:vAlign w:val="center"/>
          </w:tcPr>
          <w:p w:rsidR="006E65C5" w:rsidRPr="00603CC4" w:rsidRDefault="006E65C5" w:rsidP="00603CC4">
            <w:pPr>
              <w:spacing w:after="0" w:line="240" w:lineRule="auto"/>
            </w:pPr>
            <w:r w:rsidRPr="00603CC4">
              <w:t>§</w:t>
            </w:r>
            <w:r>
              <w:t>:</w:t>
            </w:r>
            <w:r w:rsidRPr="00603CC4">
              <w:t>9</w:t>
            </w:r>
          </w:p>
          <w:p w:rsidR="006E65C5" w:rsidRPr="00603CC4" w:rsidRDefault="006E65C5" w:rsidP="00FA5311">
            <w:pPr>
              <w:spacing w:after="0" w:line="240" w:lineRule="auto"/>
              <w:ind w:right="-79"/>
            </w:pPr>
            <w:r w:rsidRPr="00603CC4">
              <w:t>O</w:t>
            </w:r>
            <w:r>
              <w:t>:</w:t>
            </w:r>
            <w:r w:rsidRPr="00603CC4">
              <w:t>13</w:t>
            </w:r>
          </w:p>
        </w:tc>
        <w:tc>
          <w:tcPr>
            <w:tcW w:w="6396" w:type="dxa"/>
            <w:shd w:val="clear" w:color="auto" w:fill="F2F2F2"/>
            <w:vAlign w:val="center"/>
          </w:tcPr>
          <w:p w:rsidR="006E65C5" w:rsidRPr="00EF5876" w:rsidRDefault="006E65C5" w:rsidP="00603CC4">
            <w:pPr>
              <w:tabs>
                <w:tab w:val="left" w:pos="567"/>
              </w:tabs>
              <w:spacing w:before="240" w:after="0" w:line="22" w:lineRule="atLeast"/>
            </w:pPr>
            <w:r w:rsidRPr="00EF5876">
              <w:t>(13) Zisťovať údaje o dodržaní určeného emisného limitu a množstva emisie kontinuálnym meraním môže prevádzkovateľ spaľovacieho zariadenia, aj keď to odsek 1 neustanovuje; podmienkou je preukázanie splnenia požiadaviek na automatizovaný merací systém emisií podľa odseku 4, § 2 ods. 7 až 10, § 3 ods. 3 a ods. 4 písm. c), § 7 ods. 2 až 8 a jeho kontrola podľa § 14 vrátane kontroly prostredníctvom paralelných meraní referenčnými metódami najmenej raz ročne a predloženia správy podľa § 4 ods. 8 a 9.</w:t>
            </w:r>
          </w:p>
        </w:tc>
        <w:tc>
          <w:tcPr>
            <w:tcW w:w="508" w:type="dxa"/>
            <w:tcBorders>
              <w:top w:val="nil"/>
              <w:bottom w:val="nil"/>
            </w:tcBorders>
            <w:vAlign w:val="center"/>
          </w:tcPr>
          <w:p w:rsidR="006E65C5" w:rsidRPr="00603CC4" w:rsidRDefault="006E65C5" w:rsidP="00603CC4">
            <w:pPr>
              <w:spacing w:after="0" w:line="240" w:lineRule="auto"/>
            </w:pPr>
            <w:r>
              <w:t>Ú</w:t>
            </w:r>
          </w:p>
        </w:tc>
        <w:tc>
          <w:tcPr>
            <w:tcW w:w="508" w:type="dxa"/>
            <w:tcBorders>
              <w:top w:val="nil"/>
              <w:bottom w:val="nil"/>
            </w:tcBorders>
            <w:vAlign w:val="center"/>
          </w:tcPr>
          <w:p w:rsidR="006E65C5" w:rsidRPr="00603CC4" w:rsidRDefault="006E65C5" w:rsidP="00603CC4">
            <w:pPr>
              <w:spacing w:after="0" w:line="240" w:lineRule="auto"/>
            </w:pPr>
          </w:p>
        </w:tc>
      </w:tr>
      <w:tr w:rsidR="006E65C5" w:rsidRPr="00603CC4" w:rsidTr="00EF5876">
        <w:tc>
          <w:tcPr>
            <w:tcW w:w="709" w:type="dxa"/>
            <w:tcBorders>
              <w:top w:val="nil"/>
              <w:bottom w:val="nil"/>
            </w:tcBorders>
            <w:vAlign w:val="center"/>
          </w:tcPr>
          <w:p w:rsidR="006E65C5" w:rsidRPr="00603CC4" w:rsidRDefault="006E65C5" w:rsidP="00603CC4">
            <w:pPr>
              <w:spacing w:after="0" w:line="240" w:lineRule="auto"/>
              <w:jc w:val="center"/>
            </w:pPr>
            <w:r w:rsidRPr="00603CC4">
              <w:t>O 7</w:t>
            </w:r>
          </w:p>
        </w:tc>
        <w:tc>
          <w:tcPr>
            <w:tcW w:w="5771" w:type="dxa"/>
            <w:shd w:val="clear" w:color="auto" w:fill="F2F2F2"/>
          </w:tcPr>
          <w:p w:rsidR="006E65C5" w:rsidRDefault="006E65C5" w:rsidP="00603CC4">
            <w:pPr>
              <w:spacing w:before="120" w:after="0" w:line="240" w:lineRule="auto"/>
              <w:jc w:val="both"/>
            </w:pPr>
            <w:r w:rsidRPr="00603CC4">
              <w:t xml:space="preserve">7. Odbery vzoriek a analýza znečisťujúcich látok a merania prevádzkových parametrov, ako aj prípadné alternatívne merania, ako sa uvádza v bodoch 5 a 6, sú založené na metódach umožňujúcich spoľahlivé, reprezentatívne a porovnateľné výsledky. </w:t>
            </w:r>
          </w:p>
          <w:p w:rsidR="006E65C5" w:rsidRPr="00603CC4" w:rsidRDefault="006E65C5" w:rsidP="00603CC4">
            <w:pPr>
              <w:spacing w:before="120" w:after="0" w:line="240" w:lineRule="auto"/>
              <w:jc w:val="both"/>
            </w:pPr>
            <w:r w:rsidRPr="00603CC4">
              <w:t xml:space="preserve">Predpokladá sa, že túto požiadavku spĺňajú metódy, ktoré sú v súlade s harmonizovanými normami EN. </w:t>
            </w:r>
          </w:p>
          <w:p w:rsidR="006E65C5" w:rsidRPr="00603CC4" w:rsidRDefault="006E65C5" w:rsidP="00603CC4">
            <w:pPr>
              <w:spacing w:before="120" w:after="0" w:line="240" w:lineRule="auto"/>
              <w:jc w:val="both"/>
            </w:pPr>
            <w:r w:rsidRPr="00603CC4">
              <w:t xml:space="preserve">Počas každého merania musí zariadenie fungovať v stabilných podmienkach a byť zaťažené reprezentatívne a rovnomerne. </w:t>
            </w:r>
          </w:p>
          <w:p w:rsidR="006E65C5" w:rsidRPr="00603CC4" w:rsidRDefault="006E65C5" w:rsidP="00603CC4">
            <w:pPr>
              <w:spacing w:before="120" w:after="0" w:line="240" w:lineRule="auto"/>
              <w:jc w:val="both"/>
            </w:pPr>
            <w:r w:rsidRPr="00603CC4">
              <w:t>V tejto súvislosti sa doba nábehu a odstavovania nezapočítavajú.</w:t>
            </w:r>
          </w:p>
        </w:tc>
        <w:tc>
          <w:tcPr>
            <w:tcW w:w="397" w:type="dxa"/>
            <w:shd w:val="clear" w:color="auto" w:fill="F2F2F2"/>
          </w:tcPr>
          <w:p w:rsidR="006E65C5" w:rsidRDefault="006E65C5" w:rsidP="00603CC4">
            <w:pPr>
              <w:spacing w:after="0" w:line="240" w:lineRule="auto"/>
            </w:pPr>
          </w:p>
          <w:p w:rsidR="006E65C5" w:rsidRDefault="006E65C5" w:rsidP="00603CC4">
            <w:pPr>
              <w:spacing w:after="0" w:line="240" w:lineRule="auto"/>
            </w:pPr>
          </w:p>
          <w:p w:rsidR="006E65C5" w:rsidRDefault="006E65C5" w:rsidP="00603CC4">
            <w:pPr>
              <w:spacing w:after="0" w:line="240" w:lineRule="auto"/>
            </w:pPr>
          </w:p>
          <w:p w:rsidR="006E65C5" w:rsidRDefault="006E65C5" w:rsidP="00603CC4">
            <w:pPr>
              <w:spacing w:after="0" w:line="240" w:lineRule="auto"/>
            </w:pPr>
          </w:p>
          <w:p w:rsidR="006E65C5" w:rsidRDefault="006E65C5" w:rsidP="00603CC4">
            <w:pPr>
              <w:spacing w:after="0" w:line="240" w:lineRule="auto"/>
            </w:pPr>
          </w:p>
          <w:p w:rsidR="006E65C5" w:rsidRDefault="006E65C5" w:rsidP="00603CC4">
            <w:pPr>
              <w:spacing w:after="0" w:line="240" w:lineRule="auto"/>
            </w:pPr>
          </w:p>
          <w:p w:rsidR="006E65C5" w:rsidRDefault="006E65C5" w:rsidP="00603CC4">
            <w:pPr>
              <w:spacing w:after="0" w:line="240" w:lineRule="auto"/>
            </w:pPr>
          </w:p>
          <w:p w:rsidR="006E65C5" w:rsidRDefault="006E65C5" w:rsidP="00603CC4">
            <w:pPr>
              <w:spacing w:after="0" w:line="240" w:lineRule="auto"/>
            </w:pPr>
          </w:p>
          <w:p w:rsidR="006E65C5" w:rsidRPr="00603CC4" w:rsidRDefault="006E65C5" w:rsidP="00603CC4">
            <w:pPr>
              <w:spacing w:after="0" w:line="240" w:lineRule="auto"/>
            </w:pPr>
            <w:r>
              <w:t>N</w:t>
            </w:r>
          </w:p>
        </w:tc>
        <w:tc>
          <w:tcPr>
            <w:tcW w:w="708" w:type="dxa"/>
            <w:shd w:val="clear" w:color="auto" w:fill="F2F2F2"/>
          </w:tcPr>
          <w:p w:rsidR="006E65C5" w:rsidRPr="00603CC4" w:rsidRDefault="006E65C5" w:rsidP="00603CC4">
            <w:pPr>
              <w:spacing w:after="0" w:line="240" w:lineRule="auto"/>
            </w:pPr>
          </w:p>
          <w:p w:rsidR="006E65C5" w:rsidRPr="00603CC4" w:rsidRDefault="006E65C5" w:rsidP="00603CC4">
            <w:pPr>
              <w:spacing w:after="0" w:line="240" w:lineRule="auto"/>
            </w:pPr>
          </w:p>
          <w:p w:rsidR="006E65C5" w:rsidRPr="00603CC4" w:rsidRDefault="006E65C5" w:rsidP="00603CC4">
            <w:pPr>
              <w:spacing w:after="0" w:line="240" w:lineRule="auto"/>
            </w:pPr>
            <w:r w:rsidRPr="00603CC4">
              <w:t>411</w:t>
            </w:r>
          </w:p>
          <w:p w:rsidR="006E65C5" w:rsidRPr="00603CC4" w:rsidRDefault="006E65C5" w:rsidP="00603CC4">
            <w:pPr>
              <w:spacing w:after="0" w:line="240" w:lineRule="auto"/>
            </w:pPr>
          </w:p>
          <w:p w:rsidR="006E65C5" w:rsidRPr="00603CC4" w:rsidRDefault="006E65C5" w:rsidP="00603CC4">
            <w:pPr>
              <w:spacing w:after="0" w:line="240" w:lineRule="auto"/>
            </w:pPr>
          </w:p>
          <w:p w:rsidR="006E65C5" w:rsidRPr="00603CC4" w:rsidRDefault="006E65C5" w:rsidP="00603CC4">
            <w:pPr>
              <w:spacing w:after="0" w:line="240" w:lineRule="auto"/>
            </w:pPr>
          </w:p>
          <w:p w:rsidR="006E65C5" w:rsidRPr="00603CC4" w:rsidRDefault="006E65C5" w:rsidP="00603CC4">
            <w:pPr>
              <w:spacing w:after="0" w:line="240" w:lineRule="auto"/>
            </w:pPr>
          </w:p>
          <w:p w:rsidR="006E65C5" w:rsidRDefault="006E65C5" w:rsidP="00603CC4">
            <w:pPr>
              <w:spacing w:after="0" w:line="240" w:lineRule="auto"/>
            </w:pPr>
          </w:p>
          <w:p w:rsidR="00FA5311" w:rsidRDefault="00FA5311" w:rsidP="00603CC4">
            <w:pPr>
              <w:spacing w:after="0" w:line="240" w:lineRule="auto"/>
            </w:pPr>
          </w:p>
          <w:p w:rsidR="00FA5311" w:rsidRPr="00603CC4" w:rsidRDefault="00FA5311" w:rsidP="00603CC4">
            <w:pPr>
              <w:spacing w:after="0" w:line="240" w:lineRule="auto"/>
            </w:pPr>
          </w:p>
          <w:p w:rsidR="006E65C5" w:rsidRPr="00603CC4" w:rsidRDefault="006E65C5" w:rsidP="00603CC4">
            <w:pPr>
              <w:spacing w:after="0" w:line="240" w:lineRule="auto"/>
            </w:pPr>
          </w:p>
          <w:p w:rsidR="006E65C5" w:rsidRPr="00603CC4" w:rsidRDefault="006E65C5" w:rsidP="00603CC4">
            <w:pPr>
              <w:spacing w:after="0" w:line="240" w:lineRule="auto"/>
            </w:pPr>
            <w:r w:rsidRPr="00603CC4">
              <w:t>N411</w:t>
            </w:r>
          </w:p>
        </w:tc>
        <w:tc>
          <w:tcPr>
            <w:tcW w:w="596" w:type="dxa"/>
            <w:shd w:val="clear" w:color="auto" w:fill="F2F2F2"/>
          </w:tcPr>
          <w:p w:rsidR="006E65C5" w:rsidRPr="00603CC4" w:rsidRDefault="006E65C5" w:rsidP="00603CC4">
            <w:pPr>
              <w:spacing w:after="0" w:line="240" w:lineRule="auto"/>
            </w:pPr>
          </w:p>
          <w:p w:rsidR="006E65C5" w:rsidRPr="00603CC4" w:rsidRDefault="006E65C5" w:rsidP="00603CC4">
            <w:pPr>
              <w:spacing w:after="0" w:line="240" w:lineRule="auto"/>
            </w:pPr>
          </w:p>
          <w:p w:rsidR="006E65C5" w:rsidRPr="00603CC4" w:rsidRDefault="006E65C5" w:rsidP="00603CC4">
            <w:pPr>
              <w:spacing w:after="0" w:line="240" w:lineRule="auto"/>
            </w:pPr>
            <w:r w:rsidRPr="00603CC4">
              <w:t>§</w:t>
            </w:r>
            <w:r>
              <w:t>:</w:t>
            </w:r>
            <w:r w:rsidRPr="00603CC4">
              <w:t>9</w:t>
            </w:r>
          </w:p>
          <w:p w:rsidR="006E65C5" w:rsidRPr="00603CC4" w:rsidRDefault="006E65C5" w:rsidP="00FA5311">
            <w:pPr>
              <w:spacing w:after="0" w:line="240" w:lineRule="auto"/>
              <w:ind w:right="-79"/>
            </w:pPr>
            <w:r w:rsidRPr="00603CC4">
              <w:t>O</w:t>
            </w:r>
            <w:r>
              <w:t>:</w:t>
            </w:r>
            <w:r w:rsidRPr="00603CC4">
              <w:t>14</w:t>
            </w:r>
          </w:p>
          <w:p w:rsidR="006E65C5" w:rsidRPr="00603CC4" w:rsidRDefault="006E65C5" w:rsidP="00603CC4">
            <w:pPr>
              <w:spacing w:after="0" w:line="240" w:lineRule="auto"/>
            </w:pPr>
          </w:p>
          <w:p w:rsidR="006E65C5" w:rsidRPr="00603CC4" w:rsidRDefault="006E65C5" w:rsidP="00603CC4">
            <w:pPr>
              <w:spacing w:after="0" w:line="240" w:lineRule="auto"/>
            </w:pPr>
          </w:p>
          <w:p w:rsidR="006E65C5" w:rsidRPr="00603CC4" w:rsidRDefault="006E65C5" w:rsidP="00603CC4">
            <w:pPr>
              <w:spacing w:after="0" w:line="240" w:lineRule="auto"/>
            </w:pPr>
            <w:r w:rsidRPr="00603CC4">
              <w:t>§</w:t>
            </w:r>
            <w:r>
              <w:t>:</w:t>
            </w:r>
            <w:r w:rsidRPr="00603CC4">
              <w:t>9</w:t>
            </w:r>
          </w:p>
          <w:p w:rsidR="006E65C5" w:rsidRDefault="006E65C5" w:rsidP="00603CC4">
            <w:pPr>
              <w:spacing w:after="0" w:line="240" w:lineRule="auto"/>
            </w:pPr>
          </w:p>
          <w:p w:rsidR="006E65C5" w:rsidRDefault="006E65C5" w:rsidP="00603CC4">
            <w:pPr>
              <w:spacing w:after="0" w:line="240" w:lineRule="auto"/>
            </w:pPr>
          </w:p>
          <w:p w:rsidR="00FA5311" w:rsidRDefault="00FA5311" w:rsidP="00603CC4">
            <w:pPr>
              <w:spacing w:after="0" w:line="240" w:lineRule="auto"/>
            </w:pPr>
          </w:p>
          <w:p w:rsidR="00FA5311" w:rsidRDefault="00FA5311" w:rsidP="00603CC4">
            <w:pPr>
              <w:spacing w:after="0" w:line="240" w:lineRule="auto"/>
            </w:pPr>
          </w:p>
          <w:p w:rsidR="006E65C5" w:rsidRDefault="006E65C5" w:rsidP="00FA5311">
            <w:pPr>
              <w:spacing w:after="0" w:line="240" w:lineRule="auto"/>
              <w:ind w:left="-108" w:right="-79"/>
            </w:pPr>
            <w:r w:rsidRPr="00603CC4">
              <w:t>O</w:t>
            </w:r>
            <w:r>
              <w:t>:</w:t>
            </w:r>
            <w:r w:rsidRPr="00603CC4">
              <w:t>12</w:t>
            </w:r>
          </w:p>
          <w:p w:rsidR="006E65C5" w:rsidRDefault="006E65C5" w:rsidP="00603CC4">
            <w:pPr>
              <w:spacing w:after="0" w:line="240" w:lineRule="auto"/>
            </w:pPr>
            <w:r>
              <w:t>V:1</w:t>
            </w:r>
          </w:p>
          <w:p w:rsidR="006E65C5" w:rsidRPr="00603CC4" w:rsidRDefault="006E65C5" w:rsidP="00603CC4">
            <w:pPr>
              <w:spacing w:after="0" w:line="240" w:lineRule="auto"/>
            </w:pPr>
            <w:r>
              <w:t>V:2</w:t>
            </w:r>
          </w:p>
        </w:tc>
        <w:tc>
          <w:tcPr>
            <w:tcW w:w="6396" w:type="dxa"/>
            <w:shd w:val="clear" w:color="auto" w:fill="F2F2F2"/>
          </w:tcPr>
          <w:p w:rsidR="006E65C5" w:rsidRPr="00EF5876" w:rsidRDefault="006E65C5" w:rsidP="00603CC4">
            <w:pPr>
              <w:tabs>
                <w:tab w:val="left" w:pos="567"/>
              </w:tabs>
              <w:spacing w:before="120" w:after="0" w:line="22" w:lineRule="atLeast"/>
            </w:pPr>
            <w:r w:rsidRPr="00EF5876">
              <w:t xml:space="preserve">(14) </w:t>
            </w:r>
            <w:r w:rsidRPr="00EF5876">
              <w:rPr>
                <w:u w:val="single"/>
              </w:rPr>
              <w:t>Vzorky sa odoberajú, príslušné znečisťujúce látky sa analyzujú</w:t>
            </w:r>
            <w:r w:rsidRPr="00EF5876">
              <w:t xml:space="preserve">, prevádzkové parametre sa merajú, </w:t>
            </w:r>
            <w:r w:rsidRPr="00EF5876">
              <w:rPr>
                <w:u w:val="single"/>
              </w:rPr>
              <w:t>alternatívne metódy merania pri technickom výpočte podľa odseku 6 sa uplatňujú</w:t>
            </w:r>
            <w:r w:rsidRPr="00EF5876">
              <w:t xml:space="preserve">, automatizované meracie systémy emisií sa inštalujú, kalibrujú referenčnými metódami a ich kvalita </w:t>
            </w:r>
            <w:r w:rsidRPr="00EF5876">
              <w:rPr>
                <w:u w:val="single"/>
              </w:rPr>
              <w:t>sa zabezpečuje v súlade s príslušnými technickými normami alebo technickými špecifikáciami, ktoré sú založené na metódach, ktoré umožňujú spoľahlivé, reprezentatívne, porovnateľné a vedecky odôvodnené výsledky</w:t>
            </w:r>
            <w:r w:rsidRPr="00EF5876">
              <w:t xml:space="preserve"> podľa § 15. </w:t>
            </w:r>
            <w:r w:rsidRPr="00EF5876">
              <w:rPr>
                <w:u w:val="single"/>
              </w:rPr>
              <w:t>Tieto požiadavky spĺňajú metódy, ktoré sú v súlade s harmonizovanými normami Európskeho výboru pre normalizáciu EN</w:t>
            </w:r>
            <w:r w:rsidRPr="00EF5876">
              <w:t>.</w:t>
            </w:r>
          </w:p>
          <w:p w:rsidR="006E65C5" w:rsidRPr="00EF5876" w:rsidRDefault="006E65C5" w:rsidP="00603CC4">
            <w:pPr>
              <w:tabs>
                <w:tab w:val="left" w:pos="567"/>
              </w:tabs>
              <w:spacing w:before="240" w:after="0" w:line="22" w:lineRule="atLeast"/>
              <w:rPr>
                <w:u w:val="single"/>
              </w:rPr>
            </w:pPr>
            <w:r w:rsidRPr="00EF5876">
              <w:t>(12) </w:t>
            </w:r>
            <w:r w:rsidRPr="00EF5876">
              <w:rPr>
                <w:u w:val="single"/>
              </w:rPr>
              <w:t>Spaľovacie zariadenie musí byť počas každého diskontinuálneho merania prevádzkované v stabilnom režime a zaťažené reprezentatívne a rovnomerne</w:t>
            </w:r>
            <w:r w:rsidRPr="00EF5876">
              <w:t xml:space="preserve">. </w:t>
            </w:r>
            <w:r w:rsidRPr="00EF5876">
              <w:rPr>
                <w:u w:val="single"/>
              </w:rPr>
              <w:t xml:space="preserve">Čas nábehu a čas odstavovania sa v tejto súvislosti do času diskontinuálneho merania nezapočítavajú. </w:t>
            </w:r>
          </w:p>
        </w:tc>
        <w:tc>
          <w:tcPr>
            <w:tcW w:w="508" w:type="dxa"/>
            <w:tcBorders>
              <w:top w:val="nil"/>
              <w:bottom w:val="nil"/>
            </w:tcBorders>
            <w:vAlign w:val="center"/>
          </w:tcPr>
          <w:p w:rsidR="006E65C5" w:rsidRPr="00603CC4" w:rsidRDefault="006E65C5" w:rsidP="00603CC4">
            <w:pPr>
              <w:spacing w:after="0" w:line="240" w:lineRule="auto"/>
            </w:pPr>
            <w:r>
              <w:t>Ú</w:t>
            </w:r>
          </w:p>
        </w:tc>
        <w:tc>
          <w:tcPr>
            <w:tcW w:w="508" w:type="dxa"/>
            <w:tcBorders>
              <w:top w:val="nil"/>
              <w:bottom w:val="nil"/>
            </w:tcBorders>
            <w:vAlign w:val="center"/>
          </w:tcPr>
          <w:p w:rsidR="006E65C5" w:rsidRPr="00603CC4" w:rsidRDefault="006E65C5" w:rsidP="00603CC4">
            <w:pPr>
              <w:spacing w:after="0" w:line="240" w:lineRule="auto"/>
            </w:pPr>
          </w:p>
        </w:tc>
      </w:tr>
      <w:tr w:rsidR="006E65C5" w:rsidRPr="00603CC4" w:rsidTr="00EF5876">
        <w:tc>
          <w:tcPr>
            <w:tcW w:w="709" w:type="dxa"/>
            <w:tcBorders>
              <w:top w:val="nil"/>
              <w:bottom w:val="nil"/>
            </w:tcBorders>
            <w:vAlign w:val="center"/>
          </w:tcPr>
          <w:p w:rsidR="006E65C5" w:rsidRPr="00603CC4" w:rsidRDefault="006E65C5" w:rsidP="00603CC4">
            <w:pPr>
              <w:spacing w:after="0" w:line="240" w:lineRule="auto"/>
              <w:jc w:val="center"/>
            </w:pPr>
            <w:r w:rsidRPr="00603CC4">
              <w:lastRenderedPageBreak/>
              <w:t>Časť 2</w:t>
            </w:r>
          </w:p>
        </w:tc>
        <w:tc>
          <w:tcPr>
            <w:tcW w:w="5771" w:type="dxa"/>
            <w:vAlign w:val="center"/>
          </w:tcPr>
          <w:p w:rsidR="006E65C5" w:rsidRPr="00603CC4" w:rsidRDefault="006E65C5" w:rsidP="00603CC4">
            <w:pPr>
              <w:spacing w:before="120" w:after="0" w:line="240" w:lineRule="auto"/>
              <w:jc w:val="both"/>
            </w:pPr>
            <w:r w:rsidRPr="00603CC4">
              <w:t>Posúdenie dosiahnutia súladu</w:t>
            </w:r>
          </w:p>
        </w:tc>
        <w:tc>
          <w:tcPr>
            <w:tcW w:w="397" w:type="dxa"/>
            <w:vAlign w:val="center"/>
          </w:tcPr>
          <w:p w:rsidR="006E65C5" w:rsidRPr="00603CC4" w:rsidRDefault="006E65C5" w:rsidP="00603CC4">
            <w:pPr>
              <w:spacing w:after="0" w:line="240" w:lineRule="auto"/>
            </w:pPr>
          </w:p>
        </w:tc>
        <w:tc>
          <w:tcPr>
            <w:tcW w:w="708" w:type="dxa"/>
            <w:vAlign w:val="center"/>
          </w:tcPr>
          <w:p w:rsidR="006E65C5" w:rsidRPr="00603CC4" w:rsidRDefault="006E65C5" w:rsidP="00603CC4">
            <w:pPr>
              <w:spacing w:after="0" w:line="240" w:lineRule="auto"/>
            </w:pPr>
          </w:p>
        </w:tc>
        <w:tc>
          <w:tcPr>
            <w:tcW w:w="596" w:type="dxa"/>
            <w:vAlign w:val="center"/>
          </w:tcPr>
          <w:p w:rsidR="006E65C5" w:rsidRPr="00603CC4" w:rsidRDefault="006E65C5" w:rsidP="00603CC4">
            <w:pPr>
              <w:spacing w:after="0" w:line="240" w:lineRule="auto"/>
            </w:pPr>
          </w:p>
        </w:tc>
        <w:tc>
          <w:tcPr>
            <w:tcW w:w="6396" w:type="dxa"/>
            <w:vAlign w:val="center"/>
          </w:tcPr>
          <w:p w:rsidR="006E65C5" w:rsidRPr="00EF5876" w:rsidRDefault="006E65C5" w:rsidP="00603CC4">
            <w:pPr>
              <w:spacing w:after="0" w:line="240" w:lineRule="auto"/>
            </w:pPr>
          </w:p>
        </w:tc>
        <w:tc>
          <w:tcPr>
            <w:tcW w:w="508" w:type="dxa"/>
            <w:tcBorders>
              <w:top w:val="nil"/>
              <w:bottom w:val="nil"/>
            </w:tcBorders>
            <w:vAlign w:val="center"/>
          </w:tcPr>
          <w:p w:rsidR="006E65C5" w:rsidRPr="00603CC4" w:rsidRDefault="006E65C5" w:rsidP="00603CC4">
            <w:pPr>
              <w:spacing w:after="0" w:line="240" w:lineRule="auto"/>
            </w:pPr>
          </w:p>
        </w:tc>
        <w:tc>
          <w:tcPr>
            <w:tcW w:w="508" w:type="dxa"/>
            <w:tcBorders>
              <w:top w:val="nil"/>
              <w:bottom w:val="nil"/>
            </w:tcBorders>
            <w:vAlign w:val="center"/>
          </w:tcPr>
          <w:p w:rsidR="006E65C5" w:rsidRPr="00603CC4" w:rsidRDefault="006E65C5" w:rsidP="00603CC4">
            <w:pPr>
              <w:spacing w:after="0" w:line="240" w:lineRule="auto"/>
            </w:pPr>
          </w:p>
        </w:tc>
      </w:tr>
      <w:tr w:rsidR="006E65C5" w:rsidRPr="00603CC4" w:rsidTr="00EF5876">
        <w:tc>
          <w:tcPr>
            <w:tcW w:w="709" w:type="dxa"/>
            <w:tcBorders>
              <w:top w:val="nil"/>
              <w:bottom w:val="nil"/>
            </w:tcBorders>
            <w:vAlign w:val="center"/>
          </w:tcPr>
          <w:p w:rsidR="006E65C5" w:rsidRPr="00603CC4" w:rsidRDefault="006E65C5" w:rsidP="00603CC4">
            <w:pPr>
              <w:spacing w:after="0" w:line="240" w:lineRule="auto"/>
              <w:jc w:val="center"/>
            </w:pPr>
            <w:r w:rsidRPr="00603CC4">
              <w:t>O 1</w:t>
            </w:r>
          </w:p>
        </w:tc>
        <w:tc>
          <w:tcPr>
            <w:tcW w:w="5771" w:type="dxa"/>
            <w:vAlign w:val="center"/>
          </w:tcPr>
          <w:p w:rsidR="006E65C5" w:rsidRPr="00603CC4" w:rsidRDefault="006E65C5" w:rsidP="00603CC4">
            <w:pPr>
              <w:spacing w:before="120" w:after="0" w:line="240" w:lineRule="auto"/>
              <w:jc w:val="both"/>
            </w:pPr>
            <w:r w:rsidRPr="00603CC4">
              <w:t>1. V prípade pravidelných meraní sa emisné limity uvedené v článku 6 považujú za dodržané, ak výsledky každej série meraní alebo iných postupov definovaných a určených v súlade s pravidlami stanovenými príslušným orgánom nepresahujú príslušnú hodnotu emisného limitu.</w:t>
            </w:r>
          </w:p>
        </w:tc>
        <w:tc>
          <w:tcPr>
            <w:tcW w:w="397" w:type="dxa"/>
            <w:vAlign w:val="center"/>
          </w:tcPr>
          <w:p w:rsidR="006E65C5" w:rsidRPr="00603CC4" w:rsidRDefault="006E65C5" w:rsidP="00603CC4">
            <w:pPr>
              <w:spacing w:after="0" w:line="240" w:lineRule="auto"/>
            </w:pPr>
            <w:r>
              <w:t>N</w:t>
            </w:r>
          </w:p>
        </w:tc>
        <w:tc>
          <w:tcPr>
            <w:tcW w:w="708" w:type="dxa"/>
            <w:vAlign w:val="center"/>
          </w:tcPr>
          <w:p w:rsidR="006E65C5" w:rsidRPr="00603CC4" w:rsidRDefault="006E65C5" w:rsidP="00603CC4">
            <w:pPr>
              <w:spacing w:after="0" w:line="240" w:lineRule="auto"/>
            </w:pPr>
            <w:r>
              <w:t>V410</w:t>
            </w:r>
          </w:p>
        </w:tc>
        <w:tc>
          <w:tcPr>
            <w:tcW w:w="596" w:type="dxa"/>
            <w:vAlign w:val="center"/>
          </w:tcPr>
          <w:p w:rsidR="006E65C5" w:rsidRDefault="006E65C5" w:rsidP="00FA5311">
            <w:pPr>
              <w:spacing w:after="0" w:line="240" w:lineRule="auto"/>
              <w:ind w:right="-79"/>
            </w:pPr>
            <w:r>
              <w:t>§:18</w:t>
            </w:r>
          </w:p>
          <w:p w:rsidR="006E65C5" w:rsidRDefault="006E65C5" w:rsidP="00603CC4">
            <w:pPr>
              <w:spacing w:after="0" w:line="240" w:lineRule="auto"/>
            </w:pPr>
            <w:r>
              <w:t>O: 2</w:t>
            </w:r>
          </w:p>
          <w:p w:rsidR="006E65C5" w:rsidRPr="00603CC4" w:rsidRDefault="006E65C5" w:rsidP="00603CC4">
            <w:pPr>
              <w:spacing w:after="0" w:line="240" w:lineRule="auto"/>
            </w:pPr>
            <w:r>
              <w:t>P:a</w:t>
            </w:r>
          </w:p>
        </w:tc>
        <w:tc>
          <w:tcPr>
            <w:tcW w:w="6396" w:type="dxa"/>
            <w:vAlign w:val="center"/>
          </w:tcPr>
          <w:p w:rsidR="006E65C5" w:rsidRPr="00EF5876" w:rsidRDefault="006E65C5" w:rsidP="00115537">
            <w:pPr>
              <w:ind w:firstLine="851"/>
              <w:jc w:val="both"/>
            </w:pPr>
            <w:r w:rsidRPr="00EF5876">
              <w:t>(2) Emisný limit sa pri oprávnenom diskontinuálnom meraní (ďalej len „diskontinuálne meranie“) alebo technickom výpočte</w:t>
            </w:r>
            <w:hyperlink r:id="rId28" w:anchor="poznamky.poznamka-5" w:tooltip="Odkaz na predpis alebo ustanovenie" w:history="1">
              <w:r w:rsidRPr="00EF5876">
                <w:rPr>
                  <w:u w:val="single"/>
                  <w:vertAlign w:val="superscript"/>
                </w:rPr>
                <w:t>5</w:t>
              </w:r>
              <w:r w:rsidRPr="00EF5876">
                <w:rPr>
                  <w:u w:val="single"/>
                </w:rPr>
                <w:t>)</w:t>
              </w:r>
            </w:hyperlink>
            <w:r w:rsidRPr="00EF5876">
              <w:t xml:space="preserve"> považuje za dodržaný, ak </w:t>
            </w:r>
          </w:p>
          <w:p w:rsidR="006E65C5" w:rsidRPr="00EF5876" w:rsidRDefault="006E65C5" w:rsidP="007D65D8">
            <w:pPr>
              <w:spacing w:after="0"/>
              <w:ind w:left="284" w:hanging="284"/>
              <w:jc w:val="both"/>
            </w:pPr>
            <w:r w:rsidRPr="00EF5876">
              <w:t xml:space="preserve">a) žiadna hodnota v každej sérii jednotlivých meraní alebo výsledok technického výpočtu podľa postupu a podmienok schválených v povolení, súhlase alebo rozhodnutí neprekročí hodnotu emisného limitu, </w:t>
            </w:r>
          </w:p>
        </w:tc>
        <w:tc>
          <w:tcPr>
            <w:tcW w:w="508" w:type="dxa"/>
            <w:tcBorders>
              <w:top w:val="nil"/>
              <w:bottom w:val="nil"/>
            </w:tcBorders>
            <w:vAlign w:val="center"/>
          </w:tcPr>
          <w:p w:rsidR="006E65C5" w:rsidRPr="00603CC4" w:rsidRDefault="006E65C5" w:rsidP="00603CC4">
            <w:pPr>
              <w:spacing w:after="0" w:line="240" w:lineRule="auto"/>
            </w:pPr>
          </w:p>
        </w:tc>
        <w:tc>
          <w:tcPr>
            <w:tcW w:w="508" w:type="dxa"/>
            <w:tcBorders>
              <w:top w:val="nil"/>
              <w:bottom w:val="nil"/>
            </w:tcBorders>
            <w:vAlign w:val="center"/>
          </w:tcPr>
          <w:p w:rsidR="006E65C5" w:rsidRPr="00603CC4" w:rsidRDefault="006E65C5" w:rsidP="00603CC4">
            <w:pPr>
              <w:spacing w:after="0" w:line="240" w:lineRule="auto"/>
            </w:pPr>
          </w:p>
        </w:tc>
      </w:tr>
      <w:tr w:rsidR="006E65C5" w:rsidRPr="00603CC4" w:rsidTr="00EF5876">
        <w:tc>
          <w:tcPr>
            <w:tcW w:w="709" w:type="dxa"/>
            <w:tcBorders>
              <w:top w:val="nil"/>
              <w:bottom w:val="nil"/>
            </w:tcBorders>
            <w:vAlign w:val="center"/>
          </w:tcPr>
          <w:p w:rsidR="006E65C5" w:rsidRPr="00603CC4" w:rsidRDefault="006E65C5" w:rsidP="00603CC4">
            <w:pPr>
              <w:spacing w:after="0" w:line="240" w:lineRule="auto"/>
              <w:jc w:val="center"/>
            </w:pPr>
            <w:r w:rsidRPr="00603CC4">
              <w:t>O 2</w:t>
            </w:r>
          </w:p>
        </w:tc>
        <w:tc>
          <w:tcPr>
            <w:tcW w:w="5771" w:type="dxa"/>
            <w:vAlign w:val="center"/>
          </w:tcPr>
          <w:p w:rsidR="006E65C5" w:rsidRPr="00603CC4" w:rsidRDefault="006E65C5" w:rsidP="00603CC4">
            <w:pPr>
              <w:spacing w:before="120" w:after="0" w:line="240" w:lineRule="auto"/>
              <w:jc w:val="both"/>
            </w:pPr>
            <w:r w:rsidRPr="00603CC4">
              <w:t>2. V prípade kontinuálnych meraní sa súlad s emisnými limitmi uvedenými v článku 6 posudzuje tak, ako je uvedené v bode 1 časti 4 prílohy V k smernici 2010/75/EÚ. Validované priemerné hodnoty sa určujú podľa bodov 9 a 10 časti 3 prílohy V k smernici 2010/75/EÚ.</w:t>
            </w:r>
          </w:p>
        </w:tc>
        <w:tc>
          <w:tcPr>
            <w:tcW w:w="397" w:type="dxa"/>
            <w:vAlign w:val="center"/>
          </w:tcPr>
          <w:p w:rsidR="006E65C5" w:rsidRPr="00603CC4" w:rsidRDefault="006E65C5" w:rsidP="00603CC4">
            <w:pPr>
              <w:spacing w:after="0" w:line="240" w:lineRule="auto"/>
            </w:pPr>
            <w:r>
              <w:t>N</w:t>
            </w:r>
          </w:p>
        </w:tc>
        <w:tc>
          <w:tcPr>
            <w:tcW w:w="708" w:type="dxa"/>
            <w:vAlign w:val="center"/>
          </w:tcPr>
          <w:p w:rsidR="006E65C5" w:rsidRPr="00603CC4" w:rsidRDefault="006E65C5" w:rsidP="00603CC4">
            <w:pPr>
              <w:spacing w:after="0" w:line="240" w:lineRule="auto"/>
            </w:pPr>
            <w:r>
              <w:t>V410</w:t>
            </w:r>
          </w:p>
        </w:tc>
        <w:tc>
          <w:tcPr>
            <w:tcW w:w="596" w:type="dxa"/>
            <w:vAlign w:val="center"/>
          </w:tcPr>
          <w:p w:rsidR="006E65C5" w:rsidRDefault="006E65C5" w:rsidP="00FA5311">
            <w:pPr>
              <w:spacing w:after="0" w:line="240" w:lineRule="auto"/>
              <w:ind w:right="-221"/>
            </w:pPr>
            <w:r>
              <w:t>§:18 O:1</w:t>
            </w:r>
          </w:p>
          <w:p w:rsidR="006E65C5" w:rsidRPr="00603CC4" w:rsidRDefault="006E65C5" w:rsidP="00603CC4">
            <w:pPr>
              <w:spacing w:after="0" w:line="240" w:lineRule="auto"/>
            </w:pPr>
            <w:r>
              <w:t>P:a</w:t>
            </w:r>
          </w:p>
        </w:tc>
        <w:tc>
          <w:tcPr>
            <w:tcW w:w="6396" w:type="dxa"/>
            <w:vAlign w:val="center"/>
          </w:tcPr>
          <w:p w:rsidR="006E65C5" w:rsidRPr="00EF5876" w:rsidRDefault="006E65C5" w:rsidP="00115537">
            <w:pPr>
              <w:spacing w:after="0"/>
              <w:ind w:firstLine="851"/>
              <w:jc w:val="both"/>
            </w:pPr>
            <w:r w:rsidRPr="00EF5876">
              <w:t xml:space="preserve">(1) Emisný limit pre spaľovacie zariadenie sa pri kontinuálnom meraní považuje za dodržaný, ak z vyhodnotenia výsledkov meraní za skutočný čas prevádzky počas kalendárneho roka vyplynie, že: </w:t>
            </w:r>
          </w:p>
          <w:p w:rsidR="006E65C5" w:rsidRPr="00EF5876" w:rsidRDefault="006E65C5" w:rsidP="00115537">
            <w:pPr>
              <w:spacing w:after="0"/>
              <w:ind w:firstLine="851"/>
              <w:jc w:val="both"/>
            </w:pPr>
            <w:r w:rsidRPr="00EF5876">
              <w:t xml:space="preserve">a) ak ide o jestvujúce zariadenie pri uplatňovaní emisných limitov podľa </w:t>
            </w:r>
            <w:hyperlink r:id="rId29" w:anchor="paragraf-10.odsek-2.pismeno-b" w:tooltip="Odkaz na predpis alebo ustanovenie" w:history="1">
              <w:r w:rsidRPr="00EF5876">
                <w:rPr>
                  <w:u w:val="single"/>
                </w:rPr>
                <w:t>§ 10 ods. 2 písm. b)</w:t>
              </w:r>
            </w:hyperlink>
            <w:r w:rsidRPr="00EF5876">
              <w:t xml:space="preserve">, nové zariadenie, alebo ak ide o spaľovacie zariadenie podľa § 10 ods. 7 a 8 , ktorého súčasťou je nové zariadenie aj jestvujúce zariadenie, alebo stredne veľké spaľovacie zariadenie </w:t>
            </w:r>
          </w:p>
          <w:p w:rsidR="006E65C5" w:rsidRPr="00EF5876" w:rsidRDefault="006E65C5" w:rsidP="00115537">
            <w:pPr>
              <w:spacing w:after="0"/>
              <w:ind w:left="284" w:hanging="284"/>
              <w:jc w:val="both"/>
            </w:pPr>
            <w:r w:rsidRPr="00EF5876">
              <w:t>1. žiadna validovaná priemerná mesačná hodnota neprekročí hodnotu emisného limitu,</w:t>
            </w:r>
          </w:p>
          <w:p w:rsidR="006E65C5" w:rsidRPr="00EF5876" w:rsidRDefault="006E65C5" w:rsidP="00115537">
            <w:pPr>
              <w:spacing w:after="0"/>
              <w:ind w:left="284" w:hanging="284"/>
              <w:jc w:val="both"/>
            </w:pPr>
            <w:r w:rsidRPr="00EF5876">
              <w:t xml:space="preserve">2. žiadna validovaná priemerná denná hodnota neprekročí 1,1-násobok hodnoty emisného limitu, </w:t>
            </w:r>
          </w:p>
          <w:p w:rsidR="006E65C5" w:rsidRPr="00EF5876" w:rsidRDefault="006E65C5" w:rsidP="00115537">
            <w:pPr>
              <w:spacing w:after="0"/>
              <w:ind w:left="284" w:hanging="284"/>
              <w:jc w:val="both"/>
            </w:pPr>
            <w:r w:rsidRPr="00EF5876">
              <w:t xml:space="preserve">3. ak ide o zariadenie zložené výlučne z kotlov spaľujúcich uhlie s menovitými tepelnými príkonmi nižšími ako 50 MW, žiadna validovaná priemerná denná hodnota neprekročí 1,5-násobok hodnoty emisného limitu, </w:t>
            </w:r>
          </w:p>
          <w:p w:rsidR="006E65C5" w:rsidRPr="00EF5876" w:rsidRDefault="006E65C5" w:rsidP="00115537">
            <w:pPr>
              <w:spacing w:after="0"/>
              <w:ind w:left="284" w:hanging="284"/>
              <w:jc w:val="both"/>
            </w:pPr>
            <w:r w:rsidRPr="00EF5876">
              <w:t xml:space="preserve">4. najmenej 95 % zo všetkých validovaných hodinových priemerných hodnôt za rok neprekročí dvojnásobok hodnoty emisného limitu, </w:t>
            </w:r>
          </w:p>
          <w:p w:rsidR="006E65C5" w:rsidRPr="00EF5876" w:rsidRDefault="006E65C5" w:rsidP="007D65D8">
            <w:pPr>
              <w:spacing w:after="0"/>
              <w:ind w:left="284" w:hanging="284"/>
              <w:jc w:val="both"/>
            </w:pPr>
            <w:r w:rsidRPr="00EF5876">
              <w:t xml:space="preserve">5. žiadna priemerná hodnota za kalendárny mesiac alebo žiadna priemerná hodnota za prevádzkový mesiac nie je nižšia ako </w:t>
            </w:r>
            <w:r w:rsidRPr="00EF5876">
              <w:lastRenderedPageBreak/>
              <w:t xml:space="preserve">hodnota stupňa odsírenia, </w:t>
            </w:r>
          </w:p>
        </w:tc>
        <w:tc>
          <w:tcPr>
            <w:tcW w:w="508" w:type="dxa"/>
            <w:tcBorders>
              <w:top w:val="nil"/>
              <w:bottom w:val="nil"/>
            </w:tcBorders>
            <w:vAlign w:val="center"/>
          </w:tcPr>
          <w:p w:rsidR="006E65C5" w:rsidRPr="00603CC4" w:rsidRDefault="006E65C5" w:rsidP="00603CC4">
            <w:pPr>
              <w:spacing w:after="0" w:line="240" w:lineRule="auto"/>
            </w:pPr>
          </w:p>
        </w:tc>
        <w:tc>
          <w:tcPr>
            <w:tcW w:w="508" w:type="dxa"/>
            <w:tcBorders>
              <w:top w:val="nil"/>
              <w:bottom w:val="nil"/>
            </w:tcBorders>
            <w:vAlign w:val="center"/>
          </w:tcPr>
          <w:p w:rsidR="006E65C5" w:rsidRPr="00603CC4" w:rsidRDefault="006E65C5" w:rsidP="00603CC4">
            <w:pPr>
              <w:spacing w:after="0" w:line="240" w:lineRule="auto"/>
            </w:pPr>
          </w:p>
        </w:tc>
      </w:tr>
      <w:tr w:rsidR="006E65C5" w:rsidRPr="00603CC4" w:rsidTr="00EF5876">
        <w:tc>
          <w:tcPr>
            <w:tcW w:w="709" w:type="dxa"/>
            <w:tcBorders>
              <w:top w:val="nil"/>
            </w:tcBorders>
            <w:vAlign w:val="center"/>
          </w:tcPr>
          <w:p w:rsidR="006E65C5" w:rsidRPr="00603CC4" w:rsidRDefault="006E65C5" w:rsidP="00603CC4">
            <w:pPr>
              <w:spacing w:after="0" w:line="240" w:lineRule="auto"/>
              <w:jc w:val="center"/>
            </w:pPr>
            <w:r w:rsidRPr="00603CC4">
              <w:lastRenderedPageBreak/>
              <w:t>O 3</w:t>
            </w:r>
          </w:p>
        </w:tc>
        <w:tc>
          <w:tcPr>
            <w:tcW w:w="5771" w:type="dxa"/>
            <w:vAlign w:val="center"/>
          </w:tcPr>
          <w:p w:rsidR="006E65C5" w:rsidRPr="00603CC4" w:rsidRDefault="006E65C5" w:rsidP="00603CC4">
            <w:pPr>
              <w:spacing w:before="120" w:after="0" w:line="240" w:lineRule="auto"/>
              <w:jc w:val="both"/>
            </w:pPr>
            <w:r w:rsidRPr="00603CC4">
              <w:t>3. Na účely výpočtu priemerných hodnôt emisií sa neberú do úvahy hodnoty namerané počas období uvedených v článku 6 ods. 11 a v článku 6 ods. 12, ako aj počas doby nábehu a odstavovania.</w:t>
            </w:r>
          </w:p>
        </w:tc>
        <w:tc>
          <w:tcPr>
            <w:tcW w:w="397" w:type="dxa"/>
            <w:vAlign w:val="center"/>
          </w:tcPr>
          <w:p w:rsidR="006E65C5" w:rsidRPr="00603CC4" w:rsidRDefault="006E65C5" w:rsidP="00603CC4">
            <w:pPr>
              <w:spacing w:after="0" w:line="240" w:lineRule="auto"/>
            </w:pPr>
            <w:r>
              <w:t>N</w:t>
            </w:r>
          </w:p>
        </w:tc>
        <w:tc>
          <w:tcPr>
            <w:tcW w:w="708" w:type="dxa"/>
            <w:vAlign w:val="center"/>
          </w:tcPr>
          <w:p w:rsidR="006E65C5" w:rsidRPr="00603CC4" w:rsidRDefault="006E65C5" w:rsidP="00603CC4">
            <w:pPr>
              <w:spacing w:after="0" w:line="240" w:lineRule="auto"/>
            </w:pPr>
            <w:r>
              <w:t>N410</w:t>
            </w:r>
          </w:p>
        </w:tc>
        <w:tc>
          <w:tcPr>
            <w:tcW w:w="596" w:type="dxa"/>
            <w:vAlign w:val="center"/>
          </w:tcPr>
          <w:p w:rsidR="006E65C5" w:rsidRDefault="006E65C5" w:rsidP="00FA5311">
            <w:pPr>
              <w:spacing w:after="0" w:line="240" w:lineRule="auto"/>
              <w:ind w:right="-79"/>
            </w:pPr>
            <w:r>
              <w:t>§:18</w:t>
            </w:r>
          </w:p>
          <w:p w:rsidR="006E65C5" w:rsidRPr="00603CC4" w:rsidRDefault="006E65C5" w:rsidP="00603CC4">
            <w:pPr>
              <w:spacing w:after="0" w:line="240" w:lineRule="auto"/>
            </w:pPr>
            <w:r>
              <w:t>O:6</w:t>
            </w:r>
          </w:p>
        </w:tc>
        <w:tc>
          <w:tcPr>
            <w:tcW w:w="6396" w:type="dxa"/>
            <w:vAlign w:val="center"/>
          </w:tcPr>
          <w:p w:rsidR="006E65C5" w:rsidRPr="006E65C5" w:rsidRDefault="006E65C5" w:rsidP="006E65C5">
            <w:pPr>
              <w:pStyle w:val="Odsekzoznamu"/>
              <w:numPr>
                <w:ilvl w:val="1"/>
                <w:numId w:val="9"/>
              </w:numPr>
              <w:ind w:left="5"/>
              <w:rPr>
                <w:rFonts w:ascii="Calibri" w:eastAsia="Calibri" w:hAnsi="Calibri" w:cs="Calibri"/>
                <w:sz w:val="22"/>
                <w:szCs w:val="22"/>
              </w:rPr>
            </w:pPr>
            <w:r w:rsidRPr="006E65C5">
              <w:rPr>
                <w:rFonts w:ascii="Calibri" w:eastAsia="Calibri" w:hAnsi="Calibri" w:cs="Calibri"/>
                <w:sz w:val="22"/>
                <w:szCs w:val="22"/>
              </w:rPr>
              <w:t xml:space="preserve">Dodržanie emisného limitu pre spaľovacie zariadenie sa hodnotí počas skutočnej prevádzky okrem </w:t>
            </w:r>
          </w:p>
          <w:p w:rsidR="006E65C5" w:rsidRPr="00EF5876" w:rsidRDefault="006E65C5" w:rsidP="00115537">
            <w:pPr>
              <w:spacing w:after="0"/>
              <w:ind w:left="284" w:hanging="284"/>
              <w:jc w:val="both"/>
            </w:pPr>
            <w:r w:rsidRPr="00EF5876">
              <w:t>b) nábehu a odstavovania vymedzeného v tomto rozsahu:</w:t>
            </w:r>
          </w:p>
          <w:p w:rsidR="006E65C5" w:rsidRPr="00EF5876" w:rsidRDefault="006E65C5" w:rsidP="00EA41E7">
            <w:pPr>
              <w:spacing w:after="0"/>
              <w:ind w:left="568" w:hanging="284"/>
              <w:jc w:val="both"/>
            </w:pPr>
            <w:r w:rsidRPr="00EF5876">
              <w:t>2. ak ide o stredne veľké spaľovacie zariadenia, počas nábehu a odstavovania, pričom treba zabezpečiť, aby čas nábehu a odstavovania bol čo najkratší,</w:t>
            </w:r>
          </w:p>
        </w:tc>
        <w:tc>
          <w:tcPr>
            <w:tcW w:w="508" w:type="dxa"/>
            <w:tcBorders>
              <w:top w:val="nil"/>
            </w:tcBorders>
            <w:vAlign w:val="center"/>
          </w:tcPr>
          <w:p w:rsidR="006E65C5" w:rsidRPr="00603CC4" w:rsidRDefault="006E65C5" w:rsidP="00603CC4">
            <w:pPr>
              <w:spacing w:after="0" w:line="240" w:lineRule="auto"/>
            </w:pPr>
          </w:p>
        </w:tc>
        <w:tc>
          <w:tcPr>
            <w:tcW w:w="508" w:type="dxa"/>
            <w:tcBorders>
              <w:top w:val="nil"/>
            </w:tcBorders>
            <w:vAlign w:val="center"/>
          </w:tcPr>
          <w:p w:rsidR="006E65C5" w:rsidRPr="00603CC4" w:rsidRDefault="006E65C5" w:rsidP="00603CC4">
            <w:pPr>
              <w:spacing w:after="0" w:line="240" w:lineRule="auto"/>
            </w:pPr>
          </w:p>
        </w:tc>
      </w:tr>
    </w:tbl>
    <w:p w:rsidR="00B20392" w:rsidRPr="00DC2682" w:rsidRDefault="00B20392" w:rsidP="00813B05"/>
    <w:sectPr w:rsidR="00B20392" w:rsidRPr="00DC2682" w:rsidSect="00705690">
      <w:pgSz w:w="16838" w:h="11906" w:orient="landscape"/>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eXGyreBonumRegular">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604E"/>
    <w:multiLevelType w:val="hybridMultilevel"/>
    <w:tmpl w:val="5DFCF2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886EE1"/>
    <w:multiLevelType w:val="hybridMultilevel"/>
    <w:tmpl w:val="CCB84556"/>
    <w:lvl w:ilvl="0" w:tplc="2F5A0262">
      <w:start w:val="1"/>
      <w:numFmt w:val="decimal"/>
      <w:lvlText w:val="%1."/>
      <w:lvlJc w:val="left"/>
      <w:pPr>
        <w:ind w:left="1004" w:hanging="360"/>
      </w:pPr>
      <w:rPr>
        <w:rFonts w:cs="Times New Roman" w:hint="default"/>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2" w15:restartNumberingAfterBreak="0">
    <w:nsid w:val="09D73953"/>
    <w:multiLevelType w:val="hybridMultilevel"/>
    <w:tmpl w:val="D7FA5534"/>
    <w:lvl w:ilvl="0" w:tplc="0898F634">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FA7AAC">
      <w:start w:val="1"/>
      <w:numFmt w:val="decimal"/>
      <w:lvlText w:val="%2."/>
      <w:lvlJc w:val="left"/>
      <w:pPr>
        <w:ind w:left="7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F621A2">
      <w:start w:val="1"/>
      <w:numFmt w:val="lowerRoman"/>
      <w:lvlText w:val="%3"/>
      <w:lvlJc w:val="left"/>
      <w:pPr>
        <w:ind w:left="1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E245B8">
      <w:start w:val="1"/>
      <w:numFmt w:val="decimal"/>
      <w:lvlText w:val="%4"/>
      <w:lvlJc w:val="left"/>
      <w:pPr>
        <w:ind w:left="1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08666E">
      <w:start w:val="1"/>
      <w:numFmt w:val="lowerLetter"/>
      <w:lvlText w:val="%5"/>
      <w:lvlJc w:val="left"/>
      <w:pPr>
        <w:ind w:left="2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8092D0">
      <w:start w:val="1"/>
      <w:numFmt w:val="lowerRoman"/>
      <w:lvlText w:val="%6"/>
      <w:lvlJc w:val="left"/>
      <w:pPr>
        <w:ind w:left="3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FE1742">
      <w:start w:val="1"/>
      <w:numFmt w:val="decimal"/>
      <w:lvlText w:val="%7"/>
      <w:lvlJc w:val="left"/>
      <w:pPr>
        <w:ind w:left="4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624EEE">
      <w:start w:val="1"/>
      <w:numFmt w:val="lowerLetter"/>
      <w:lvlText w:val="%8"/>
      <w:lvlJc w:val="left"/>
      <w:pPr>
        <w:ind w:left="4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B85500">
      <w:start w:val="1"/>
      <w:numFmt w:val="lowerRoman"/>
      <w:lvlText w:val="%9"/>
      <w:lvlJc w:val="left"/>
      <w:pPr>
        <w:ind w:left="5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A837296"/>
    <w:multiLevelType w:val="hybridMultilevel"/>
    <w:tmpl w:val="440843BC"/>
    <w:lvl w:ilvl="0" w:tplc="D2F6BF94">
      <w:start w:val="1"/>
      <w:numFmt w:val="lowerLetter"/>
      <w:lvlText w:val="%1)"/>
      <w:lvlJc w:val="left"/>
      <w:pPr>
        <w:ind w:left="28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3FA04108">
      <w:start w:val="3"/>
      <w:numFmt w:val="decimal"/>
      <w:lvlText w:val="(%2)"/>
      <w:lvlJc w:val="left"/>
      <w:pPr>
        <w:ind w:left="7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65BC35D6">
      <w:start w:val="1"/>
      <w:numFmt w:val="lowerRoman"/>
      <w:lvlText w:val="%3"/>
      <w:lvlJc w:val="left"/>
      <w:pPr>
        <w:ind w:left="130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A31E3F30">
      <w:start w:val="1"/>
      <w:numFmt w:val="decimal"/>
      <w:lvlText w:val="%4"/>
      <w:lvlJc w:val="left"/>
      <w:pPr>
        <w:ind w:left="202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9E7A4A2E">
      <w:start w:val="1"/>
      <w:numFmt w:val="lowerLetter"/>
      <w:lvlText w:val="%5"/>
      <w:lvlJc w:val="left"/>
      <w:pPr>
        <w:ind w:left="274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3E688F1E">
      <w:start w:val="1"/>
      <w:numFmt w:val="lowerRoman"/>
      <w:lvlText w:val="%6"/>
      <w:lvlJc w:val="left"/>
      <w:pPr>
        <w:ind w:left="346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00809FB8">
      <w:start w:val="1"/>
      <w:numFmt w:val="decimal"/>
      <w:lvlText w:val="%7"/>
      <w:lvlJc w:val="left"/>
      <w:pPr>
        <w:ind w:left="418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F2343454">
      <w:start w:val="1"/>
      <w:numFmt w:val="lowerLetter"/>
      <w:lvlText w:val="%8"/>
      <w:lvlJc w:val="left"/>
      <w:pPr>
        <w:ind w:left="490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CAD26534">
      <w:start w:val="1"/>
      <w:numFmt w:val="lowerRoman"/>
      <w:lvlText w:val="%9"/>
      <w:lvlJc w:val="left"/>
      <w:pPr>
        <w:ind w:left="562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0B42048C"/>
    <w:multiLevelType w:val="hybridMultilevel"/>
    <w:tmpl w:val="3E54AD58"/>
    <w:lvl w:ilvl="0" w:tplc="FDF2CF88">
      <w:start w:val="1"/>
      <w:numFmt w:val="decimal"/>
      <w:lvlText w:val="(%1)"/>
      <w:lvlJc w:val="left"/>
      <w:pPr>
        <w:ind w:left="1211" w:hanging="360"/>
      </w:pPr>
      <w:rPr>
        <w:rFonts w:cs="Times New Roman" w:hint="default"/>
      </w:rPr>
    </w:lvl>
    <w:lvl w:ilvl="1" w:tplc="041B0019" w:tentative="1">
      <w:start w:val="1"/>
      <w:numFmt w:val="lowerLetter"/>
      <w:lvlText w:val="%2."/>
      <w:lvlJc w:val="left"/>
      <w:pPr>
        <w:ind w:left="1931" w:hanging="360"/>
      </w:pPr>
      <w:rPr>
        <w:rFonts w:cs="Times New Roman"/>
      </w:rPr>
    </w:lvl>
    <w:lvl w:ilvl="2" w:tplc="041B001B" w:tentative="1">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5" w15:restartNumberingAfterBreak="0">
    <w:nsid w:val="0BD775D8"/>
    <w:multiLevelType w:val="hybridMultilevel"/>
    <w:tmpl w:val="119A8542"/>
    <w:lvl w:ilvl="0" w:tplc="041B0017">
      <w:start w:val="10"/>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E1131B"/>
    <w:multiLevelType w:val="hybridMultilevel"/>
    <w:tmpl w:val="6B60DF4A"/>
    <w:lvl w:ilvl="0" w:tplc="CAF4867A">
      <w:start w:val="1"/>
      <w:numFmt w:val="lowerLetter"/>
      <w:lvlText w:val="%1)"/>
      <w:lvlJc w:val="left"/>
      <w:pPr>
        <w:ind w:left="283"/>
      </w:pPr>
      <w:rPr>
        <w:rFonts w:ascii="Calibri" w:eastAsia="Times New Roman" w:hAnsi="Calibri"/>
        <w:b w:val="0"/>
        <w:bCs w:val="0"/>
        <w:i w:val="0"/>
        <w:iCs w:val="0"/>
        <w:strike w:val="0"/>
        <w:dstrike w:val="0"/>
        <w:color w:val="000000"/>
        <w:sz w:val="20"/>
        <w:szCs w:val="20"/>
        <w:u w:val="none"/>
        <w:vertAlign w:val="baseline"/>
      </w:rPr>
    </w:lvl>
    <w:lvl w:ilvl="1" w:tplc="631EC9F6">
      <w:start w:val="5"/>
      <w:numFmt w:val="decimal"/>
      <w:lvlText w:val="(%2)"/>
      <w:lvlJc w:val="left"/>
      <w:pPr>
        <w:ind w:left="227"/>
      </w:pPr>
      <w:rPr>
        <w:rFonts w:ascii="Calibri" w:eastAsia="Times New Roman" w:hAnsi="Calibri"/>
        <w:b w:val="0"/>
        <w:bCs w:val="0"/>
        <w:i w:val="0"/>
        <w:iCs w:val="0"/>
        <w:strike w:val="0"/>
        <w:dstrike w:val="0"/>
        <w:color w:val="000000"/>
        <w:sz w:val="20"/>
        <w:szCs w:val="20"/>
        <w:u w:val="none"/>
        <w:vertAlign w:val="baseline"/>
      </w:rPr>
    </w:lvl>
    <w:lvl w:ilvl="2" w:tplc="819CD7EC">
      <w:start w:val="1"/>
      <w:numFmt w:val="lowerRoman"/>
      <w:lvlText w:val="%3"/>
      <w:lvlJc w:val="left"/>
      <w:pPr>
        <w:ind w:left="1307"/>
      </w:pPr>
      <w:rPr>
        <w:rFonts w:ascii="Calibri" w:eastAsia="Times New Roman" w:hAnsi="Calibri"/>
        <w:b w:val="0"/>
        <w:bCs w:val="0"/>
        <w:i w:val="0"/>
        <w:iCs w:val="0"/>
        <w:strike w:val="0"/>
        <w:dstrike w:val="0"/>
        <w:color w:val="000000"/>
        <w:sz w:val="20"/>
        <w:szCs w:val="20"/>
        <w:u w:val="none"/>
        <w:vertAlign w:val="baseline"/>
      </w:rPr>
    </w:lvl>
    <w:lvl w:ilvl="3" w:tplc="38268BD8">
      <w:start w:val="1"/>
      <w:numFmt w:val="decimal"/>
      <w:lvlText w:val="%4"/>
      <w:lvlJc w:val="left"/>
      <w:pPr>
        <w:ind w:left="2027"/>
      </w:pPr>
      <w:rPr>
        <w:rFonts w:ascii="Calibri" w:eastAsia="Times New Roman" w:hAnsi="Calibri"/>
        <w:b w:val="0"/>
        <w:bCs w:val="0"/>
        <w:i w:val="0"/>
        <w:iCs w:val="0"/>
        <w:strike w:val="0"/>
        <w:dstrike w:val="0"/>
        <w:color w:val="000000"/>
        <w:sz w:val="20"/>
        <w:szCs w:val="20"/>
        <w:u w:val="none"/>
        <w:vertAlign w:val="baseline"/>
      </w:rPr>
    </w:lvl>
    <w:lvl w:ilvl="4" w:tplc="81C4BBE8">
      <w:start w:val="1"/>
      <w:numFmt w:val="lowerLetter"/>
      <w:lvlText w:val="%5"/>
      <w:lvlJc w:val="left"/>
      <w:pPr>
        <w:ind w:left="2747"/>
      </w:pPr>
      <w:rPr>
        <w:rFonts w:ascii="Calibri" w:eastAsia="Times New Roman" w:hAnsi="Calibri"/>
        <w:b w:val="0"/>
        <w:bCs w:val="0"/>
        <w:i w:val="0"/>
        <w:iCs w:val="0"/>
        <w:strike w:val="0"/>
        <w:dstrike w:val="0"/>
        <w:color w:val="000000"/>
        <w:sz w:val="20"/>
        <w:szCs w:val="20"/>
        <w:u w:val="none"/>
        <w:vertAlign w:val="baseline"/>
      </w:rPr>
    </w:lvl>
    <w:lvl w:ilvl="5" w:tplc="2FD2F546">
      <w:start w:val="1"/>
      <w:numFmt w:val="lowerRoman"/>
      <w:lvlText w:val="%6"/>
      <w:lvlJc w:val="left"/>
      <w:pPr>
        <w:ind w:left="3467"/>
      </w:pPr>
      <w:rPr>
        <w:rFonts w:ascii="Calibri" w:eastAsia="Times New Roman" w:hAnsi="Calibri"/>
        <w:b w:val="0"/>
        <w:bCs w:val="0"/>
        <w:i w:val="0"/>
        <w:iCs w:val="0"/>
        <w:strike w:val="0"/>
        <w:dstrike w:val="0"/>
        <w:color w:val="000000"/>
        <w:sz w:val="20"/>
        <w:szCs w:val="20"/>
        <w:u w:val="none"/>
        <w:vertAlign w:val="baseline"/>
      </w:rPr>
    </w:lvl>
    <w:lvl w:ilvl="6" w:tplc="3A8C5726">
      <w:start w:val="1"/>
      <w:numFmt w:val="decimal"/>
      <w:lvlText w:val="%7"/>
      <w:lvlJc w:val="left"/>
      <w:pPr>
        <w:ind w:left="4187"/>
      </w:pPr>
      <w:rPr>
        <w:rFonts w:ascii="Calibri" w:eastAsia="Times New Roman" w:hAnsi="Calibri"/>
        <w:b w:val="0"/>
        <w:bCs w:val="0"/>
        <w:i w:val="0"/>
        <w:iCs w:val="0"/>
        <w:strike w:val="0"/>
        <w:dstrike w:val="0"/>
        <w:color w:val="000000"/>
        <w:sz w:val="20"/>
        <w:szCs w:val="20"/>
        <w:u w:val="none"/>
        <w:vertAlign w:val="baseline"/>
      </w:rPr>
    </w:lvl>
    <w:lvl w:ilvl="7" w:tplc="D444CF5A">
      <w:start w:val="1"/>
      <w:numFmt w:val="lowerLetter"/>
      <w:lvlText w:val="%8"/>
      <w:lvlJc w:val="left"/>
      <w:pPr>
        <w:ind w:left="4907"/>
      </w:pPr>
      <w:rPr>
        <w:rFonts w:ascii="Calibri" w:eastAsia="Times New Roman" w:hAnsi="Calibri"/>
        <w:b w:val="0"/>
        <w:bCs w:val="0"/>
        <w:i w:val="0"/>
        <w:iCs w:val="0"/>
        <w:strike w:val="0"/>
        <w:dstrike w:val="0"/>
        <w:color w:val="000000"/>
        <w:sz w:val="20"/>
        <w:szCs w:val="20"/>
        <w:u w:val="none"/>
        <w:vertAlign w:val="baseline"/>
      </w:rPr>
    </w:lvl>
    <w:lvl w:ilvl="8" w:tplc="2F80A916">
      <w:start w:val="1"/>
      <w:numFmt w:val="lowerRoman"/>
      <w:lvlText w:val="%9"/>
      <w:lvlJc w:val="left"/>
      <w:pPr>
        <w:ind w:left="5627"/>
      </w:pPr>
      <w:rPr>
        <w:rFonts w:ascii="Calibri" w:eastAsia="Times New Roman" w:hAnsi="Calibri"/>
        <w:b w:val="0"/>
        <w:bCs w:val="0"/>
        <w:i w:val="0"/>
        <w:iCs w:val="0"/>
        <w:strike w:val="0"/>
        <w:dstrike w:val="0"/>
        <w:color w:val="000000"/>
        <w:sz w:val="20"/>
        <w:szCs w:val="20"/>
        <w:u w:val="none"/>
        <w:vertAlign w:val="baseline"/>
      </w:rPr>
    </w:lvl>
  </w:abstractNum>
  <w:abstractNum w:abstractNumId="7" w15:restartNumberingAfterBreak="0">
    <w:nsid w:val="1A281DE8"/>
    <w:multiLevelType w:val="hybridMultilevel"/>
    <w:tmpl w:val="1536FC46"/>
    <w:lvl w:ilvl="0" w:tplc="C99C07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8A6B4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1C390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D0F5C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9693D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DA83B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90EDF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1E36E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B0738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CC90AEB"/>
    <w:multiLevelType w:val="multilevel"/>
    <w:tmpl w:val="1FEAD1D8"/>
    <w:lvl w:ilvl="0">
      <w:start w:val="1"/>
      <w:numFmt w:val="lowerLetter"/>
      <w:lvlText w:val="%1)"/>
      <w:lvlJc w:val="left"/>
      <w:pPr>
        <w:tabs>
          <w:tab w:val="num" w:pos="720"/>
        </w:tabs>
        <w:ind w:left="720" w:hanging="360"/>
      </w:pPr>
      <w:rPr>
        <w:rFonts w:cs="Times New Roman" w:hint="default"/>
        <w:b w:val="0"/>
        <w:i w:val="0"/>
        <w:strike w:val="0"/>
        <w:dstrike w:val="0"/>
        <w:color w:val="000000"/>
        <w:sz w:val="20"/>
        <w:szCs w:val="20"/>
        <w:u w:val="none" w:color="000000"/>
        <w:vertAlign w:val="baseline"/>
      </w:rPr>
    </w:lvl>
    <w:lvl w:ilvl="1">
      <w:start w:val="1"/>
      <w:numFmt w:val="lowerLetter"/>
      <w:lvlText w:val="%2)"/>
      <w:lvlJc w:val="left"/>
      <w:pPr>
        <w:tabs>
          <w:tab w:val="num" w:pos="644"/>
        </w:tabs>
        <w:ind w:left="644"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1E776F1A"/>
    <w:multiLevelType w:val="hybridMultilevel"/>
    <w:tmpl w:val="A39E62D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288770F"/>
    <w:multiLevelType w:val="hybridMultilevel"/>
    <w:tmpl w:val="75C8D7E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3967802"/>
    <w:multiLevelType w:val="hybridMultilevel"/>
    <w:tmpl w:val="51602C22"/>
    <w:lvl w:ilvl="0" w:tplc="69960790">
      <w:start w:val="1"/>
      <w:numFmt w:val="lowerLetter"/>
      <w:lvlText w:val="%1)"/>
      <w:lvlJc w:val="left"/>
      <w:pPr>
        <w:ind w:left="28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7D7EA6DC">
      <w:start w:val="1"/>
      <w:numFmt w:val="lowerLetter"/>
      <w:lvlText w:val="%2"/>
      <w:lvlJc w:val="left"/>
      <w:pPr>
        <w:ind w:left="10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DE02A50E">
      <w:start w:val="1"/>
      <w:numFmt w:val="lowerRoman"/>
      <w:lvlText w:val="%3"/>
      <w:lvlJc w:val="left"/>
      <w:pPr>
        <w:ind w:left="18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8DAC6134">
      <w:start w:val="1"/>
      <w:numFmt w:val="decimal"/>
      <w:lvlText w:val="%4"/>
      <w:lvlJc w:val="left"/>
      <w:pPr>
        <w:ind w:left="25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614AAD6C">
      <w:start w:val="1"/>
      <w:numFmt w:val="lowerLetter"/>
      <w:lvlText w:val="%5"/>
      <w:lvlJc w:val="left"/>
      <w:pPr>
        <w:ind w:left="324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79506542">
      <w:start w:val="1"/>
      <w:numFmt w:val="lowerRoman"/>
      <w:lvlText w:val="%6"/>
      <w:lvlJc w:val="left"/>
      <w:pPr>
        <w:ind w:left="396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ED9610CC">
      <w:start w:val="1"/>
      <w:numFmt w:val="decimal"/>
      <w:lvlText w:val="%7"/>
      <w:lvlJc w:val="left"/>
      <w:pPr>
        <w:ind w:left="46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D4CAFE64">
      <w:start w:val="1"/>
      <w:numFmt w:val="lowerLetter"/>
      <w:lvlText w:val="%8"/>
      <w:lvlJc w:val="left"/>
      <w:pPr>
        <w:ind w:left="54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E3143436">
      <w:start w:val="1"/>
      <w:numFmt w:val="lowerRoman"/>
      <w:lvlText w:val="%9"/>
      <w:lvlJc w:val="left"/>
      <w:pPr>
        <w:ind w:left="61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12" w15:restartNumberingAfterBreak="0">
    <w:nsid w:val="27FE03BC"/>
    <w:multiLevelType w:val="hybridMultilevel"/>
    <w:tmpl w:val="03FC324C"/>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13" w15:restartNumberingAfterBreak="0">
    <w:nsid w:val="280C0158"/>
    <w:multiLevelType w:val="hybridMultilevel"/>
    <w:tmpl w:val="2A5083F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8D70729"/>
    <w:multiLevelType w:val="hybridMultilevel"/>
    <w:tmpl w:val="9F7C05CE"/>
    <w:lvl w:ilvl="0" w:tplc="1828120C">
      <w:start w:val="1"/>
      <w:numFmt w:val="lowerLetter"/>
      <w:lvlText w:val="%1)"/>
      <w:lvlJc w:val="left"/>
      <w:pPr>
        <w:ind w:left="720" w:hanging="360"/>
      </w:pPr>
      <w:rPr>
        <w:rFonts w:hint="default"/>
        <w:b w:val="0"/>
        <w:i w:val="0"/>
        <w:strike w:val="0"/>
        <w:dstrike w:val="0"/>
        <w:color w:val="000000"/>
        <w:sz w:val="20"/>
        <w:szCs w:val="20"/>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ED339F"/>
    <w:multiLevelType w:val="hybridMultilevel"/>
    <w:tmpl w:val="95CE9B7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2AC328E6"/>
    <w:multiLevelType w:val="hybridMultilevel"/>
    <w:tmpl w:val="511AE214"/>
    <w:lvl w:ilvl="0" w:tplc="4B3E11EE">
      <w:start w:val="1"/>
      <w:numFmt w:val="lowerLetter"/>
      <w:lvlText w:val="%1)"/>
      <w:lvlJc w:val="left"/>
      <w:pPr>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7" w15:restartNumberingAfterBreak="0">
    <w:nsid w:val="31AC43E5"/>
    <w:multiLevelType w:val="singleLevel"/>
    <w:tmpl w:val="4B3E11EE"/>
    <w:lvl w:ilvl="0">
      <w:start w:val="1"/>
      <w:numFmt w:val="lowerLetter"/>
      <w:lvlText w:val="%1)"/>
      <w:legacy w:legacy="1" w:legacySpace="0" w:legacyIndent="283"/>
      <w:lvlJc w:val="left"/>
      <w:pPr>
        <w:ind w:left="283" w:hanging="283"/>
      </w:pPr>
    </w:lvl>
  </w:abstractNum>
  <w:abstractNum w:abstractNumId="18" w15:restartNumberingAfterBreak="0">
    <w:nsid w:val="344D2A38"/>
    <w:multiLevelType w:val="hybridMultilevel"/>
    <w:tmpl w:val="522E2964"/>
    <w:lvl w:ilvl="0" w:tplc="8340AF02">
      <w:start w:val="1"/>
      <w:numFmt w:val="decimal"/>
      <w:lvlText w:val="%1."/>
      <w:lvlJc w:val="left"/>
      <w:pPr>
        <w:ind w:left="1004" w:hanging="360"/>
      </w:pPr>
      <w:rPr>
        <w:rFonts w:cs="Times New Roman" w:hint="default"/>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9" w15:restartNumberingAfterBreak="0">
    <w:nsid w:val="35717054"/>
    <w:multiLevelType w:val="hybridMultilevel"/>
    <w:tmpl w:val="3C5CF3D2"/>
    <w:lvl w:ilvl="0" w:tplc="8A02D1C2">
      <w:start w:val="1"/>
      <w:numFmt w:val="lowerLetter"/>
      <w:lvlText w:val="%1)"/>
      <w:lvlJc w:val="left"/>
      <w:pPr>
        <w:ind w:left="28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B1C2EB84">
      <w:start w:val="4"/>
      <w:numFmt w:val="decimal"/>
      <w:lvlText w:val="(%2)"/>
      <w:lvlJc w:val="left"/>
      <w:pPr>
        <w:ind w:left="7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B2224534">
      <w:start w:val="1"/>
      <w:numFmt w:val="lowerRoman"/>
      <w:lvlText w:val="%3"/>
      <w:lvlJc w:val="left"/>
      <w:pPr>
        <w:ind w:left="130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45923D34">
      <w:start w:val="1"/>
      <w:numFmt w:val="decimal"/>
      <w:lvlText w:val="%4"/>
      <w:lvlJc w:val="left"/>
      <w:pPr>
        <w:ind w:left="202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62FCD0D0">
      <w:start w:val="1"/>
      <w:numFmt w:val="lowerLetter"/>
      <w:lvlText w:val="%5"/>
      <w:lvlJc w:val="left"/>
      <w:pPr>
        <w:ind w:left="274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62E6810E">
      <w:start w:val="1"/>
      <w:numFmt w:val="lowerRoman"/>
      <w:lvlText w:val="%6"/>
      <w:lvlJc w:val="left"/>
      <w:pPr>
        <w:ind w:left="346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6EF87A7A">
      <w:start w:val="1"/>
      <w:numFmt w:val="decimal"/>
      <w:lvlText w:val="%7"/>
      <w:lvlJc w:val="left"/>
      <w:pPr>
        <w:ind w:left="418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12AE015A">
      <w:start w:val="1"/>
      <w:numFmt w:val="lowerLetter"/>
      <w:lvlText w:val="%8"/>
      <w:lvlJc w:val="left"/>
      <w:pPr>
        <w:ind w:left="490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128C087C">
      <w:start w:val="1"/>
      <w:numFmt w:val="lowerRoman"/>
      <w:lvlText w:val="%9"/>
      <w:lvlJc w:val="left"/>
      <w:pPr>
        <w:ind w:left="562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20" w15:restartNumberingAfterBreak="0">
    <w:nsid w:val="37FB5015"/>
    <w:multiLevelType w:val="hybridMultilevel"/>
    <w:tmpl w:val="3AB6BA14"/>
    <w:lvl w:ilvl="0" w:tplc="041B0017">
      <w:start w:val="16"/>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85677FC"/>
    <w:multiLevelType w:val="hybridMultilevel"/>
    <w:tmpl w:val="88EC260E"/>
    <w:lvl w:ilvl="0" w:tplc="041B0017">
      <w:start w:val="1"/>
      <w:numFmt w:val="lowerLetter"/>
      <w:lvlText w:val="%1)"/>
      <w:lvlJc w:val="left"/>
      <w:pPr>
        <w:ind w:left="720" w:hanging="360"/>
      </w:pPr>
      <w:rPr>
        <w:rFonts w:cs="Times New Roman"/>
      </w:rPr>
    </w:lvl>
    <w:lvl w:ilvl="1" w:tplc="041B000F">
      <w:start w:val="1"/>
      <w:numFmt w:val="decimal"/>
      <w:lvlText w:val="%2."/>
      <w:lvlJc w:val="left"/>
      <w:pPr>
        <w:ind w:left="1440" w:hanging="360"/>
      </w:pPr>
      <w:rPr>
        <w:rFonts w:cs="Times New Roman"/>
      </w:rPr>
    </w:lvl>
    <w:lvl w:ilvl="2" w:tplc="4922338A">
      <w:start w:val="1"/>
      <w:numFmt w:val="decimal"/>
      <w:lvlText w:val="%3)"/>
      <w:lvlJc w:val="left"/>
      <w:pPr>
        <w:ind w:left="2340" w:hanging="360"/>
      </w:pPr>
      <w:rPr>
        <w:rFonts w:cs="Times New Roman" w:hint="default"/>
      </w:rPr>
    </w:lvl>
    <w:lvl w:ilvl="3" w:tplc="64EAF8BE">
      <w:start w:val="3"/>
      <w:numFmt w:val="decimal"/>
      <w:lvlText w:val="%4"/>
      <w:lvlJc w:val="left"/>
      <w:pPr>
        <w:ind w:left="2880" w:hanging="360"/>
      </w:pPr>
      <w:rPr>
        <w:rFonts w:cs="Times New Roman"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3B09099D"/>
    <w:multiLevelType w:val="multilevel"/>
    <w:tmpl w:val="F864B274"/>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644"/>
        </w:tabs>
        <w:ind w:left="644"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3" w15:restartNumberingAfterBreak="0">
    <w:nsid w:val="3C357FBC"/>
    <w:multiLevelType w:val="multilevel"/>
    <w:tmpl w:val="3842AF8E"/>
    <w:lvl w:ilvl="0">
      <w:start w:val="1"/>
      <w:numFmt w:val="decimal"/>
      <w:lvlText w:val="(%1)"/>
      <w:lvlJc w:val="left"/>
      <w:pPr>
        <w:ind w:left="786"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B10000"/>
    <w:multiLevelType w:val="hybridMultilevel"/>
    <w:tmpl w:val="D070E1F4"/>
    <w:lvl w:ilvl="0" w:tplc="87B6D7E4">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3DBA4156"/>
    <w:multiLevelType w:val="hybridMultilevel"/>
    <w:tmpl w:val="AC584C9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35D0DA8"/>
    <w:multiLevelType w:val="hybridMultilevel"/>
    <w:tmpl w:val="D3A4E0B4"/>
    <w:lvl w:ilvl="0" w:tplc="041B0011">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56332DF"/>
    <w:multiLevelType w:val="hybridMultilevel"/>
    <w:tmpl w:val="49F83210"/>
    <w:lvl w:ilvl="0" w:tplc="EF80BDA0">
      <w:start w:val="8"/>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28" w15:restartNumberingAfterBreak="0">
    <w:nsid w:val="467F482F"/>
    <w:multiLevelType w:val="hybridMultilevel"/>
    <w:tmpl w:val="C52CD84A"/>
    <w:lvl w:ilvl="0" w:tplc="DBEA27F8">
      <w:start w:val="1"/>
      <w:numFmt w:val="decimal"/>
      <w:lvlText w:val="(%1)"/>
      <w:lvlJc w:val="left"/>
      <w:pPr>
        <w:ind w:left="572" w:hanging="360"/>
      </w:pPr>
    </w:lvl>
    <w:lvl w:ilvl="1" w:tplc="041B0019">
      <w:start w:val="1"/>
      <w:numFmt w:val="lowerLetter"/>
      <w:lvlText w:val="%2."/>
      <w:lvlJc w:val="left"/>
      <w:pPr>
        <w:ind w:left="1292" w:hanging="360"/>
      </w:pPr>
    </w:lvl>
    <w:lvl w:ilvl="2" w:tplc="041B001B">
      <w:start w:val="1"/>
      <w:numFmt w:val="lowerRoman"/>
      <w:lvlText w:val="%3."/>
      <w:lvlJc w:val="right"/>
      <w:pPr>
        <w:ind w:left="2012" w:hanging="180"/>
      </w:pPr>
    </w:lvl>
    <w:lvl w:ilvl="3" w:tplc="041B000F">
      <w:start w:val="1"/>
      <w:numFmt w:val="decimal"/>
      <w:lvlText w:val="%4."/>
      <w:lvlJc w:val="left"/>
      <w:pPr>
        <w:ind w:left="2732" w:hanging="360"/>
      </w:pPr>
    </w:lvl>
    <w:lvl w:ilvl="4" w:tplc="041B0019">
      <w:start w:val="1"/>
      <w:numFmt w:val="lowerLetter"/>
      <w:lvlText w:val="%5."/>
      <w:lvlJc w:val="left"/>
      <w:pPr>
        <w:ind w:left="3452" w:hanging="360"/>
      </w:pPr>
    </w:lvl>
    <w:lvl w:ilvl="5" w:tplc="041B001B">
      <w:start w:val="1"/>
      <w:numFmt w:val="lowerRoman"/>
      <w:lvlText w:val="%6."/>
      <w:lvlJc w:val="right"/>
      <w:pPr>
        <w:ind w:left="4172" w:hanging="180"/>
      </w:pPr>
    </w:lvl>
    <w:lvl w:ilvl="6" w:tplc="041B000F">
      <w:start w:val="1"/>
      <w:numFmt w:val="decimal"/>
      <w:lvlText w:val="%7."/>
      <w:lvlJc w:val="left"/>
      <w:pPr>
        <w:ind w:left="4892" w:hanging="360"/>
      </w:pPr>
    </w:lvl>
    <w:lvl w:ilvl="7" w:tplc="041B0019">
      <w:start w:val="1"/>
      <w:numFmt w:val="lowerLetter"/>
      <w:lvlText w:val="%8."/>
      <w:lvlJc w:val="left"/>
      <w:pPr>
        <w:ind w:left="5612" w:hanging="360"/>
      </w:pPr>
    </w:lvl>
    <w:lvl w:ilvl="8" w:tplc="041B001B">
      <w:start w:val="1"/>
      <w:numFmt w:val="lowerRoman"/>
      <w:lvlText w:val="%9."/>
      <w:lvlJc w:val="right"/>
      <w:pPr>
        <w:ind w:left="6332" w:hanging="180"/>
      </w:pPr>
    </w:lvl>
  </w:abstractNum>
  <w:abstractNum w:abstractNumId="29" w15:restartNumberingAfterBreak="0">
    <w:nsid w:val="483671A5"/>
    <w:multiLevelType w:val="hybridMultilevel"/>
    <w:tmpl w:val="2EA28BE2"/>
    <w:lvl w:ilvl="0" w:tplc="041B0017">
      <w:start w:val="1"/>
      <w:numFmt w:val="lowerLetter"/>
      <w:lvlText w:val="%1)"/>
      <w:lvlJc w:val="left"/>
      <w:pPr>
        <w:ind w:left="932" w:hanging="360"/>
      </w:pPr>
    </w:lvl>
    <w:lvl w:ilvl="1" w:tplc="041B0019">
      <w:start w:val="1"/>
      <w:numFmt w:val="lowerLetter"/>
      <w:lvlText w:val="%2."/>
      <w:lvlJc w:val="left"/>
      <w:pPr>
        <w:ind w:left="1652" w:hanging="360"/>
      </w:pPr>
    </w:lvl>
    <w:lvl w:ilvl="2" w:tplc="041B001B">
      <w:start w:val="1"/>
      <w:numFmt w:val="lowerRoman"/>
      <w:lvlText w:val="%3."/>
      <w:lvlJc w:val="right"/>
      <w:pPr>
        <w:ind w:left="2372" w:hanging="180"/>
      </w:pPr>
    </w:lvl>
    <w:lvl w:ilvl="3" w:tplc="041B000F">
      <w:start w:val="1"/>
      <w:numFmt w:val="decimal"/>
      <w:lvlText w:val="%4."/>
      <w:lvlJc w:val="left"/>
      <w:pPr>
        <w:ind w:left="3092" w:hanging="360"/>
      </w:pPr>
    </w:lvl>
    <w:lvl w:ilvl="4" w:tplc="041B0019">
      <w:start w:val="1"/>
      <w:numFmt w:val="lowerLetter"/>
      <w:lvlText w:val="%5."/>
      <w:lvlJc w:val="left"/>
      <w:pPr>
        <w:ind w:left="3812" w:hanging="360"/>
      </w:pPr>
    </w:lvl>
    <w:lvl w:ilvl="5" w:tplc="041B001B">
      <w:start w:val="1"/>
      <w:numFmt w:val="lowerRoman"/>
      <w:lvlText w:val="%6."/>
      <w:lvlJc w:val="right"/>
      <w:pPr>
        <w:ind w:left="4532" w:hanging="180"/>
      </w:pPr>
    </w:lvl>
    <w:lvl w:ilvl="6" w:tplc="041B000F">
      <w:start w:val="1"/>
      <w:numFmt w:val="decimal"/>
      <w:lvlText w:val="%7."/>
      <w:lvlJc w:val="left"/>
      <w:pPr>
        <w:ind w:left="5252" w:hanging="360"/>
      </w:pPr>
    </w:lvl>
    <w:lvl w:ilvl="7" w:tplc="041B0019">
      <w:start w:val="1"/>
      <w:numFmt w:val="lowerLetter"/>
      <w:lvlText w:val="%8."/>
      <w:lvlJc w:val="left"/>
      <w:pPr>
        <w:ind w:left="5972" w:hanging="360"/>
      </w:pPr>
    </w:lvl>
    <w:lvl w:ilvl="8" w:tplc="041B001B">
      <w:start w:val="1"/>
      <w:numFmt w:val="lowerRoman"/>
      <w:lvlText w:val="%9."/>
      <w:lvlJc w:val="right"/>
      <w:pPr>
        <w:ind w:left="6692" w:hanging="180"/>
      </w:pPr>
    </w:lvl>
  </w:abstractNum>
  <w:abstractNum w:abstractNumId="30" w15:restartNumberingAfterBreak="0">
    <w:nsid w:val="4AE27E64"/>
    <w:multiLevelType w:val="hybridMultilevel"/>
    <w:tmpl w:val="0CDA8534"/>
    <w:lvl w:ilvl="0" w:tplc="8A8235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C6C60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84A0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A4C4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5E2D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00C4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38A6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94A3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10081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F0C3FCA"/>
    <w:multiLevelType w:val="hybridMultilevel"/>
    <w:tmpl w:val="F30233C4"/>
    <w:lvl w:ilvl="0" w:tplc="041B000F">
      <w:start w:val="1"/>
      <w:numFmt w:val="decimal"/>
      <w:lvlText w:val="%1."/>
      <w:lvlJc w:val="left"/>
      <w:pPr>
        <w:ind w:left="340" w:firstLine="0"/>
      </w:pPr>
      <w:rPr>
        <w:b w:val="0"/>
        <w:i w:val="0"/>
        <w:strike w:val="0"/>
        <w:dstrike w:val="0"/>
        <w:color w:val="000000"/>
        <w:sz w:val="20"/>
        <w:szCs w:val="20"/>
        <w:u w:val="none" w:color="000000"/>
        <w:effect w:val="none"/>
        <w:bdr w:val="none" w:sz="0" w:space="0" w:color="auto" w:frame="1"/>
        <w:vertAlign w:val="baseline"/>
      </w:rPr>
    </w:lvl>
    <w:lvl w:ilvl="1" w:tplc="D8FA7AAC">
      <w:start w:val="1"/>
      <w:numFmt w:val="decimal"/>
      <w:lvlText w:val="%2."/>
      <w:lvlJc w:val="left"/>
      <w:pPr>
        <w:ind w:left="73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ADF621A2">
      <w:start w:val="1"/>
      <w:numFmt w:val="lowerRoman"/>
      <w:lvlText w:val="%3"/>
      <w:lvlJc w:val="left"/>
      <w:pPr>
        <w:ind w:left="114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B0E245B8">
      <w:start w:val="1"/>
      <w:numFmt w:val="decimal"/>
      <w:lvlText w:val="%4"/>
      <w:lvlJc w:val="left"/>
      <w:pPr>
        <w:ind w:left="186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0D08666E">
      <w:start w:val="1"/>
      <w:numFmt w:val="lowerLetter"/>
      <w:lvlText w:val="%5"/>
      <w:lvlJc w:val="left"/>
      <w:pPr>
        <w:ind w:left="25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E98092D0">
      <w:start w:val="1"/>
      <w:numFmt w:val="lowerRoman"/>
      <w:lvlText w:val="%6"/>
      <w:lvlJc w:val="left"/>
      <w:pPr>
        <w:ind w:left="33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D2FE1742">
      <w:start w:val="1"/>
      <w:numFmt w:val="decimal"/>
      <w:lvlText w:val="%7"/>
      <w:lvlJc w:val="left"/>
      <w:pPr>
        <w:ind w:left="40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A0624EEE">
      <w:start w:val="1"/>
      <w:numFmt w:val="lowerLetter"/>
      <w:lvlText w:val="%8"/>
      <w:lvlJc w:val="left"/>
      <w:pPr>
        <w:ind w:left="474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5EB85500">
      <w:start w:val="1"/>
      <w:numFmt w:val="lowerRoman"/>
      <w:lvlText w:val="%9"/>
      <w:lvlJc w:val="left"/>
      <w:pPr>
        <w:ind w:left="546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32" w15:restartNumberingAfterBreak="0">
    <w:nsid w:val="4F232711"/>
    <w:multiLevelType w:val="hybridMultilevel"/>
    <w:tmpl w:val="0E3A43F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F6356B2"/>
    <w:multiLevelType w:val="hybridMultilevel"/>
    <w:tmpl w:val="6FCC7E4E"/>
    <w:lvl w:ilvl="0" w:tplc="046ACE84">
      <w:start w:val="1"/>
      <w:numFmt w:val="decimal"/>
      <w:lvlText w:val="%1"/>
      <w:lvlJc w:val="left"/>
      <w:pPr>
        <w:ind w:left="36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264A55C8">
      <w:start w:val="1"/>
      <w:numFmt w:val="decimal"/>
      <w:lvlText w:val="(%2)"/>
      <w:lvlJc w:val="left"/>
      <w:pPr>
        <w:ind w:left="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43CC43C2">
      <w:start w:val="1"/>
      <w:numFmt w:val="lowerRoman"/>
      <w:lvlText w:val="%3"/>
      <w:lvlJc w:val="left"/>
      <w:pPr>
        <w:ind w:left="130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E75EA3F0">
      <w:start w:val="1"/>
      <w:numFmt w:val="decimal"/>
      <w:lvlText w:val="%4"/>
      <w:lvlJc w:val="left"/>
      <w:pPr>
        <w:ind w:left="202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9D96EB9C">
      <w:start w:val="1"/>
      <w:numFmt w:val="lowerLetter"/>
      <w:lvlText w:val="%5"/>
      <w:lvlJc w:val="left"/>
      <w:pPr>
        <w:ind w:left="274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6BC2885E">
      <w:start w:val="1"/>
      <w:numFmt w:val="lowerRoman"/>
      <w:lvlText w:val="%6"/>
      <w:lvlJc w:val="left"/>
      <w:pPr>
        <w:ind w:left="346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EA4AD864">
      <w:start w:val="1"/>
      <w:numFmt w:val="decimal"/>
      <w:lvlText w:val="%7"/>
      <w:lvlJc w:val="left"/>
      <w:pPr>
        <w:ind w:left="418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0582962A">
      <w:start w:val="1"/>
      <w:numFmt w:val="lowerLetter"/>
      <w:lvlText w:val="%8"/>
      <w:lvlJc w:val="left"/>
      <w:pPr>
        <w:ind w:left="490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737607F2">
      <w:start w:val="1"/>
      <w:numFmt w:val="lowerRoman"/>
      <w:lvlText w:val="%9"/>
      <w:lvlJc w:val="left"/>
      <w:pPr>
        <w:ind w:left="562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34" w15:restartNumberingAfterBreak="0">
    <w:nsid w:val="505753A7"/>
    <w:multiLevelType w:val="hybridMultilevel"/>
    <w:tmpl w:val="A10270A6"/>
    <w:lvl w:ilvl="0" w:tplc="66D43340">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5" w15:restartNumberingAfterBreak="0">
    <w:nsid w:val="51B71D8A"/>
    <w:multiLevelType w:val="hybridMultilevel"/>
    <w:tmpl w:val="0546A09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556437F6"/>
    <w:multiLevelType w:val="hybridMultilevel"/>
    <w:tmpl w:val="2BF8282C"/>
    <w:lvl w:ilvl="0" w:tplc="041B0017">
      <w:start w:val="1"/>
      <w:numFmt w:val="lowerLetter"/>
      <w:lvlText w:val="%1)"/>
      <w:lvlJc w:val="left"/>
      <w:pPr>
        <w:ind w:left="1080" w:hanging="360"/>
      </w:pPr>
      <w:rPr>
        <w:rFonts w:cs="Times New Roman" w:hint="default"/>
      </w:rPr>
    </w:lvl>
    <w:lvl w:ilvl="1" w:tplc="2102CB32">
      <w:start w:val="1"/>
      <w:numFmt w:val="lowerLetter"/>
      <w:lvlText w:val="%2)"/>
      <w:lvlJc w:val="left"/>
      <w:pPr>
        <w:ind w:left="1440" w:hanging="360"/>
      </w:pPr>
      <w:rPr>
        <w:rFonts w:ascii="Times New Roman" w:eastAsia="Times New Roman" w:hAnsi="Times New Roman" w:cs="Times New Roman"/>
      </w:rPr>
    </w:lvl>
    <w:lvl w:ilvl="2" w:tplc="9334B374">
      <w:start w:val="1"/>
      <w:numFmt w:val="decimal"/>
      <w:lvlText w:val="%3."/>
      <w:lvlJc w:val="left"/>
      <w:pPr>
        <w:ind w:left="2340" w:hanging="360"/>
      </w:pPr>
      <w:rPr>
        <w:rFonts w:cs="Times New Roman" w:hint="default"/>
      </w:rPr>
    </w:lvl>
    <w:lvl w:ilvl="3" w:tplc="8FF89D3E">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5E897F67"/>
    <w:multiLevelType w:val="hybridMultilevel"/>
    <w:tmpl w:val="F2AC32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EA064DC"/>
    <w:multiLevelType w:val="hybridMultilevel"/>
    <w:tmpl w:val="1BFC0CA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15:restartNumberingAfterBreak="0">
    <w:nsid w:val="64124447"/>
    <w:multiLevelType w:val="hybridMultilevel"/>
    <w:tmpl w:val="8DFC818A"/>
    <w:lvl w:ilvl="0" w:tplc="0D8299B0">
      <w:start w:val="1"/>
      <w:numFmt w:val="decimal"/>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40" w15:restartNumberingAfterBreak="0">
    <w:nsid w:val="67B557D2"/>
    <w:multiLevelType w:val="hybridMultilevel"/>
    <w:tmpl w:val="4404B9F4"/>
    <w:lvl w:ilvl="0" w:tplc="3B4433A8">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891578B"/>
    <w:multiLevelType w:val="hybridMultilevel"/>
    <w:tmpl w:val="9118B4B8"/>
    <w:lvl w:ilvl="0" w:tplc="6D04AB7E">
      <w:start w:val="1"/>
      <w:numFmt w:val="lowerLetter"/>
      <w:lvlText w:val="%1)"/>
      <w:lvlJc w:val="left"/>
      <w:pPr>
        <w:ind w:left="28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A79824EE">
      <w:start w:val="1"/>
      <w:numFmt w:val="lowerLetter"/>
      <w:lvlText w:val="%2"/>
      <w:lvlJc w:val="left"/>
      <w:pPr>
        <w:ind w:left="10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0004EAC6">
      <w:start w:val="1"/>
      <w:numFmt w:val="lowerRoman"/>
      <w:lvlText w:val="%3"/>
      <w:lvlJc w:val="left"/>
      <w:pPr>
        <w:ind w:left="18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529A6AF2">
      <w:start w:val="1"/>
      <w:numFmt w:val="decimal"/>
      <w:lvlText w:val="%4"/>
      <w:lvlJc w:val="left"/>
      <w:pPr>
        <w:ind w:left="25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581A76EC">
      <w:start w:val="1"/>
      <w:numFmt w:val="lowerLetter"/>
      <w:lvlText w:val="%5"/>
      <w:lvlJc w:val="left"/>
      <w:pPr>
        <w:ind w:left="324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A73085C8">
      <w:start w:val="1"/>
      <w:numFmt w:val="lowerRoman"/>
      <w:lvlText w:val="%6"/>
      <w:lvlJc w:val="left"/>
      <w:pPr>
        <w:ind w:left="396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ABBE1844">
      <w:start w:val="1"/>
      <w:numFmt w:val="decimal"/>
      <w:lvlText w:val="%7"/>
      <w:lvlJc w:val="left"/>
      <w:pPr>
        <w:ind w:left="46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55C27100">
      <w:start w:val="1"/>
      <w:numFmt w:val="lowerLetter"/>
      <w:lvlText w:val="%8"/>
      <w:lvlJc w:val="left"/>
      <w:pPr>
        <w:ind w:left="54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A176D082">
      <w:start w:val="1"/>
      <w:numFmt w:val="lowerRoman"/>
      <w:lvlText w:val="%9"/>
      <w:lvlJc w:val="left"/>
      <w:pPr>
        <w:ind w:left="61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42" w15:restartNumberingAfterBreak="0">
    <w:nsid w:val="6BEB774C"/>
    <w:multiLevelType w:val="hybridMultilevel"/>
    <w:tmpl w:val="8DFC818A"/>
    <w:lvl w:ilvl="0" w:tplc="0D8299B0">
      <w:start w:val="1"/>
      <w:numFmt w:val="decimal"/>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43" w15:restartNumberingAfterBreak="0">
    <w:nsid w:val="6CE8433F"/>
    <w:multiLevelType w:val="hybridMultilevel"/>
    <w:tmpl w:val="8DFC818A"/>
    <w:lvl w:ilvl="0" w:tplc="0D8299B0">
      <w:start w:val="1"/>
      <w:numFmt w:val="decimal"/>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44" w15:restartNumberingAfterBreak="0">
    <w:nsid w:val="6DA35DEC"/>
    <w:multiLevelType w:val="hybridMultilevel"/>
    <w:tmpl w:val="55CAA284"/>
    <w:lvl w:ilvl="0" w:tplc="4CF4C1C0">
      <w:start w:val="1"/>
      <w:numFmt w:val="lowerLetter"/>
      <w:lvlText w:val="%1)"/>
      <w:lvlJc w:val="left"/>
      <w:pPr>
        <w:ind w:left="1004" w:hanging="360"/>
      </w:pPr>
      <w:rPr>
        <w:rFonts w:cs="Times New Roman" w:hint="default"/>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45" w15:restartNumberingAfterBreak="0">
    <w:nsid w:val="70490124"/>
    <w:multiLevelType w:val="hybridMultilevel"/>
    <w:tmpl w:val="57A25BD0"/>
    <w:lvl w:ilvl="0" w:tplc="AAAAE08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732B0139"/>
    <w:multiLevelType w:val="hybridMultilevel"/>
    <w:tmpl w:val="83F23E88"/>
    <w:lvl w:ilvl="0" w:tplc="353C9F66">
      <w:start w:val="1"/>
      <w:numFmt w:val="decimal"/>
      <w:lvlText w:val="(%1)"/>
      <w:lvlJc w:val="left"/>
      <w:pPr>
        <w:ind w:left="1485" w:hanging="405"/>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47" w15:restartNumberingAfterBreak="0">
    <w:nsid w:val="742D2048"/>
    <w:multiLevelType w:val="hybridMultilevel"/>
    <w:tmpl w:val="2D268E18"/>
    <w:lvl w:ilvl="0" w:tplc="B94C42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2A3C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74DD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108E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9807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8476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744A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78C2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A82D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AC81FCD"/>
    <w:multiLevelType w:val="hybridMultilevel"/>
    <w:tmpl w:val="49A80F5C"/>
    <w:lvl w:ilvl="0" w:tplc="514084E8">
      <w:start w:val="1"/>
      <w:numFmt w:val="decimal"/>
      <w:lvlText w:val="(%1)"/>
      <w:lvlJc w:val="left"/>
      <w:pPr>
        <w:ind w:left="1211" w:hanging="360"/>
      </w:pPr>
      <w:rPr>
        <w:rFonts w:cs="Times New Roman" w:hint="default"/>
      </w:rPr>
    </w:lvl>
    <w:lvl w:ilvl="1" w:tplc="041B0019" w:tentative="1">
      <w:start w:val="1"/>
      <w:numFmt w:val="lowerLetter"/>
      <w:lvlText w:val="%2."/>
      <w:lvlJc w:val="left"/>
      <w:pPr>
        <w:ind w:left="1931" w:hanging="360"/>
      </w:pPr>
      <w:rPr>
        <w:rFonts w:cs="Times New Roman"/>
      </w:rPr>
    </w:lvl>
    <w:lvl w:ilvl="2" w:tplc="041B001B" w:tentative="1">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49" w15:restartNumberingAfterBreak="0">
    <w:nsid w:val="7B635F70"/>
    <w:multiLevelType w:val="hybridMultilevel"/>
    <w:tmpl w:val="E8AA5572"/>
    <w:lvl w:ilvl="0" w:tplc="4F82BDC0">
      <w:start w:val="12"/>
      <w:numFmt w:val="lowerLetter"/>
      <w:lvlText w:val="%1)"/>
      <w:lvlJc w:val="left"/>
      <w:pPr>
        <w:ind w:left="700" w:hanging="360"/>
      </w:pPr>
    </w:lvl>
    <w:lvl w:ilvl="1" w:tplc="041B0019">
      <w:start w:val="1"/>
      <w:numFmt w:val="lowerLetter"/>
      <w:lvlText w:val="%2."/>
      <w:lvlJc w:val="left"/>
      <w:pPr>
        <w:ind w:left="1420" w:hanging="360"/>
      </w:pPr>
    </w:lvl>
    <w:lvl w:ilvl="2" w:tplc="041B001B">
      <w:start w:val="1"/>
      <w:numFmt w:val="lowerRoman"/>
      <w:lvlText w:val="%3."/>
      <w:lvlJc w:val="right"/>
      <w:pPr>
        <w:ind w:left="2140" w:hanging="180"/>
      </w:pPr>
    </w:lvl>
    <w:lvl w:ilvl="3" w:tplc="041B000F">
      <w:start w:val="1"/>
      <w:numFmt w:val="decimal"/>
      <w:lvlText w:val="%4."/>
      <w:lvlJc w:val="left"/>
      <w:pPr>
        <w:ind w:left="2860" w:hanging="360"/>
      </w:pPr>
    </w:lvl>
    <w:lvl w:ilvl="4" w:tplc="041B0019">
      <w:start w:val="1"/>
      <w:numFmt w:val="lowerLetter"/>
      <w:lvlText w:val="%5."/>
      <w:lvlJc w:val="left"/>
      <w:pPr>
        <w:ind w:left="3580" w:hanging="360"/>
      </w:pPr>
    </w:lvl>
    <w:lvl w:ilvl="5" w:tplc="041B001B">
      <w:start w:val="1"/>
      <w:numFmt w:val="lowerRoman"/>
      <w:lvlText w:val="%6."/>
      <w:lvlJc w:val="right"/>
      <w:pPr>
        <w:ind w:left="4300" w:hanging="180"/>
      </w:pPr>
    </w:lvl>
    <w:lvl w:ilvl="6" w:tplc="041B000F">
      <w:start w:val="1"/>
      <w:numFmt w:val="decimal"/>
      <w:lvlText w:val="%7."/>
      <w:lvlJc w:val="left"/>
      <w:pPr>
        <w:ind w:left="5020" w:hanging="360"/>
      </w:pPr>
    </w:lvl>
    <w:lvl w:ilvl="7" w:tplc="041B0019">
      <w:start w:val="1"/>
      <w:numFmt w:val="lowerLetter"/>
      <w:lvlText w:val="%8."/>
      <w:lvlJc w:val="left"/>
      <w:pPr>
        <w:ind w:left="5740" w:hanging="360"/>
      </w:pPr>
    </w:lvl>
    <w:lvl w:ilvl="8" w:tplc="041B001B">
      <w:start w:val="1"/>
      <w:numFmt w:val="lowerRoman"/>
      <w:lvlText w:val="%9."/>
      <w:lvlJc w:val="right"/>
      <w:pPr>
        <w:ind w:left="6460" w:hanging="180"/>
      </w:pPr>
    </w:lvl>
  </w:abstractNum>
  <w:num w:numId="1">
    <w:abstractNumId w:val="9"/>
  </w:num>
  <w:num w:numId="2">
    <w:abstractNumId w:val="38"/>
  </w:num>
  <w:num w:numId="3">
    <w:abstractNumId w:val="17"/>
  </w:num>
  <w:num w:numId="4">
    <w:abstractNumId w:val="6"/>
  </w:num>
  <w:num w:numId="5">
    <w:abstractNumId w:val="16"/>
  </w:num>
  <w:num w:numId="6">
    <w:abstractNumId w:val="5"/>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44"/>
  </w:num>
  <w:num w:numId="17">
    <w:abstractNumId w:val="32"/>
  </w:num>
  <w:num w:numId="18">
    <w:abstractNumId w:val="46"/>
  </w:num>
  <w:num w:numId="19">
    <w:abstractNumId w:val="13"/>
  </w:num>
  <w:num w:numId="20">
    <w:abstractNumId w:val="39"/>
  </w:num>
  <w:num w:numId="21">
    <w:abstractNumId w:val="43"/>
  </w:num>
  <w:num w:numId="22">
    <w:abstractNumId w:val="42"/>
  </w:num>
  <w:num w:numId="23">
    <w:abstractNumId w:val="4"/>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num>
  <w:num w:numId="27">
    <w:abstractNumId w:val="34"/>
  </w:num>
  <w:num w:numId="28">
    <w:abstractNumId w:val="40"/>
  </w:num>
  <w:num w:numId="29">
    <w:abstractNumId w:val="4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0"/>
  </w:num>
  <w:num w:numId="34">
    <w:abstractNumId w:val="21"/>
  </w:num>
  <w:num w:numId="35">
    <w:abstractNumId w:val="10"/>
  </w:num>
  <w:num w:numId="36">
    <w:abstractNumId w:val="12"/>
  </w:num>
  <w:num w:numId="37">
    <w:abstractNumId w:val="26"/>
  </w:num>
  <w:num w:numId="38">
    <w:abstractNumId w:val="22"/>
  </w:num>
  <w:num w:numId="39">
    <w:abstractNumId w:val="8"/>
  </w:num>
  <w:num w:numId="40">
    <w:abstractNumId w:val="45"/>
  </w:num>
  <w:num w:numId="41">
    <w:abstractNumId w:val="1"/>
  </w:num>
  <w:num w:numId="42">
    <w:abstractNumId w:val="18"/>
  </w:num>
  <w:num w:numId="43">
    <w:abstractNumId w:val="37"/>
  </w:num>
  <w:num w:numId="44">
    <w:abstractNumId w:val="14"/>
  </w:num>
  <w:num w:numId="45">
    <w:abstractNumId w:val="25"/>
  </w:num>
  <w:num w:numId="46">
    <w:abstractNumId w:val="24"/>
  </w:num>
  <w:num w:numId="47">
    <w:abstractNumId w:val="7"/>
  </w:num>
  <w:num w:numId="48">
    <w:abstractNumId w:val="30"/>
  </w:num>
  <w:num w:numId="49">
    <w:abstractNumId w:val="2"/>
  </w:num>
  <w:num w:numId="50">
    <w:abstractNumId w:val="41"/>
  </w:num>
  <w:num w:numId="51">
    <w:abstractNumId w:val="4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08"/>
    <w:rsid w:val="00043B7A"/>
    <w:rsid w:val="000478AD"/>
    <w:rsid w:val="00074C83"/>
    <w:rsid w:val="0008749A"/>
    <w:rsid w:val="000C4B7B"/>
    <w:rsid w:val="000E363C"/>
    <w:rsid w:val="000E430F"/>
    <w:rsid w:val="000F5D9B"/>
    <w:rsid w:val="001002AD"/>
    <w:rsid w:val="00115537"/>
    <w:rsid w:val="0013600A"/>
    <w:rsid w:val="00137B61"/>
    <w:rsid w:val="0014620B"/>
    <w:rsid w:val="001546B6"/>
    <w:rsid w:val="00154923"/>
    <w:rsid w:val="00183247"/>
    <w:rsid w:val="00194220"/>
    <w:rsid w:val="001948F9"/>
    <w:rsid w:val="001B3A5A"/>
    <w:rsid w:val="001D0587"/>
    <w:rsid w:val="001D2DBC"/>
    <w:rsid w:val="001E0DAF"/>
    <w:rsid w:val="001F0389"/>
    <w:rsid w:val="002014E6"/>
    <w:rsid w:val="0021001A"/>
    <w:rsid w:val="00215280"/>
    <w:rsid w:val="0021709C"/>
    <w:rsid w:val="00250D32"/>
    <w:rsid w:val="002524C4"/>
    <w:rsid w:val="0027667F"/>
    <w:rsid w:val="002941B0"/>
    <w:rsid w:val="002A6196"/>
    <w:rsid w:val="002D4108"/>
    <w:rsid w:val="002D54BC"/>
    <w:rsid w:val="002F6E6E"/>
    <w:rsid w:val="003065D6"/>
    <w:rsid w:val="00316F8F"/>
    <w:rsid w:val="0032005D"/>
    <w:rsid w:val="003315C8"/>
    <w:rsid w:val="00350F06"/>
    <w:rsid w:val="00380EB5"/>
    <w:rsid w:val="0038164A"/>
    <w:rsid w:val="00397C00"/>
    <w:rsid w:val="003A1682"/>
    <w:rsid w:val="003C6CB0"/>
    <w:rsid w:val="003D7651"/>
    <w:rsid w:val="003E6BC7"/>
    <w:rsid w:val="003F7940"/>
    <w:rsid w:val="00445C51"/>
    <w:rsid w:val="00447A05"/>
    <w:rsid w:val="00466AD1"/>
    <w:rsid w:val="00467193"/>
    <w:rsid w:val="00483FA7"/>
    <w:rsid w:val="00497B82"/>
    <w:rsid w:val="004C3784"/>
    <w:rsid w:val="00513891"/>
    <w:rsid w:val="00525930"/>
    <w:rsid w:val="00535191"/>
    <w:rsid w:val="005549E9"/>
    <w:rsid w:val="00565E6C"/>
    <w:rsid w:val="00574B4B"/>
    <w:rsid w:val="00591283"/>
    <w:rsid w:val="00597CA6"/>
    <w:rsid w:val="005B3A96"/>
    <w:rsid w:val="005D3E8B"/>
    <w:rsid w:val="005D52A1"/>
    <w:rsid w:val="005E27DB"/>
    <w:rsid w:val="005E3142"/>
    <w:rsid w:val="005F4A5B"/>
    <w:rsid w:val="00603CC4"/>
    <w:rsid w:val="00610537"/>
    <w:rsid w:val="006568DE"/>
    <w:rsid w:val="00670CE1"/>
    <w:rsid w:val="006A7F1E"/>
    <w:rsid w:val="006C2E31"/>
    <w:rsid w:val="006C4E3C"/>
    <w:rsid w:val="006D604A"/>
    <w:rsid w:val="006E05BC"/>
    <w:rsid w:val="006E65C5"/>
    <w:rsid w:val="00702288"/>
    <w:rsid w:val="00705690"/>
    <w:rsid w:val="00721F88"/>
    <w:rsid w:val="007368A9"/>
    <w:rsid w:val="00744FE9"/>
    <w:rsid w:val="0074550D"/>
    <w:rsid w:val="0074553C"/>
    <w:rsid w:val="00752715"/>
    <w:rsid w:val="00763237"/>
    <w:rsid w:val="007D65D8"/>
    <w:rsid w:val="007D7E3B"/>
    <w:rsid w:val="00803FDC"/>
    <w:rsid w:val="00813B05"/>
    <w:rsid w:val="008179D3"/>
    <w:rsid w:val="008227C5"/>
    <w:rsid w:val="00827C63"/>
    <w:rsid w:val="0085178D"/>
    <w:rsid w:val="00857104"/>
    <w:rsid w:val="0089256B"/>
    <w:rsid w:val="00892ABA"/>
    <w:rsid w:val="00893841"/>
    <w:rsid w:val="008A0B57"/>
    <w:rsid w:val="008A7D67"/>
    <w:rsid w:val="008B212F"/>
    <w:rsid w:val="008B2457"/>
    <w:rsid w:val="008C67AA"/>
    <w:rsid w:val="008D0C3A"/>
    <w:rsid w:val="008D3624"/>
    <w:rsid w:val="008F04C1"/>
    <w:rsid w:val="008F374E"/>
    <w:rsid w:val="00912CE1"/>
    <w:rsid w:val="009171C4"/>
    <w:rsid w:val="009232DD"/>
    <w:rsid w:val="009270ED"/>
    <w:rsid w:val="00945A32"/>
    <w:rsid w:val="009545A5"/>
    <w:rsid w:val="00960471"/>
    <w:rsid w:val="00984384"/>
    <w:rsid w:val="00993F36"/>
    <w:rsid w:val="009A685B"/>
    <w:rsid w:val="009B7F3A"/>
    <w:rsid w:val="009D7AF1"/>
    <w:rsid w:val="00A46AD9"/>
    <w:rsid w:val="00A506EC"/>
    <w:rsid w:val="00A91BF9"/>
    <w:rsid w:val="00AA667D"/>
    <w:rsid w:val="00AC6F84"/>
    <w:rsid w:val="00AD2675"/>
    <w:rsid w:val="00AF196A"/>
    <w:rsid w:val="00B04584"/>
    <w:rsid w:val="00B05545"/>
    <w:rsid w:val="00B20392"/>
    <w:rsid w:val="00B218CA"/>
    <w:rsid w:val="00B63AF0"/>
    <w:rsid w:val="00B64A27"/>
    <w:rsid w:val="00B704DA"/>
    <w:rsid w:val="00B8015E"/>
    <w:rsid w:val="00BA0058"/>
    <w:rsid w:val="00BA0DBC"/>
    <w:rsid w:val="00BB1F3D"/>
    <w:rsid w:val="00BD232C"/>
    <w:rsid w:val="00BD44DA"/>
    <w:rsid w:val="00BE0C9E"/>
    <w:rsid w:val="00BE3C4F"/>
    <w:rsid w:val="00BF0D92"/>
    <w:rsid w:val="00C465C9"/>
    <w:rsid w:val="00C82B12"/>
    <w:rsid w:val="00C85292"/>
    <w:rsid w:val="00CA0779"/>
    <w:rsid w:val="00D10620"/>
    <w:rsid w:val="00D115AA"/>
    <w:rsid w:val="00D14602"/>
    <w:rsid w:val="00D225A2"/>
    <w:rsid w:val="00D32238"/>
    <w:rsid w:val="00D4510D"/>
    <w:rsid w:val="00D5717F"/>
    <w:rsid w:val="00D60E8A"/>
    <w:rsid w:val="00D62AF8"/>
    <w:rsid w:val="00DC2682"/>
    <w:rsid w:val="00DD75FE"/>
    <w:rsid w:val="00DF339B"/>
    <w:rsid w:val="00E34EA6"/>
    <w:rsid w:val="00E90F86"/>
    <w:rsid w:val="00EA41E7"/>
    <w:rsid w:val="00ED0B33"/>
    <w:rsid w:val="00ED2D6C"/>
    <w:rsid w:val="00EE10DB"/>
    <w:rsid w:val="00EF5876"/>
    <w:rsid w:val="00F13781"/>
    <w:rsid w:val="00F24169"/>
    <w:rsid w:val="00F40482"/>
    <w:rsid w:val="00F40726"/>
    <w:rsid w:val="00F46C1A"/>
    <w:rsid w:val="00F56A63"/>
    <w:rsid w:val="00F77286"/>
    <w:rsid w:val="00FA5311"/>
    <w:rsid w:val="00FB3E19"/>
    <w:rsid w:val="00FB4987"/>
    <w:rsid w:val="00FB726A"/>
    <w:rsid w:val="00FE21B8"/>
    <w:rsid w:val="00FE479A"/>
    <w:rsid w:val="00FF42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E47D61E-C9F9-47E5-BC85-20ED3111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A0B57"/>
    <w:pPr>
      <w:spacing w:after="200" w:line="276" w:lineRule="auto"/>
    </w:pPr>
    <w:rPr>
      <w:rFonts w:cs="Calibri"/>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813B0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lny"/>
    <w:uiPriority w:val="99"/>
    <w:rsid w:val="00813B05"/>
    <w:pPr>
      <w:spacing w:before="240" w:after="120" w:line="240" w:lineRule="auto"/>
      <w:jc w:val="center"/>
    </w:pPr>
    <w:rPr>
      <w:rFonts w:ascii="Times New Roman" w:eastAsia="Times New Roman" w:hAnsi="Times New Roman" w:cs="Times New Roman"/>
      <w:b/>
      <w:bCs/>
      <w:sz w:val="24"/>
      <w:szCs w:val="24"/>
      <w:lang w:eastAsia="sk-SK"/>
    </w:rPr>
  </w:style>
  <w:style w:type="paragraph" w:customStyle="1" w:styleId="Normlny1">
    <w:name w:val="Normálny1"/>
    <w:basedOn w:val="Normlny"/>
    <w:uiPriority w:val="99"/>
    <w:rsid w:val="002941B0"/>
    <w:pPr>
      <w:spacing w:before="120" w:after="0" w:line="240" w:lineRule="auto"/>
      <w:jc w:val="both"/>
    </w:pPr>
    <w:rPr>
      <w:rFonts w:ascii="Times New Roman" w:eastAsia="Times New Roman" w:hAnsi="Times New Roman" w:cs="Times New Roman"/>
      <w:sz w:val="24"/>
      <w:szCs w:val="24"/>
      <w:lang w:eastAsia="sk-SK"/>
    </w:rPr>
  </w:style>
  <w:style w:type="character" w:customStyle="1" w:styleId="sub">
    <w:name w:val="sub"/>
    <w:basedOn w:val="Predvolenpsmoodseku"/>
    <w:uiPriority w:val="99"/>
    <w:rsid w:val="002941B0"/>
    <w:rPr>
      <w:sz w:val="17"/>
      <w:szCs w:val="17"/>
      <w:vertAlign w:val="subscript"/>
    </w:rPr>
  </w:style>
  <w:style w:type="character" w:customStyle="1" w:styleId="super">
    <w:name w:val="super"/>
    <w:basedOn w:val="Predvolenpsmoodseku"/>
    <w:uiPriority w:val="99"/>
    <w:rsid w:val="002941B0"/>
    <w:rPr>
      <w:sz w:val="17"/>
      <w:szCs w:val="17"/>
      <w:vertAlign w:val="superscript"/>
    </w:rPr>
  </w:style>
  <w:style w:type="character" w:styleId="Hypertextovprepojenie">
    <w:name w:val="Hyperlink"/>
    <w:basedOn w:val="Predvolenpsmoodseku"/>
    <w:uiPriority w:val="99"/>
    <w:semiHidden/>
    <w:rsid w:val="002941B0"/>
    <w:rPr>
      <w:color w:val="0000FF"/>
      <w:u w:val="single"/>
    </w:rPr>
  </w:style>
  <w:style w:type="character" w:customStyle="1" w:styleId="italic">
    <w:name w:val="italic"/>
    <w:basedOn w:val="Predvolenpsmoodseku"/>
    <w:uiPriority w:val="99"/>
    <w:rsid w:val="00F56A63"/>
    <w:rPr>
      <w:i/>
      <w:iCs/>
    </w:rPr>
  </w:style>
  <w:style w:type="paragraph" w:customStyle="1" w:styleId="signatory">
    <w:name w:val="signatory"/>
    <w:basedOn w:val="Normlny"/>
    <w:uiPriority w:val="99"/>
    <w:rsid w:val="00574B4B"/>
    <w:pPr>
      <w:spacing w:before="60" w:after="60" w:line="240" w:lineRule="auto"/>
      <w:jc w:val="center"/>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rsid w:val="00AC6F8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AC6F84"/>
    <w:rPr>
      <w:rFonts w:ascii="Tahoma" w:hAnsi="Tahoma" w:cs="Tahoma"/>
      <w:sz w:val="16"/>
      <w:szCs w:val="16"/>
    </w:rPr>
  </w:style>
  <w:style w:type="character" w:styleId="Siln">
    <w:name w:val="Strong"/>
    <w:basedOn w:val="Predvolenpsmoodseku"/>
    <w:uiPriority w:val="99"/>
    <w:qFormat/>
    <w:rsid w:val="00892ABA"/>
    <w:rPr>
      <w:b/>
      <w:bCs/>
    </w:rPr>
  </w:style>
  <w:style w:type="paragraph" w:styleId="Odsekzoznamu">
    <w:name w:val="List Paragraph"/>
    <w:basedOn w:val="Normlny"/>
    <w:uiPriority w:val="99"/>
    <w:qFormat/>
    <w:rsid w:val="00892ABA"/>
    <w:pPr>
      <w:keepNext/>
      <w:spacing w:before="60" w:after="60" w:line="240" w:lineRule="auto"/>
      <w:ind w:left="720"/>
      <w:jc w:val="both"/>
    </w:pPr>
    <w:rPr>
      <w:rFonts w:ascii="Times New Roman" w:eastAsia="Times New Roman" w:hAnsi="Times New Roman" w:cs="Times New Roman"/>
      <w:sz w:val="24"/>
      <w:szCs w:val="24"/>
    </w:rPr>
  </w:style>
  <w:style w:type="paragraph" w:customStyle="1" w:styleId="Odsekzoznamu1">
    <w:name w:val="Odsek zoznamu1"/>
    <w:basedOn w:val="Normlny"/>
    <w:rsid w:val="009270ED"/>
    <w:pPr>
      <w:spacing w:after="0" w:line="240" w:lineRule="auto"/>
      <w:ind w:left="708"/>
      <w:jc w:val="both"/>
    </w:pPr>
    <w:rPr>
      <w:rFonts w:ascii="Times New Roman" w:hAnsi="Times New Roman" w:cs="Times New Roman"/>
      <w:sz w:val="24"/>
      <w:szCs w:val="24"/>
    </w:rPr>
  </w:style>
  <w:style w:type="paragraph" w:customStyle="1" w:styleId="Default">
    <w:name w:val="Default"/>
    <w:rsid w:val="00BA0058"/>
    <w:pPr>
      <w:autoSpaceDE w:val="0"/>
      <w:autoSpaceDN w:val="0"/>
      <w:adjustRightInd w:val="0"/>
    </w:pPr>
    <w:rPr>
      <w:rFonts w:ascii="Times New Roman" w:eastAsia="Times New Roman" w:hAnsi="Times New Roman"/>
      <w:color w:val="000000"/>
      <w:sz w:val="24"/>
      <w:szCs w:val="24"/>
    </w:rPr>
  </w:style>
  <w:style w:type="paragraph" w:customStyle="1" w:styleId="Normln">
    <w:name w:val="Norm‡ln’"/>
    <w:link w:val="NormlnChar"/>
    <w:rsid w:val="00137B61"/>
    <w:rPr>
      <w:rFonts w:ascii="Times New Roman" w:eastAsia="Times New Roman" w:hAnsi="Times New Roman"/>
      <w:szCs w:val="20"/>
      <w:lang w:val="cs-CZ"/>
    </w:rPr>
  </w:style>
  <w:style w:type="character" w:customStyle="1" w:styleId="NormlnChar">
    <w:name w:val="Norm‡ln’ Char"/>
    <w:link w:val="Normln"/>
    <w:locked/>
    <w:rsid w:val="00137B61"/>
    <w:rPr>
      <w:rFonts w:ascii="Times New Roman" w:eastAsia="Times New Roman" w:hAnsi="Times New Roman"/>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34326">
      <w:bodyDiv w:val="1"/>
      <w:marLeft w:val="0"/>
      <w:marRight w:val="0"/>
      <w:marTop w:val="0"/>
      <w:marBottom w:val="0"/>
      <w:divBdr>
        <w:top w:val="none" w:sz="0" w:space="0" w:color="auto"/>
        <w:left w:val="none" w:sz="0" w:space="0" w:color="auto"/>
        <w:bottom w:val="none" w:sz="0" w:space="0" w:color="auto"/>
        <w:right w:val="none" w:sz="0" w:space="0" w:color="auto"/>
      </w:divBdr>
    </w:div>
    <w:div w:id="63723163">
      <w:bodyDiv w:val="1"/>
      <w:marLeft w:val="0"/>
      <w:marRight w:val="0"/>
      <w:marTop w:val="0"/>
      <w:marBottom w:val="0"/>
      <w:divBdr>
        <w:top w:val="none" w:sz="0" w:space="0" w:color="auto"/>
        <w:left w:val="none" w:sz="0" w:space="0" w:color="auto"/>
        <w:bottom w:val="none" w:sz="0" w:space="0" w:color="auto"/>
        <w:right w:val="none" w:sz="0" w:space="0" w:color="auto"/>
      </w:divBdr>
    </w:div>
    <w:div w:id="235480972">
      <w:bodyDiv w:val="1"/>
      <w:marLeft w:val="0"/>
      <w:marRight w:val="0"/>
      <w:marTop w:val="0"/>
      <w:marBottom w:val="0"/>
      <w:divBdr>
        <w:top w:val="none" w:sz="0" w:space="0" w:color="auto"/>
        <w:left w:val="none" w:sz="0" w:space="0" w:color="auto"/>
        <w:bottom w:val="none" w:sz="0" w:space="0" w:color="auto"/>
        <w:right w:val="none" w:sz="0" w:space="0" w:color="auto"/>
      </w:divBdr>
    </w:div>
    <w:div w:id="506675167">
      <w:bodyDiv w:val="1"/>
      <w:marLeft w:val="0"/>
      <w:marRight w:val="0"/>
      <w:marTop w:val="0"/>
      <w:marBottom w:val="0"/>
      <w:divBdr>
        <w:top w:val="none" w:sz="0" w:space="0" w:color="auto"/>
        <w:left w:val="none" w:sz="0" w:space="0" w:color="auto"/>
        <w:bottom w:val="none" w:sz="0" w:space="0" w:color="auto"/>
        <w:right w:val="none" w:sz="0" w:space="0" w:color="auto"/>
      </w:divBdr>
    </w:div>
    <w:div w:id="825586335">
      <w:bodyDiv w:val="1"/>
      <w:marLeft w:val="0"/>
      <w:marRight w:val="0"/>
      <w:marTop w:val="0"/>
      <w:marBottom w:val="0"/>
      <w:divBdr>
        <w:top w:val="none" w:sz="0" w:space="0" w:color="auto"/>
        <w:left w:val="none" w:sz="0" w:space="0" w:color="auto"/>
        <w:bottom w:val="none" w:sz="0" w:space="0" w:color="auto"/>
        <w:right w:val="none" w:sz="0" w:space="0" w:color="auto"/>
      </w:divBdr>
    </w:div>
    <w:div w:id="858587820">
      <w:bodyDiv w:val="1"/>
      <w:marLeft w:val="0"/>
      <w:marRight w:val="0"/>
      <w:marTop w:val="0"/>
      <w:marBottom w:val="0"/>
      <w:divBdr>
        <w:top w:val="none" w:sz="0" w:space="0" w:color="auto"/>
        <w:left w:val="none" w:sz="0" w:space="0" w:color="auto"/>
        <w:bottom w:val="none" w:sz="0" w:space="0" w:color="auto"/>
        <w:right w:val="none" w:sz="0" w:space="0" w:color="auto"/>
      </w:divBdr>
    </w:div>
    <w:div w:id="877623438">
      <w:bodyDiv w:val="1"/>
      <w:marLeft w:val="0"/>
      <w:marRight w:val="0"/>
      <w:marTop w:val="0"/>
      <w:marBottom w:val="0"/>
      <w:divBdr>
        <w:top w:val="none" w:sz="0" w:space="0" w:color="auto"/>
        <w:left w:val="none" w:sz="0" w:space="0" w:color="auto"/>
        <w:bottom w:val="none" w:sz="0" w:space="0" w:color="auto"/>
        <w:right w:val="none" w:sz="0" w:space="0" w:color="auto"/>
      </w:divBdr>
    </w:div>
    <w:div w:id="882981340">
      <w:bodyDiv w:val="1"/>
      <w:marLeft w:val="0"/>
      <w:marRight w:val="0"/>
      <w:marTop w:val="0"/>
      <w:marBottom w:val="0"/>
      <w:divBdr>
        <w:top w:val="none" w:sz="0" w:space="0" w:color="auto"/>
        <w:left w:val="none" w:sz="0" w:space="0" w:color="auto"/>
        <w:bottom w:val="none" w:sz="0" w:space="0" w:color="auto"/>
        <w:right w:val="none" w:sz="0" w:space="0" w:color="auto"/>
      </w:divBdr>
    </w:div>
    <w:div w:id="893002222">
      <w:bodyDiv w:val="1"/>
      <w:marLeft w:val="0"/>
      <w:marRight w:val="0"/>
      <w:marTop w:val="0"/>
      <w:marBottom w:val="0"/>
      <w:divBdr>
        <w:top w:val="none" w:sz="0" w:space="0" w:color="auto"/>
        <w:left w:val="none" w:sz="0" w:space="0" w:color="auto"/>
        <w:bottom w:val="none" w:sz="0" w:space="0" w:color="auto"/>
        <w:right w:val="none" w:sz="0" w:space="0" w:color="auto"/>
      </w:divBdr>
    </w:div>
    <w:div w:id="1011106421">
      <w:bodyDiv w:val="1"/>
      <w:marLeft w:val="0"/>
      <w:marRight w:val="0"/>
      <w:marTop w:val="0"/>
      <w:marBottom w:val="0"/>
      <w:divBdr>
        <w:top w:val="none" w:sz="0" w:space="0" w:color="auto"/>
        <w:left w:val="none" w:sz="0" w:space="0" w:color="auto"/>
        <w:bottom w:val="none" w:sz="0" w:space="0" w:color="auto"/>
        <w:right w:val="none" w:sz="0" w:space="0" w:color="auto"/>
      </w:divBdr>
    </w:div>
    <w:div w:id="1303854258">
      <w:bodyDiv w:val="1"/>
      <w:marLeft w:val="0"/>
      <w:marRight w:val="0"/>
      <w:marTop w:val="0"/>
      <w:marBottom w:val="0"/>
      <w:divBdr>
        <w:top w:val="none" w:sz="0" w:space="0" w:color="auto"/>
        <w:left w:val="none" w:sz="0" w:space="0" w:color="auto"/>
        <w:bottom w:val="none" w:sz="0" w:space="0" w:color="auto"/>
        <w:right w:val="none" w:sz="0" w:space="0" w:color="auto"/>
      </w:divBdr>
    </w:div>
    <w:div w:id="1304696741">
      <w:bodyDiv w:val="1"/>
      <w:marLeft w:val="0"/>
      <w:marRight w:val="0"/>
      <w:marTop w:val="0"/>
      <w:marBottom w:val="0"/>
      <w:divBdr>
        <w:top w:val="none" w:sz="0" w:space="0" w:color="auto"/>
        <w:left w:val="none" w:sz="0" w:space="0" w:color="auto"/>
        <w:bottom w:val="none" w:sz="0" w:space="0" w:color="auto"/>
        <w:right w:val="none" w:sz="0" w:space="0" w:color="auto"/>
      </w:divBdr>
    </w:div>
    <w:div w:id="1341391807">
      <w:bodyDiv w:val="1"/>
      <w:marLeft w:val="0"/>
      <w:marRight w:val="0"/>
      <w:marTop w:val="0"/>
      <w:marBottom w:val="0"/>
      <w:divBdr>
        <w:top w:val="none" w:sz="0" w:space="0" w:color="auto"/>
        <w:left w:val="none" w:sz="0" w:space="0" w:color="auto"/>
        <w:bottom w:val="none" w:sz="0" w:space="0" w:color="auto"/>
        <w:right w:val="none" w:sz="0" w:space="0" w:color="auto"/>
      </w:divBdr>
    </w:div>
    <w:div w:id="1409690795">
      <w:bodyDiv w:val="1"/>
      <w:marLeft w:val="0"/>
      <w:marRight w:val="0"/>
      <w:marTop w:val="0"/>
      <w:marBottom w:val="0"/>
      <w:divBdr>
        <w:top w:val="none" w:sz="0" w:space="0" w:color="auto"/>
        <w:left w:val="none" w:sz="0" w:space="0" w:color="auto"/>
        <w:bottom w:val="none" w:sz="0" w:space="0" w:color="auto"/>
        <w:right w:val="none" w:sz="0" w:space="0" w:color="auto"/>
      </w:divBdr>
    </w:div>
    <w:div w:id="1448893177">
      <w:bodyDiv w:val="1"/>
      <w:marLeft w:val="0"/>
      <w:marRight w:val="0"/>
      <w:marTop w:val="0"/>
      <w:marBottom w:val="0"/>
      <w:divBdr>
        <w:top w:val="none" w:sz="0" w:space="0" w:color="auto"/>
        <w:left w:val="none" w:sz="0" w:space="0" w:color="auto"/>
        <w:bottom w:val="none" w:sz="0" w:space="0" w:color="auto"/>
        <w:right w:val="none" w:sz="0" w:space="0" w:color="auto"/>
      </w:divBdr>
    </w:div>
    <w:div w:id="1528063735">
      <w:bodyDiv w:val="1"/>
      <w:marLeft w:val="0"/>
      <w:marRight w:val="0"/>
      <w:marTop w:val="0"/>
      <w:marBottom w:val="0"/>
      <w:divBdr>
        <w:top w:val="none" w:sz="0" w:space="0" w:color="auto"/>
        <w:left w:val="none" w:sz="0" w:space="0" w:color="auto"/>
        <w:bottom w:val="none" w:sz="0" w:space="0" w:color="auto"/>
        <w:right w:val="none" w:sz="0" w:space="0" w:color="auto"/>
      </w:divBdr>
    </w:div>
    <w:div w:id="1637372786">
      <w:bodyDiv w:val="1"/>
      <w:marLeft w:val="0"/>
      <w:marRight w:val="0"/>
      <w:marTop w:val="0"/>
      <w:marBottom w:val="0"/>
      <w:divBdr>
        <w:top w:val="none" w:sz="0" w:space="0" w:color="auto"/>
        <w:left w:val="none" w:sz="0" w:space="0" w:color="auto"/>
        <w:bottom w:val="none" w:sz="0" w:space="0" w:color="auto"/>
        <w:right w:val="none" w:sz="0" w:space="0" w:color="auto"/>
      </w:divBdr>
    </w:div>
    <w:div w:id="1658731143">
      <w:bodyDiv w:val="1"/>
      <w:marLeft w:val="0"/>
      <w:marRight w:val="0"/>
      <w:marTop w:val="0"/>
      <w:marBottom w:val="0"/>
      <w:divBdr>
        <w:top w:val="none" w:sz="0" w:space="0" w:color="auto"/>
        <w:left w:val="none" w:sz="0" w:space="0" w:color="auto"/>
        <w:bottom w:val="none" w:sz="0" w:space="0" w:color="auto"/>
        <w:right w:val="none" w:sz="0" w:space="0" w:color="auto"/>
      </w:divBdr>
    </w:div>
    <w:div w:id="1708143048">
      <w:bodyDiv w:val="1"/>
      <w:marLeft w:val="0"/>
      <w:marRight w:val="0"/>
      <w:marTop w:val="0"/>
      <w:marBottom w:val="0"/>
      <w:divBdr>
        <w:top w:val="none" w:sz="0" w:space="0" w:color="auto"/>
        <w:left w:val="none" w:sz="0" w:space="0" w:color="auto"/>
        <w:bottom w:val="none" w:sz="0" w:space="0" w:color="auto"/>
        <w:right w:val="none" w:sz="0" w:space="0" w:color="auto"/>
      </w:divBdr>
    </w:div>
    <w:div w:id="1793746946">
      <w:bodyDiv w:val="1"/>
      <w:marLeft w:val="0"/>
      <w:marRight w:val="0"/>
      <w:marTop w:val="0"/>
      <w:marBottom w:val="0"/>
      <w:divBdr>
        <w:top w:val="none" w:sz="0" w:space="0" w:color="auto"/>
        <w:left w:val="none" w:sz="0" w:space="0" w:color="auto"/>
        <w:bottom w:val="none" w:sz="0" w:space="0" w:color="auto"/>
        <w:right w:val="none" w:sz="0" w:space="0" w:color="auto"/>
      </w:divBdr>
    </w:div>
    <w:div w:id="1847673262">
      <w:bodyDiv w:val="1"/>
      <w:marLeft w:val="0"/>
      <w:marRight w:val="0"/>
      <w:marTop w:val="0"/>
      <w:marBottom w:val="0"/>
      <w:divBdr>
        <w:top w:val="none" w:sz="0" w:space="0" w:color="auto"/>
        <w:left w:val="none" w:sz="0" w:space="0" w:color="auto"/>
        <w:bottom w:val="none" w:sz="0" w:space="0" w:color="auto"/>
        <w:right w:val="none" w:sz="0" w:space="0" w:color="auto"/>
      </w:divBdr>
    </w:div>
    <w:div w:id="1890844828">
      <w:bodyDiv w:val="1"/>
      <w:marLeft w:val="0"/>
      <w:marRight w:val="0"/>
      <w:marTop w:val="0"/>
      <w:marBottom w:val="0"/>
      <w:divBdr>
        <w:top w:val="none" w:sz="0" w:space="0" w:color="auto"/>
        <w:left w:val="none" w:sz="0" w:space="0" w:color="auto"/>
        <w:bottom w:val="none" w:sz="0" w:space="0" w:color="auto"/>
        <w:right w:val="none" w:sz="0" w:space="0" w:color="auto"/>
      </w:divBdr>
    </w:div>
    <w:div w:id="2025788145">
      <w:bodyDiv w:val="1"/>
      <w:marLeft w:val="0"/>
      <w:marRight w:val="0"/>
      <w:marTop w:val="0"/>
      <w:marBottom w:val="0"/>
      <w:divBdr>
        <w:top w:val="none" w:sz="0" w:space="0" w:color="auto"/>
        <w:left w:val="none" w:sz="0" w:space="0" w:color="auto"/>
        <w:bottom w:val="none" w:sz="0" w:space="0" w:color="auto"/>
        <w:right w:val="none" w:sz="0" w:space="0" w:color="auto"/>
      </w:divBdr>
    </w:div>
    <w:div w:id="2042431565">
      <w:bodyDiv w:val="1"/>
      <w:marLeft w:val="0"/>
      <w:marRight w:val="0"/>
      <w:marTop w:val="0"/>
      <w:marBottom w:val="0"/>
      <w:divBdr>
        <w:top w:val="none" w:sz="0" w:space="0" w:color="auto"/>
        <w:left w:val="none" w:sz="0" w:space="0" w:color="auto"/>
        <w:bottom w:val="none" w:sz="0" w:space="0" w:color="auto"/>
        <w:right w:val="none" w:sz="0" w:space="0" w:color="auto"/>
      </w:divBdr>
    </w:div>
    <w:div w:id="2104764290">
      <w:marLeft w:val="390"/>
      <w:marRight w:val="390"/>
      <w:marTop w:val="0"/>
      <w:marBottom w:val="0"/>
      <w:divBdr>
        <w:top w:val="none" w:sz="0" w:space="0" w:color="auto"/>
        <w:left w:val="none" w:sz="0" w:space="0" w:color="auto"/>
        <w:bottom w:val="none" w:sz="0" w:space="0" w:color="auto"/>
        <w:right w:val="none" w:sz="0" w:space="0" w:color="auto"/>
      </w:divBdr>
    </w:div>
    <w:div w:id="2104764300">
      <w:marLeft w:val="390"/>
      <w:marRight w:val="390"/>
      <w:marTop w:val="0"/>
      <w:marBottom w:val="0"/>
      <w:divBdr>
        <w:top w:val="none" w:sz="0" w:space="0" w:color="auto"/>
        <w:left w:val="none" w:sz="0" w:space="0" w:color="auto"/>
        <w:bottom w:val="none" w:sz="0" w:space="0" w:color="auto"/>
        <w:right w:val="none" w:sz="0" w:space="0" w:color="auto"/>
      </w:divBdr>
    </w:div>
    <w:div w:id="2104764304">
      <w:marLeft w:val="0"/>
      <w:marRight w:val="0"/>
      <w:marTop w:val="0"/>
      <w:marBottom w:val="0"/>
      <w:divBdr>
        <w:top w:val="none" w:sz="0" w:space="0" w:color="auto"/>
        <w:left w:val="none" w:sz="0" w:space="0" w:color="auto"/>
        <w:bottom w:val="none" w:sz="0" w:space="0" w:color="auto"/>
        <w:right w:val="none" w:sz="0" w:space="0" w:color="auto"/>
      </w:divBdr>
      <w:divsChild>
        <w:div w:id="2104764312">
          <w:marLeft w:val="0"/>
          <w:marRight w:val="0"/>
          <w:marTop w:val="0"/>
          <w:marBottom w:val="0"/>
          <w:divBdr>
            <w:top w:val="none" w:sz="0" w:space="0" w:color="auto"/>
            <w:left w:val="none" w:sz="0" w:space="0" w:color="auto"/>
            <w:bottom w:val="none" w:sz="0" w:space="0" w:color="auto"/>
            <w:right w:val="none" w:sz="0" w:space="0" w:color="auto"/>
          </w:divBdr>
        </w:div>
        <w:div w:id="2104764320">
          <w:marLeft w:val="0"/>
          <w:marRight w:val="0"/>
          <w:marTop w:val="0"/>
          <w:marBottom w:val="0"/>
          <w:divBdr>
            <w:top w:val="none" w:sz="0" w:space="0" w:color="auto"/>
            <w:left w:val="none" w:sz="0" w:space="0" w:color="auto"/>
            <w:bottom w:val="none" w:sz="0" w:space="0" w:color="auto"/>
            <w:right w:val="none" w:sz="0" w:space="0" w:color="auto"/>
          </w:divBdr>
        </w:div>
        <w:div w:id="2104764342">
          <w:marLeft w:val="0"/>
          <w:marRight w:val="0"/>
          <w:marTop w:val="0"/>
          <w:marBottom w:val="0"/>
          <w:divBdr>
            <w:top w:val="none" w:sz="0" w:space="0" w:color="auto"/>
            <w:left w:val="none" w:sz="0" w:space="0" w:color="auto"/>
            <w:bottom w:val="none" w:sz="0" w:space="0" w:color="auto"/>
            <w:right w:val="none" w:sz="0" w:space="0" w:color="auto"/>
          </w:divBdr>
        </w:div>
        <w:div w:id="2104764362">
          <w:marLeft w:val="0"/>
          <w:marRight w:val="0"/>
          <w:marTop w:val="0"/>
          <w:marBottom w:val="0"/>
          <w:divBdr>
            <w:top w:val="none" w:sz="0" w:space="0" w:color="auto"/>
            <w:left w:val="none" w:sz="0" w:space="0" w:color="auto"/>
            <w:bottom w:val="none" w:sz="0" w:space="0" w:color="auto"/>
            <w:right w:val="none" w:sz="0" w:space="0" w:color="auto"/>
          </w:divBdr>
        </w:div>
        <w:div w:id="2104764389">
          <w:marLeft w:val="0"/>
          <w:marRight w:val="0"/>
          <w:marTop w:val="0"/>
          <w:marBottom w:val="0"/>
          <w:divBdr>
            <w:top w:val="none" w:sz="0" w:space="0" w:color="auto"/>
            <w:left w:val="none" w:sz="0" w:space="0" w:color="auto"/>
            <w:bottom w:val="none" w:sz="0" w:space="0" w:color="auto"/>
            <w:right w:val="none" w:sz="0" w:space="0" w:color="auto"/>
          </w:divBdr>
        </w:div>
        <w:div w:id="2104764455">
          <w:marLeft w:val="0"/>
          <w:marRight w:val="0"/>
          <w:marTop w:val="0"/>
          <w:marBottom w:val="0"/>
          <w:divBdr>
            <w:top w:val="none" w:sz="0" w:space="0" w:color="auto"/>
            <w:left w:val="none" w:sz="0" w:space="0" w:color="auto"/>
            <w:bottom w:val="none" w:sz="0" w:space="0" w:color="auto"/>
            <w:right w:val="none" w:sz="0" w:space="0" w:color="auto"/>
          </w:divBdr>
        </w:div>
        <w:div w:id="2104764456">
          <w:marLeft w:val="0"/>
          <w:marRight w:val="0"/>
          <w:marTop w:val="0"/>
          <w:marBottom w:val="0"/>
          <w:divBdr>
            <w:top w:val="none" w:sz="0" w:space="0" w:color="auto"/>
            <w:left w:val="none" w:sz="0" w:space="0" w:color="auto"/>
            <w:bottom w:val="none" w:sz="0" w:space="0" w:color="auto"/>
            <w:right w:val="none" w:sz="0" w:space="0" w:color="auto"/>
          </w:divBdr>
        </w:div>
        <w:div w:id="2104764541">
          <w:marLeft w:val="0"/>
          <w:marRight w:val="0"/>
          <w:marTop w:val="0"/>
          <w:marBottom w:val="0"/>
          <w:divBdr>
            <w:top w:val="none" w:sz="0" w:space="0" w:color="auto"/>
            <w:left w:val="none" w:sz="0" w:space="0" w:color="auto"/>
            <w:bottom w:val="none" w:sz="0" w:space="0" w:color="auto"/>
            <w:right w:val="none" w:sz="0" w:space="0" w:color="auto"/>
          </w:divBdr>
        </w:div>
        <w:div w:id="2104764558">
          <w:marLeft w:val="0"/>
          <w:marRight w:val="0"/>
          <w:marTop w:val="0"/>
          <w:marBottom w:val="0"/>
          <w:divBdr>
            <w:top w:val="none" w:sz="0" w:space="0" w:color="auto"/>
            <w:left w:val="none" w:sz="0" w:space="0" w:color="auto"/>
            <w:bottom w:val="none" w:sz="0" w:space="0" w:color="auto"/>
            <w:right w:val="none" w:sz="0" w:space="0" w:color="auto"/>
          </w:divBdr>
        </w:div>
        <w:div w:id="2104764562">
          <w:marLeft w:val="0"/>
          <w:marRight w:val="0"/>
          <w:marTop w:val="0"/>
          <w:marBottom w:val="0"/>
          <w:divBdr>
            <w:top w:val="none" w:sz="0" w:space="0" w:color="auto"/>
            <w:left w:val="none" w:sz="0" w:space="0" w:color="auto"/>
            <w:bottom w:val="none" w:sz="0" w:space="0" w:color="auto"/>
            <w:right w:val="none" w:sz="0" w:space="0" w:color="auto"/>
          </w:divBdr>
        </w:div>
        <w:div w:id="2104764565">
          <w:marLeft w:val="0"/>
          <w:marRight w:val="0"/>
          <w:marTop w:val="0"/>
          <w:marBottom w:val="0"/>
          <w:divBdr>
            <w:top w:val="none" w:sz="0" w:space="0" w:color="auto"/>
            <w:left w:val="none" w:sz="0" w:space="0" w:color="auto"/>
            <w:bottom w:val="none" w:sz="0" w:space="0" w:color="auto"/>
            <w:right w:val="none" w:sz="0" w:space="0" w:color="auto"/>
          </w:divBdr>
        </w:div>
        <w:div w:id="2104764637">
          <w:marLeft w:val="0"/>
          <w:marRight w:val="0"/>
          <w:marTop w:val="0"/>
          <w:marBottom w:val="0"/>
          <w:divBdr>
            <w:top w:val="none" w:sz="0" w:space="0" w:color="auto"/>
            <w:left w:val="none" w:sz="0" w:space="0" w:color="auto"/>
            <w:bottom w:val="none" w:sz="0" w:space="0" w:color="auto"/>
            <w:right w:val="none" w:sz="0" w:space="0" w:color="auto"/>
          </w:divBdr>
        </w:div>
        <w:div w:id="2104764675">
          <w:marLeft w:val="0"/>
          <w:marRight w:val="0"/>
          <w:marTop w:val="0"/>
          <w:marBottom w:val="0"/>
          <w:divBdr>
            <w:top w:val="none" w:sz="0" w:space="0" w:color="auto"/>
            <w:left w:val="none" w:sz="0" w:space="0" w:color="auto"/>
            <w:bottom w:val="none" w:sz="0" w:space="0" w:color="auto"/>
            <w:right w:val="none" w:sz="0" w:space="0" w:color="auto"/>
          </w:divBdr>
        </w:div>
        <w:div w:id="2104764718">
          <w:marLeft w:val="0"/>
          <w:marRight w:val="0"/>
          <w:marTop w:val="0"/>
          <w:marBottom w:val="0"/>
          <w:divBdr>
            <w:top w:val="none" w:sz="0" w:space="0" w:color="auto"/>
            <w:left w:val="none" w:sz="0" w:space="0" w:color="auto"/>
            <w:bottom w:val="none" w:sz="0" w:space="0" w:color="auto"/>
            <w:right w:val="none" w:sz="0" w:space="0" w:color="auto"/>
          </w:divBdr>
        </w:div>
        <w:div w:id="2104764729">
          <w:marLeft w:val="0"/>
          <w:marRight w:val="0"/>
          <w:marTop w:val="0"/>
          <w:marBottom w:val="0"/>
          <w:divBdr>
            <w:top w:val="none" w:sz="0" w:space="0" w:color="auto"/>
            <w:left w:val="none" w:sz="0" w:space="0" w:color="auto"/>
            <w:bottom w:val="none" w:sz="0" w:space="0" w:color="auto"/>
            <w:right w:val="none" w:sz="0" w:space="0" w:color="auto"/>
          </w:divBdr>
        </w:div>
      </w:divsChild>
    </w:div>
    <w:div w:id="2104764308">
      <w:marLeft w:val="390"/>
      <w:marRight w:val="390"/>
      <w:marTop w:val="0"/>
      <w:marBottom w:val="0"/>
      <w:divBdr>
        <w:top w:val="none" w:sz="0" w:space="0" w:color="auto"/>
        <w:left w:val="none" w:sz="0" w:space="0" w:color="auto"/>
        <w:bottom w:val="none" w:sz="0" w:space="0" w:color="auto"/>
        <w:right w:val="none" w:sz="0" w:space="0" w:color="auto"/>
      </w:divBdr>
    </w:div>
    <w:div w:id="2104764328">
      <w:marLeft w:val="390"/>
      <w:marRight w:val="390"/>
      <w:marTop w:val="0"/>
      <w:marBottom w:val="0"/>
      <w:divBdr>
        <w:top w:val="none" w:sz="0" w:space="0" w:color="auto"/>
        <w:left w:val="none" w:sz="0" w:space="0" w:color="auto"/>
        <w:bottom w:val="none" w:sz="0" w:space="0" w:color="auto"/>
        <w:right w:val="none" w:sz="0" w:space="0" w:color="auto"/>
      </w:divBdr>
    </w:div>
    <w:div w:id="2104764330">
      <w:marLeft w:val="390"/>
      <w:marRight w:val="390"/>
      <w:marTop w:val="0"/>
      <w:marBottom w:val="0"/>
      <w:divBdr>
        <w:top w:val="none" w:sz="0" w:space="0" w:color="auto"/>
        <w:left w:val="none" w:sz="0" w:space="0" w:color="auto"/>
        <w:bottom w:val="none" w:sz="0" w:space="0" w:color="auto"/>
        <w:right w:val="none" w:sz="0" w:space="0" w:color="auto"/>
      </w:divBdr>
    </w:div>
    <w:div w:id="2104764331">
      <w:marLeft w:val="390"/>
      <w:marRight w:val="390"/>
      <w:marTop w:val="0"/>
      <w:marBottom w:val="0"/>
      <w:divBdr>
        <w:top w:val="none" w:sz="0" w:space="0" w:color="auto"/>
        <w:left w:val="none" w:sz="0" w:space="0" w:color="auto"/>
        <w:bottom w:val="none" w:sz="0" w:space="0" w:color="auto"/>
        <w:right w:val="none" w:sz="0" w:space="0" w:color="auto"/>
      </w:divBdr>
    </w:div>
    <w:div w:id="2104764332">
      <w:marLeft w:val="0"/>
      <w:marRight w:val="0"/>
      <w:marTop w:val="0"/>
      <w:marBottom w:val="0"/>
      <w:divBdr>
        <w:top w:val="none" w:sz="0" w:space="0" w:color="auto"/>
        <w:left w:val="none" w:sz="0" w:space="0" w:color="auto"/>
        <w:bottom w:val="none" w:sz="0" w:space="0" w:color="auto"/>
        <w:right w:val="none" w:sz="0" w:space="0" w:color="auto"/>
      </w:divBdr>
      <w:divsChild>
        <w:div w:id="2104764396">
          <w:marLeft w:val="0"/>
          <w:marRight w:val="0"/>
          <w:marTop w:val="0"/>
          <w:marBottom w:val="0"/>
          <w:divBdr>
            <w:top w:val="none" w:sz="0" w:space="0" w:color="auto"/>
            <w:left w:val="none" w:sz="0" w:space="0" w:color="auto"/>
            <w:bottom w:val="none" w:sz="0" w:space="0" w:color="auto"/>
            <w:right w:val="none" w:sz="0" w:space="0" w:color="auto"/>
          </w:divBdr>
        </w:div>
        <w:div w:id="2104764468">
          <w:marLeft w:val="0"/>
          <w:marRight w:val="0"/>
          <w:marTop w:val="0"/>
          <w:marBottom w:val="0"/>
          <w:divBdr>
            <w:top w:val="none" w:sz="0" w:space="0" w:color="auto"/>
            <w:left w:val="none" w:sz="0" w:space="0" w:color="auto"/>
            <w:bottom w:val="none" w:sz="0" w:space="0" w:color="auto"/>
            <w:right w:val="none" w:sz="0" w:space="0" w:color="auto"/>
          </w:divBdr>
        </w:div>
        <w:div w:id="2104764543">
          <w:marLeft w:val="0"/>
          <w:marRight w:val="0"/>
          <w:marTop w:val="0"/>
          <w:marBottom w:val="0"/>
          <w:divBdr>
            <w:top w:val="none" w:sz="0" w:space="0" w:color="auto"/>
            <w:left w:val="none" w:sz="0" w:space="0" w:color="auto"/>
            <w:bottom w:val="none" w:sz="0" w:space="0" w:color="auto"/>
            <w:right w:val="none" w:sz="0" w:space="0" w:color="auto"/>
          </w:divBdr>
        </w:div>
        <w:div w:id="2104764568">
          <w:marLeft w:val="0"/>
          <w:marRight w:val="0"/>
          <w:marTop w:val="0"/>
          <w:marBottom w:val="0"/>
          <w:divBdr>
            <w:top w:val="none" w:sz="0" w:space="0" w:color="auto"/>
            <w:left w:val="none" w:sz="0" w:space="0" w:color="auto"/>
            <w:bottom w:val="none" w:sz="0" w:space="0" w:color="auto"/>
            <w:right w:val="none" w:sz="0" w:space="0" w:color="auto"/>
          </w:divBdr>
        </w:div>
        <w:div w:id="2104764653">
          <w:marLeft w:val="0"/>
          <w:marRight w:val="0"/>
          <w:marTop w:val="0"/>
          <w:marBottom w:val="0"/>
          <w:divBdr>
            <w:top w:val="none" w:sz="0" w:space="0" w:color="auto"/>
            <w:left w:val="none" w:sz="0" w:space="0" w:color="auto"/>
            <w:bottom w:val="none" w:sz="0" w:space="0" w:color="auto"/>
            <w:right w:val="none" w:sz="0" w:space="0" w:color="auto"/>
          </w:divBdr>
        </w:div>
        <w:div w:id="2104764656">
          <w:marLeft w:val="0"/>
          <w:marRight w:val="0"/>
          <w:marTop w:val="0"/>
          <w:marBottom w:val="0"/>
          <w:divBdr>
            <w:top w:val="none" w:sz="0" w:space="0" w:color="auto"/>
            <w:left w:val="none" w:sz="0" w:space="0" w:color="auto"/>
            <w:bottom w:val="none" w:sz="0" w:space="0" w:color="auto"/>
            <w:right w:val="none" w:sz="0" w:space="0" w:color="auto"/>
          </w:divBdr>
        </w:div>
        <w:div w:id="2104764728">
          <w:marLeft w:val="0"/>
          <w:marRight w:val="0"/>
          <w:marTop w:val="0"/>
          <w:marBottom w:val="0"/>
          <w:divBdr>
            <w:top w:val="none" w:sz="0" w:space="0" w:color="auto"/>
            <w:left w:val="none" w:sz="0" w:space="0" w:color="auto"/>
            <w:bottom w:val="none" w:sz="0" w:space="0" w:color="auto"/>
            <w:right w:val="none" w:sz="0" w:space="0" w:color="auto"/>
          </w:divBdr>
        </w:div>
      </w:divsChild>
    </w:div>
    <w:div w:id="2104764334">
      <w:marLeft w:val="0"/>
      <w:marRight w:val="0"/>
      <w:marTop w:val="0"/>
      <w:marBottom w:val="0"/>
      <w:divBdr>
        <w:top w:val="none" w:sz="0" w:space="0" w:color="auto"/>
        <w:left w:val="none" w:sz="0" w:space="0" w:color="auto"/>
        <w:bottom w:val="none" w:sz="0" w:space="0" w:color="auto"/>
        <w:right w:val="none" w:sz="0" w:space="0" w:color="auto"/>
      </w:divBdr>
      <w:divsChild>
        <w:div w:id="2104764542">
          <w:marLeft w:val="0"/>
          <w:marRight w:val="0"/>
          <w:marTop w:val="0"/>
          <w:marBottom w:val="0"/>
          <w:divBdr>
            <w:top w:val="none" w:sz="0" w:space="0" w:color="auto"/>
            <w:left w:val="none" w:sz="0" w:space="0" w:color="auto"/>
            <w:bottom w:val="none" w:sz="0" w:space="0" w:color="auto"/>
            <w:right w:val="none" w:sz="0" w:space="0" w:color="auto"/>
          </w:divBdr>
        </w:div>
        <w:div w:id="2104764570">
          <w:marLeft w:val="0"/>
          <w:marRight w:val="0"/>
          <w:marTop w:val="0"/>
          <w:marBottom w:val="0"/>
          <w:divBdr>
            <w:top w:val="none" w:sz="0" w:space="0" w:color="auto"/>
            <w:left w:val="none" w:sz="0" w:space="0" w:color="auto"/>
            <w:bottom w:val="none" w:sz="0" w:space="0" w:color="auto"/>
            <w:right w:val="none" w:sz="0" w:space="0" w:color="auto"/>
          </w:divBdr>
          <w:divsChild>
            <w:div w:id="21047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4339">
      <w:marLeft w:val="0"/>
      <w:marRight w:val="0"/>
      <w:marTop w:val="0"/>
      <w:marBottom w:val="0"/>
      <w:divBdr>
        <w:top w:val="none" w:sz="0" w:space="0" w:color="auto"/>
        <w:left w:val="none" w:sz="0" w:space="0" w:color="auto"/>
        <w:bottom w:val="none" w:sz="0" w:space="0" w:color="auto"/>
        <w:right w:val="none" w:sz="0" w:space="0" w:color="auto"/>
      </w:divBdr>
      <w:divsChild>
        <w:div w:id="2104764365">
          <w:marLeft w:val="0"/>
          <w:marRight w:val="0"/>
          <w:marTop w:val="0"/>
          <w:marBottom w:val="0"/>
          <w:divBdr>
            <w:top w:val="none" w:sz="0" w:space="0" w:color="auto"/>
            <w:left w:val="none" w:sz="0" w:space="0" w:color="auto"/>
            <w:bottom w:val="none" w:sz="0" w:space="0" w:color="auto"/>
            <w:right w:val="none" w:sz="0" w:space="0" w:color="auto"/>
          </w:divBdr>
        </w:div>
        <w:div w:id="2104764394">
          <w:marLeft w:val="0"/>
          <w:marRight w:val="0"/>
          <w:marTop w:val="0"/>
          <w:marBottom w:val="0"/>
          <w:divBdr>
            <w:top w:val="none" w:sz="0" w:space="0" w:color="auto"/>
            <w:left w:val="none" w:sz="0" w:space="0" w:color="auto"/>
            <w:bottom w:val="none" w:sz="0" w:space="0" w:color="auto"/>
            <w:right w:val="none" w:sz="0" w:space="0" w:color="auto"/>
          </w:divBdr>
        </w:div>
        <w:div w:id="2104764463">
          <w:marLeft w:val="0"/>
          <w:marRight w:val="0"/>
          <w:marTop w:val="0"/>
          <w:marBottom w:val="0"/>
          <w:divBdr>
            <w:top w:val="none" w:sz="0" w:space="0" w:color="auto"/>
            <w:left w:val="none" w:sz="0" w:space="0" w:color="auto"/>
            <w:bottom w:val="none" w:sz="0" w:space="0" w:color="auto"/>
            <w:right w:val="none" w:sz="0" w:space="0" w:color="auto"/>
          </w:divBdr>
        </w:div>
        <w:div w:id="2104764567">
          <w:marLeft w:val="0"/>
          <w:marRight w:val="0"/>
          <w:marTop w:val="0"/>
          <w:marBottom w:val="0"/>
          <w:divBdr>
            <w:top w:val="none" w:sz="0" w:space="0" w:color="auto"/>
            <w:left w:val="none" w:sz="0" w:space="0" w:color="auto"/>
            <w:bottom w:val="none" w:sz="0" w:space="0" w:color="auto"/>
            <w:right w:val="none" w:sz="0" w:space="0" w:color="auto"/>
          </w:divBdr>
        </w:div>
        <w:div w:id="2104764685">
          <w:marLeft w:val="0"/>
          <w:marRight w:val="0"/>
          <w:marTop w:val="0"/>
          <w:marBottom w:val="0"/>
          <w:divBdr>
            <w:top w:val="none" w:sz="0" w:space="0" w:color="auto"/>
            <w:left w:val="none" w:sz="0" w:space="0" w:color="auto"/>
            <w:bottom w:val="none" w:sz="0" w:space="0" w:color="auto"/>
            <w:right w:val="none" w:sz="0" w:space="0" w:color="auto"/>
          </w:divBdr>
        </w:div>
        <w:div w:id="2104764702">
          <w:marLeft w:val="0"/>
          <w:marRight w:val="0"/>
          <w:marTop w:val="0"/>
          <w:marBottom w:val="0"/>
          <w:divBdr>
            <w:top w:val="none" w:sz="0" w:space="0" w:color="auto"/>
            <w:left w:val="none" w:sz="0" w:space="0" w:color="auto"/>
            <w:bottom w:val="none" w:sz="0" w:space="0" w:color="auto"/>
            <w:right w:val="none" w:sz="0" w:space="0" w:color="auto"/>
          </w:divBdr>
        </w:div>
      </w:divsChild>
    </w:div>
    <w:div w:id="2104764360">
      <w:marLeft w:val="0"/>
      <w:marRight w:val="0"/>
      <w:marTop w:val="0"/>
      <w:marBottom w:val="0"/>
      <w:divBdr>
        <w:top w:val="none" w:sz="0" w:space="0" w:color="auto"/>
        <w:left w:val="none" w:sz="0" w:space="0" w:color="auto"/>
        <w:bottom w:val="none" w:sz="0" w:space="0" w:color="auto"/>
        <w:right w:val="none" w:sz="0" w:space="0" w:color="auto"/>
      </w:divBdr>
      <w:divsChild>
        <w:div w:id="2104764291">
          <w:marLeft w:val="0"/>
          <w:marRight w:val="0"/>
          <w:marTop w:val="0"/>
          <w:marBottom w:val="0"/>
          <w:divBdr>
            <w:top w:val="none" w:sz="0" w:space="0" w:color="auto"/>
            <w:left w:val="none" w:sz="0" w:space="0" w:color="auto"/>
            <w:bottom w:val="none" w:sz="0" w:space="0" w:color="auto"/>
            <w:right w:val="none" w:sz="0" w:space="0" w:color="auto"/>
          </w:divBdr>
        </w:div>
        <w:div w:id="2104764327">
          <w:marLeft w:val="0"/>
          <w:marRight w:val="0"/>
          <w:marTop w:val="0"/>
          <w:marBottom w:val="0"/>
          <w:divBdr>
            <w:top w:val="none" w:sz="0" w:space="0" w:color="auto"/>
            <w:left w:val="none" w:sz="0" w:space="0" w:color="auto"/>
            <w:bottom w:val="none" w:sz="0" w:space="0" w:color="auto"/>
            <w:right w:val="none" w:sz="0" w:space="0" w:color="auto"/>
          </w:divBdr>
        </w:div>
        <w:div w:id="2104764408">
          <w:marLeft w:val="0"/>
          <w:marRight w:val="0"/>
          <w:marTop w:val="0"/>
          <w:marBottom w:val="0"/>
          <w:divBdr>
            <w:top w:val="none" w:sz="0" w:space="0" w:color="auto"/>
            <w:left w:val="none" w:sz="0" w:space="0" w:color="auto"/>
            <w:bottom w:val="none" w:sz="0" w:space="0" w:color="auto"/>
            <w:right w:val="none" w:sz="0" w:space="0" w:color="auto"/>
          </w:divBdr>
        </w:div>
        <w:div w:id="2104764470">
          <w:marLeft w:val="0"/>
          <w:marRight w:val="0"/>
          <w:marTop w:val="0"/>
          <w:marBottom w:val="0"/>
          <w:divBdr>
            <w:top w:val="none" w:sz="0" w:space="0" w:color="auto"/>
            <w:left w:val="none" w:sz="0" w:space="0" w:color="auto"/>
            <w:bottom w:val="none" w:sz="0" w:space="0" w:color="auto"/>
            <w:right w:val="none" w:sz="0" w:space="0" w:color="auto"/>
          </w:divBdr>
        </w:div>
        <w:div w:id="2104764566">
          <w:marLeft w:val="0"/>
          <w:marRight w:val="0"/>
          <w:marTop w:val="0"/>
          <w:marBottom w:val="0"/>
          <w:divBdr>
            <w:top w:val="none" w:sz="0" w:space="0" w:color="auto"/>
            <w:left w:val="none" w:sz="0" w:space="0" w:color="auto"/>
            <w:bottom w:val="none" w:sz="0" w:space="0" w:color="auto"/>
            <w:right w:val="none" w:sz="0" w:space="0" w:color="auto"/>
          </w:divBdr>
        </w:div>
        <w:div w:id="2104764616">
          <w:marLeft w:val="0"/>
          <w:marRight w:val="0"/>
          <w:marTop w:val="0"/>
          <w:marBottom w:val="0"/>
          <w:divBdr>
            <w:top w:val="none" w:sz="0" w:space="0" w:color="auto"/>
            <w:left w:val="none" w:sz="0" w:space="0" w:color="auto"/>
            <w:bottom w:val="none" w:sz="0" w:space="0" w:color="auto"/>
            <w:right w:val="none" w:sz="0" w:space="0" w:color="auto"/>
          </w:divBdr>
        </w:div>
        <w:div w:id="2104764626">
          <w:marLeft w:val="0"/>
          <w:marRight w:val="0"/>
          <w:marTop w:val="0"/>
          <w:marBottom w:val="0"/>
          <w:divBdr>
            <w:top w:val="none" w:sz="0" w:space="0" w:color="auto"/>
            <w:left w:val="none" w:sz="0" w:space="0" w:color="auto"/>
            <w:bottom w:val="none" w:sz="0" w:space="0" w:color="auto"/>
            <w:right w:val="none" w:sz="0" w:space="0" w:color="auto"/>
          </w:divBdr>
        </w:div>
        <w:div w:id="2104764631">
          <w:marLeft w:val="0"/>
          <w:marRight w:val="0"/>
          <w:marTop w:val="0"/>
          <w:marBottom w:val="0"/>
          <w:divBdr>
            <w:top w:val="none" w:sz="0" w:space="0" w:color="auto"/>
            <w:left w:val="none" w:sz="0" w:space="0" w:color="auto"/>
            <w:bottom w:val="none" w:sz="0" w:space="0" w:color="auto"/>
            <w:right w:val="none" w:sz="0" w:space="0" w:color="auto"/>
          </w:divBdr>
        </w:div>
      </w:divsChild>
    </w:div>
    <w:div w:id="2104764361">
      <w:marLeft w:val="390"/>
      <w:marRight w:val="390"/>
      <w:marTop w:val="0"/>
      <w:marBottom w:val="0"/>
      <w:divBdr>
        <w:top w:val="none" w:sz="0" w:space="0" w:color="auto"/>
        <w:left w:val="none" w:sz="0" w:space="0" w:color="auto"/>
        <w:bottom w:val="none" w:sz="0" w:space="0" w:color="auto"/>
        <w:right w:val="none" w:sz="0" w:space="0" w:color="auto"/>
      </w:divBdr>
    </w:div>
    <w:div w:id="2104764363">
      <w:marLeft w:val="390"/>
      <w:marRight w:val="390"/>
      <w:marTop w:val="0"/>
      <w:marBottom w:val="0"/>
      <w:divBdr>
        <w:top w:val="none" w:sz="0" w:space="0" w:color="auto"/>
        <w:left w:val="none" w:sz="0" w:space="0" w:color="auto"/>
        <w:bottom w:val="none" w:sz="0" w:space="0" w:color="auto"/>
        <w:right w:val="none" w:sz="0" w:space="0" w:color="auto"/>
      </w:divBdr>
    </w:div>
    <w:div w:id="2104764371">
      <w:marLeft w:val="390"/>
      <w:marRight w:val="390"/>
      <w:marTop w:val="0"/>
      <w:marBottom w:val="0"/>
      <w:divBdr>
        <w:top w:val="none" w:sz="0" w:space="0" w:color="auto"/>
        <w:left w:val="none" w:sz="0" w:space="0" w:color="auto"/>
        <w:bottom w:val="none" w:sz="0" w:space="0" w:color="auto"/>
        <w:right w:val="none" w:sz="0" w:space="0" w:color="auto"/>
      </w:divBdr>
    </w:div>
    <w:div w:id="2104764376">
      <w:marLeft w:val="390"/>
      <w:marRight w:val="390"/>
      <w:marTop w:val="0"/>
      <w:marBottom w:val="0"/>
      <w:divBdr>
        <w:top w:val="none" w:sz="0" w:space="0" w:color="auto"/>
        <w:left w:val="none" w:sz="0" w:space="0" w:color="auto"/>
        <w:bottom w:val="none" w:sz="0" w:space="0" w:color="auto"/>
        <w:right w:val="none" w:sz="0" w:space="0" w:color="auto"/>
      </w:divBdr>
    </w:div>
    <w:div w:id="2104764411">
      <w:marLeft w:val="0"/>
      <w:marRight w:val="0"/>
      <w:marTop w:val="0"/>
      <w:marBottom w:val="0"/>
      <w:divBdr>
        <w:top w:val="none" w:sz="0" w:space="0" w:color="auto"/>
        <w:left w:val="none" w:sz="0" w:space="0" w:color="auto"/>
        <w:bottom w:val="none" w:sz="0" w:space="0" w:color="auto"/>
        <w:right w:val="none" w:sz="0" w:space="0" w:color="auto"/>
      </w:divBdr>
      <w:divsChild>
        <w:div w:id="2104764736">
          <w:marLeft w:val="0"/>
          <w:marRight w:val="0"/>
          <w:marTop w:val="0"/>
          <w:marBottom w:val="0"/>
          <w:divBdr>
            <w:top w:val="none" w:sz="0" w:space="0" w:color="auto"/>
            <w:left w:val="none" w:sz="0" w:space="0" w:color="auto"/>
            <w:bottom w:val="none" w:sz="0" w:space="0" w:color="auto"/>
            <w:right w:val="none" w:sz="0" w:space="0" w:color="auto"/>
          </w:divBdr>
          <w:divsChild>
            <w:div w:id="2104764336">
              <w:marLeft w:val="0"/>
              <w:marRight w:val="0"/>
              <w:marTop w:val="0"/>
              <w:marBottom w:val="0"/>
              <w:divBdr>
                <w:top w:val="none" w:sz="0" w:space="0" w:color="auto"/>
                <w:left w:val="none" w:sz="0" w:space="0" w:color="auto"/>
                <w:bottom w:val="none" w:sz="0" w:space="0" w:color="auto"/>
                <w:right w:val="none" w:sz="0" w:space="0" w:color="auto"/>
              </w:divBdr>
              <w:divsChild>
                <w:div w:id="2104764289">
                  <w:marLeft w:val="0"/>
                  <w:marRight w:val="0"/>
                  <w:marTop w:val="0"/>
                  <w:marBottom w:val="0"/>
                  <w:divBdr>
                    <w:top w:val="none" w:sz="0" w:space="0" w:color="auto"/>
                    <w:left w:val="none" w:sz="0" w:space="0" w:color="auto"/>
                    <w:bottom w:val="none" w:sz="0" w:space="0" w:color="auto"/>
                    <w:right w:val="none" w:sz="0" w:space="0" w:color="auto"/>
                  </w:divBdr>
                </w:div>
                <w:div w:id="2104764699">
                  <w:marLeft w:val="0"/>
                  <w:marRight w:val="0"/>
                  <w:marTop w:val="0"/>
                  <w:marBottom w:val="0"/>
                  <w:divBdr>
                    <w:top w:val="none" w:sz="0" w:space="0" w:color="auto"/>
                    <w:left w:val="none" w:sz="0" w:space="0" w:color="auto"/>
                    <w:bottom w:val="none" w:sz="0" w:space="0" w:color="auto"/>
                    <w:right w:val="none" w:sz="0" w:space="0" w:color="auto"/>
                  </w:divBdr>
                </w:div>
              </w:divsChild>
            </w:div>
            <w:div w:id="2104764426">
              <w:marLeft w:val="0"/>
              <w:marRight w:val="0"/>
              <w:marTop w:val="0"/>
              <w:marBottom w:val="0"/>
              <w:divBdr>
                <w:top w:val="none" w:sz="0" w:space="0" w:color="auto"/>
                <w:left w:val="none" w:sz="0" w:space="0" w:color="auto"/>
                <w:bottom w:val="none" w:sz="0" w:space="0" w:color="auto"/>
                <w:right w:val="none" w:sz="0" w:space="0" w:color="auto"/>
              </w:divBdr>
              <w:divsChild>
                <w:div w:id="2104764397">
                  <w:marLeft w:val="0"/>
                  <w:marRight w:val="0"/>
                  <w:marTop w:val="0"/>
                  <w:marBottom w:val="0"/>
                  <w:divBdr>
                    <w:top w:val="none" w:sz="0" w:space="0" w:color="auto"/>
                    <w:left w:val="none" w:sz="0" w:space="0" w:color="auto"/>
                    <w:bottom w:val="none" w:sz="0" w:space="0" w:color="auto"/>
                    <w:right w:val="none" w:sz="0" w:space="0" w:color="auto"/>
                  </w:divBdr>
                </w:div>
                <w:div w:id="2104764417">
                  <w:marLeft w:val="0"/>
                  <w:marRight w:val="0"/>
                  <w:marTop w:val="0"/>
                  <w:marBottom w:val="0"/>
                  <w:divBdr>
                    <w:top w:val="none" w:sz="0" w:space="0" w:color="auto"/>
                    <w:left w:val="none" w:sz="0" w:space="0" w:color="auto"/>
                    <w:bottom w:val="none" w:sz="0" w:space="0" w:color="auto"/>
                    <w:right w:val="none" w:sz="0" w:space="0" w:color="auto"/>
                  </w:divBdr>
                </w:div>
              </w:divsChild>
            </w:div>
            <w:div w:id="2104764476">
              <w:marLeft w:val="0"/>
              <w:marRight w:val="0"/>
              <w:marTop w:val="0"/>
              <w:marBottom w:val="0"/>
              <w:divBdr>
                <w:top w:val="none" w:sz="0" w:space="0" w:color="auto"/>
                <w:left w:val="none" w:sz="0" w:space="0" w:color="auto"/>
                <w:bottom w:val="none" w:sz="0" w:space="0" w:color="auto"/>
                <w:right w:val="none" w:sz="0" w:space="0" w:color="auto"/>
              </w:divBdr>
            </w:div>
            <w:div w:id="2104764482">
              <w:marLeft w:val="0"/>
              <w:marRight w:val="0"/>
              <w:marTop w:val="0"/>
              <w:marBottom w:val="0"/>
              <w:divBdr>
                <w:top w:val="none" w:sz="0" w:space="0" w:color="auto"/>
                <w:left w:val="none" w:sz="0" w:space="0" w:color="auto"/>
                <w:bottom w:val="none" w:sz="0" w:space="0" w:color="auto"/>
                <w:right w:val="none" w:sz="0" w:space="0" w:color="auto"/>
              </w:divBdr>
              <w:divsChild>
                <w:div w:id="2104764400">
                  <w:marLeft w:val="0"/>
                  <w:marRight w:val="0"/>
                  <w:marTop w:val="0"/>
                  <w:marBottom w:val="0"/>
                  <w:divBdr>
                    <w:top w:val="none" w:sz="0" w:space="0" w:color="auto"/>
                    <w:left w:val="none" w:sz="0" w:space="0" w:color="auto"/>
                    <w:bottom w:val="none" w:sz="0" w:space="0" w:color="auto"/>
                    <w:right w:val="none" w:sz="0" w:space="0" w:color="auto"/>
                  </w:divBdr>
                </w:div>
                <w:div w:id="2104764655">
                  <w:marLeft w:val="0"/>
                  <w:marRight w:val="0"/>
                  <w:marTop w:val="0"/>
                  <w:marBottom w:val="0"/>
                  <w:divBdr>
                    <w:top w:val="none" w:sz="0" w:space="0" w:color="auto"/>
                    <w:left w:val="none" w:sz="0" w:space="0" w:color="auto"/>
                    <w:bottom w:val="none" w:sz="0" w:space="0" w:color="auto"/>
                    <w:right w:val="none" w:sz="0" w:space="0" w:color="auto"/>
                  </w:divBdr>
                </w:div>
              </w:divsChild>
            </w:div>
            <w:div w:id="2104764618">
              <w:marLeft w:val="0"/>
              <w:marRight w:val="0"/>
              <w:marTop w:val="0"/>
              <w:marBottom w:val="0"/>
              <w:divBdr>
                <w:top w:val="none" w:sz="0" w:space="0" w:color="auto"/>
                <w:left w:val="none" w:sz="0" w:space="0" w:color="auto"/>
                <w:bottom w:val="none" w:sz="0" w:space="0" w:color="auto"/>
                <w:right w:val="none" w:sz="0" w:space="0" w:color="auto"/>
              </w:divBdr>
            </w:div>
            <w:div w:id="2104764648">
              <w:marLeft w:val="0"/>
              <w:marRight w:val="0"/>
              <w:marTop w:val="0"/>
              <w:marBottom w:val="0"/>
              <w:divBdr>
                <w:top w:val="none" w:sz="0" w:space="0" w:color="auto"/>
                <w:left w:val="none" w:sz="0" w:space="0" w:color="auto"/>
                <w:bottom w:val="none" w:sz="0" w:space="0" w:color="auto"/>
                <w:right w:val="none" w:sz="0" w:space="0" w:color="auto"/>
              </w:divBdr>
              <w:divsChild>
                <w:div w:id="2104764427">
                  <w:marLeft w:val="0"/>
                  <w:marRight w:val="0"/>
                  <w:marTop w:val="0"/>
                  <w:marBottom w:val="0"/>
                  <w:divBdr>
                    <w:top w:val="none" w:sz="0" w:space="0" w:color="auto"/>
                    <w:left w:val="none" w:sz="0" w:space="0" w:color="auto"/>
                    <w:bottom w:val="none" w:sz="0" w:space="0" w:color="auto"/>
                    <w:right w:val="none" w:sz="0" w:space="0" w:color="auto"/>
                  </w:divBdr>
                </w:div>
                <w:div w:id="21047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64414">
      <w:marLeft w:val="0"/>
      <w:marRight w:val="0"/>
      <w:marTop w:val="0"/>
      <w:marBottom w:val="0"/>
      <w:divBdr>
        <w:top w:val="none" w:sz="0" w:space="0" w:color="auto"/>
        <w:left w:val="none" w:sz="0" w:space="0" w:color="auto"/>
        <w:bottom w:val="none" w:sz="0" w:space="0" w:color="auto"/>
        <w:right w:val="none" w:sz="0" w:space="0" w:color="auto"/>
      </w:divBdr>
      <w:divsChild>
        <w:div w:id="2104764293">
          <w:marLeft w:val="0"/>
          <w:marRight w:val="0"/>
          <w:marTop w:val="0"/>
          <w:marBottom w:val="0"/>
          <w:divBdr>
            <w:top w:val="none" w:sz="0" w:space="0" w:color="auto"/>
            <w:left w:val="none" w:sz="0" w:space="0" w:color="auto"/>
            <w:bottom w:val="none" w:sz="0" w:space="0" w:color="auto"/>
            <w:right w:val="none" w:sz="0" w:space="0" w:color="auto"/>
          </w:divBdr>
        </w:div>
        <w:div w:id="2104764341">
          <w:marLeft w:val="0"/>
          <w:marRight w:val="0"/>
          <w:marTop w:val="0"/>
          <w:marBottom w:val="0"/>
          <w:divBdr>
            <w:top w:val="none" w:sz="0" w:space="0" w:color="auto"/>
            <w:left w:val="none" w:sz="0" w:space="0" w:color="auto"/>
            <w:bottom w:val="none" w:sz="0" w:space="0" w:color="auto"/>
            <w:right w:val="none" w:sz="0" w:space="0" w:color="auto"/>
          </w:divBdr>
        </w:div>
        <w:div w:id="2104764436">
          <w:marLeft w:val="0"/>
          <w:marRight w:val="0"/>
          <w:marTop w:val="0"/>
          <w:marBottom w:val="0"/>
          <w:divBdr>
            <w:top w:val="none" w:sz="0" w:space="0" w:color="auto"/>
            <w:left w:val="none" w:sz="0" w:space="0" w:color="auto"/>
            <w:bottom w:val="none" w:sz="0" w:space="0" w:color="auto"/>
            <w:right w:val="none" w:sz="0" w:space="0" w:color="auto"/>
          </w:divBdr>
        </w:div>
        <w:div w:id="2104764697">
          <w:marLeft w:val="0"/>
          <w:marRight w:val="0"/>
          <w:marTop w:val="0"/>
          <w:marBottom w:val="0"/>
          <w:divBdr>
            <w:top w:val="none" w:sz="0" w:space="0" w:color="auto"/>
            <w:left w:val="none" w:sz="0" w:space="0" w:color="auto"/>
            <w:bottom w:val="none" w:sz="0" w:space="0" w:color="auto"/>
            <w:right w:val="none" w:sz="0" w:space="0" w:color="auto"/>
          </w:divBdr>
        </w:div>
      </w:divsChild>
    </w:div>
    <w:div w:id="2104764418">
      <w:marLeft w:val="390"/>
      <w:marRight w:val="390"/>
      <w:marTop w:val="0"/>
      <w:marBottom w:val="0"/>
      <w:divBdr>
        <w:top w:val="none" w:sz="0" w:space="0" w:color="auto"/>
        <w:left w:val="none" w:sz="0" w:space="0" w:color="auto"/>
        <w:bottom w:val="none" w:sz="0" w:space="0" w:color="auto"/>
        <w:right w:val="none" w:sz="0" w:space="0" w:color="auto"/>
      </w:divBdr>
    </w:div>
    <w:div w:id="2104764421">
      <w:marLeft w:val="390"/>
      <w:marRight w:val="390"/>
      <w:marTop w:val="0"/>
      <w:marBottom w:val="0"/>
      <w:divBdr>
        <w:top w:val="none" w:sz="0" w:space="0" w:color="auto"/>
        <w:left w:val="none" w:sz="0" w:space="0" w:color="auto"/>
        <w:bottom w:val="none" w:sz="0" w:space="0" w:color="auto"/>
        <w:right w:val="none" w:sz="0" w:space="0" w:color="auto"/>
      </w:divBdr>
    </w:div>
    <w:div w:id="2104764431">
      <w:marLeft w:val="390"/>
      <w:marRight w:val="390"/>
      <w:marTop w:val="0"/>
      <w:marBottom w:val="0"/>
      <w:divBdr>
        <w:top w:val="none" w:sz="0" w:space="0" w:color="auto"/>
        <w:left w:val="none" w:sz="0" w:space="0" w:color="auto"/>
        <w:bottom w:val="none" w:sz="0" w:space="0" w:color="auto"/>
        <w:right w:val="none" w:sz="0" w:space="0" w:color="auto"/>
      </w:divBdr>
    </w:div>
    <w:div w:id="2104764435">
      <w:marLeft w:val="390"/>
      <w:marRight w:val="390"/>
      <w:marTop w:val="0"/>
      <w:marBottom w:val="0"/>
      <w:divBdr>
        <w:top w:val="none" w:sz="0" w:space="0" w:color="auto"/>
        <w:left w:val="none" w:sz="0" w:space="0" w:color="auto"/>
        <w:bottom w:val="none" w:sz="0" w:space="0" w:color="auto"/>
        <w:right w:val="none" w:sz="0" w:space="0" w:color="auto"/>
      </w:divBdr>
    </w:div>
    <w:div w:id="2104764438">
      <w:marLeft w:val="0"/>
      <w:marRight w:val="0"/>
      <w:marTop w:val="0"/>
      <w:marBottom w:val="0"/>
      <w:divBdr>
        <w:top w:val="none" w:sz="0" w:space="0" w:color="auto"/>
        <w:left w:val="none" w:sz="0" w:space="0" w:color="auto"/>
        <w:bottom w:val="none" w:sz="0" w:space="0" w:color="auto"/>
        <w:right w:val="none" w:sz="0" w:space="0" w:color="auto"/>
      </w:divBdr>
      <w:divsChild>
        <w:div w:id="2104764353">
          <w:marLeft w:val="0"/>
          <w:marRight w:val="0"/>
          <w:marTop w:val="0"/>
          <w:marBottom w:val="0"/>
          <w:divBdr>
            <w:top w:val="none" w:sz="0" w:space="0" w:color="auto"/>
            <w:left w:val="none" w:sz="0" w:space="0" w:color="auto"/>
            <w:bottom w:val="none" w:sz="0" w:space="0" w:color="auto"/>
            <w:right w:val="none" w:sz="0" w:space="0" w:color="auto"/>
          </w:divBdr>
        </w:div>
        <w:div w:id="2104764523">
          <w:marLeft w:val="0"/>
          <w:marRight w:val="0"/>
          <w:marTop w:val="0"/>
          <w:marBottom w:val="0"/>
          <w:divBdr>
            <w:top w:val="none" w:sz="0" w:space="0" w:color="auto"/>
            <w:left w:val="none" w:sz="0" w:space="0" w:color="auto"/>
            <w:bottom w:val="none" w:sz="0" w:space="0" w:color="auto"/>
            <w:right w:val="none" w:sz="0" w:space="0" w:color="auto"/>
          </w:divBdr>
        </w:div>
        <w:div w:id="2104764576">
          <w:marLeft w:val="0"/>
          <w:marRight w:val="0"/>
          <w:marTop w:val="0"/>
          <w:marBottom w:val="0"/>
          <w:divBdr>
            <w:top w:val="none" w:sz="0" w:space="0" w:color="auto"/>
            <w:left w:val="none" w:sz="0" w:space="0" w:color="auto"/>
            <w:bottom w:val="none" w:sz="0" w:space="0" w:color="auto"/>
            <w:right w:val="none" w:sz="0" w:space="0" w:color="auto"/>
          </w:divBdr>
        </w:div>
        <w:div w:id="2104764579">
          <w:marLeft w:val="0"/>
          <w:marRight w:val="0"/>
          <w:marTop w:val="0"/>
          <w:marBottom w:val="0"/>
          <w:divBdr>
            <w:top w:val="none" w:sz="0" w:space="0" w:color="auto"/>
            <w:left w:val="none" w:sz="0" w:space="0" w:color="auto"/>
            <w:bottom w:val="none" w:sz="0" w:space="0" w:color="auto"/>
            <w:right w:val="none" w:sz="0" w:space="0" w:color="auto"/>
          </w:divBdr>
        </w:div>
        <w:div w:id="2104764589">
          <w:marLeft w:val="0"/>
          <w:marRight w:val="0"/>
          <w:marTop w:val="0"/>
          <w:marBottom w:val="0"/>
          <w:divBdr>
            <w:top w:val="none" w:sz="0" w:space="0" w:color="auto"/>
            <w:left w:val="none" w:sz="0" w:space="0" w:color="auto"/>
            <w:bottom w:val="none" w:sz="0" w:space="0" w:color="auto"/>
            <w:right w:val="none" w:sz="0" w:space="0" w:color="auto"/>
          </w:divBdr>
        </w:div>
        <w:div w:id="2104764604">
          <w:marLeft w:val="0"/>
          <w:marRight w:val="0"/>
          <w:marTop w:val="0"/>
          <w:marBottom w:val="0"/>
          <w:divBdr>
            <w:top w:val="none" w:sz="0" w:space="0" w:color="auto"/>
            <w:left w:val="none" w:sz="0" w:space="0" w:color="auto"/>
            <w:bottom w:val="none" w:sz="0" w:space="0" w:color="auto"/>
            <w:right w:val="none" w:sz="0" w:space="0" w:color="auto"/>
          </w:divBdr>
        </w:div>
        <w:div w:id="2104764625">
          <w:marLeft w:val="0"/>
          <w:marRight w:val="0"/>
          <w:marTop w:val="0"/>
          <w:marBottom w:val="0"/>
          <w:divBdr>
            <w:top w:val="none" w:sz="0" w:space="0" w:color="auto"/>
            <w:left w:val="none" w:sz="0" w:space="0" w:color="auto"/>
            <w:bottom w:val="none" w:sz="0" w:space="0" w:color="auto"/>
            <w:right w:val="none" w:sz="0" w:space="0" w:color="auto"/>
          </w:divBdr>
        </w:div>
        <w:div w:id="2104764642">
          <w:marLeft w:val="0"/>
          <w:marRight w:val="0"/>
          <w:marTop w:val="0"/>
          <w:marBottom w:val="0"/>
          <w:divBdr>
            <w:top w:val="none" w:sz="0" w:space="0" w:color="auto"/>
            <w:left w:val="none" w:sz="0" w:space="0" w:color="auto"/>
            <w:bottom w:val="none" w:sz="0" w:space="0" w:color="auto"/>
            <w:right w:val="none" w:sz="0" w:space="0" w:color="auto"/>
          </w:divBdr>
        </w:div>
        <w:div w:id="2104764662">
          <w:marLeft w:val="0"/>
          <w:marRight w:val="0"/>
          <w:marTop w:val="0"/>
          <w:marBottom w:val="0"/>
          <w:divBdr>
            <w:top w:val="none" w:sz="0" w:space="0" w:color="auto"/>
            <w:left w:val="none" w:sz="0" w:space="0" w:color="auto"/>
            <w:bottom w:val="none" w:sz="0" w:space="0" w:color="auto"/>
            <w:right w:val="none" w:sz="0" w:space="0" w:color="auto"/>
          </w:divBdr>
        </w:div>
        <w:div w:id="2104764704">
          <w:marLeft w:val="0"/>
          <w:marRight w:val="0"/>
          <w:marTop w:val="0"/>
          <w:marBottom w:val="0"/>
          <w:divBdr>
            <w:top w:val="none" w:sz="0" w:space="0" w:color="auto"/>
            <w:left w:val="none" w:sz="0" w:space="0" w:color="auto"/>
            <w:bottom w:val="none" w:sz="0" w:space="0" w:color="auto"/>
            <w:right w:val="none" w:sz="0" w:space="0" w:color="auto"/>
          </w:divBdr>
        </w:div>
      </w:divsChild>
    </w:div>
    <w:div w:id="2104764441">
      <w:marLeft w:val="0"/>
      <w:marRight w:val="0"/>
      <w:marTop w:val="0"/>
      <w:marBottom w:val="0"/>
      <w:divBdr>
        <w:top w:val="none" w:sz="0" w:space="0" w:color="auto"/>
        <w:left w:val="none" w:sz="0" w:space="0" w:color="auto"/>
        <w:bottom w:val="none" w:sz="0" w:space="0" w:color="auto"/>
        <w:right w:val="none" w:sz="0" w:space="0" w:color="auto"/>
      </w:divBdr>
      <w:divsChild>
        <w:div w:id="2104764516">
          <w:marLeft w:val="0"/>
          <w:marRight w:val="0"/>
          <w:marTop w:val="0"/>
          <w:marBottom w:val="0"/>
          <w:divBdr>
            <w:top w:val="none" w:sz="0" w:space="0" w:color="auto"/>
            <w:left w:val="none" w:sz="0" w:space="0" w:color="auto"/>
            <w:bottom w:val="none" w:sz="0" w:space="0" w:color="auto"/>
            <w:right w:val="none" w:sz="0" w:space="0" w:color="auto"/>
          </w:divBdr>
          <w:divsChild>
            <w:div w:id="2104764373">
              <w:marLeft w:val="0"/>
              <w:marRight w:val="0"/>
              <w:marTop w:val="0"/>
              <w:marBottom w:val="0"/>
              <w:divBdr>
                <w:top w:val="none" w:sz="0" w:space="0" w:color="auto"/>
                <w:left w:val="none" w:sz="0" w:space="0" w:color="auto"/>
                <w:bottom w:val="none" w:sz="0" w:space="0" w:color="auto"/>
                <w:right w:val="none" w:sz="0" w:space="0" w:color="auto"/>
              </w:divBdr>
            </w:div>
            <w:div w:id="2104764449">
              <w:marLeft w:val="0"/>
              <w:marRight w:val="0"/>
              <w:marTop w:val="0"/>
              <w:marBottom w:val="0"/>
              <w:divBdr>
                <w:top w:val="none" w:sz="0" w:space="0" w:color="auto"/>
                <w:left w:val="none" w:sz="0" w:space="0" w:color="auto"/>
                <w:bottom w:val="none" w:sz="0" w:space="0" w:color="auto"/>
                <w:right w:val="none" w:sz="0" w:space="0" w:color="auto"/>
              </w:divBdr>
            </w:div>
            <w:div w:id="2104764500">
              <w:marLeft w:val="0"/>
              <w:marRight w:val="0"/>
              <w:marTop w:val="0"/>
              <w:marBottom w:val="0"/>
              <w:divBdr>
                <w:top w:val="none" w:sz="0" w:space="0" w:color="auto"/>
                <w:left w:val="none" w:sz="0" w:space="0" w:color="auto"/>
                <w:bottom w:val="none" w:sz="0" w:space="0" w:color="auto"/>
                <w:right w:val="none" w:sz="0" w:space="0" w:color="auto"/>
              </w:divBdr>
              <w:divsChild>
                <w:div w:id="2104764569">
                  <w:marLeft w:val="0"/>
                  <w:marRight w:val="0"/>
                  <w:marTop w:val="0"/>
                  <w:marBottom w:val="0"/>
                  <w:divBdr>
                    <w:top w:val="none" w:sz="0" w:space="0" w:color="auto"/>
                    <w:left w:val="none" w:sz="0" w:space="0" w:color="auto"/>
                    <w:bottom w:val="none" w:sz="0" w:space="0" w:color="auto"/>
                    <w:right w:val="none" w:sz="0" w:space="0" w:color="auto"/>
                  </w:divBdr>
                </w:div>
                <w:div w:id="2104764687">
                  <w:marLeft w:val="0"/>
                  <w:marRight w:val="0"/>
                  <w:marTop w:val="0"/>
                  <w:marBottom w:val="0"/>
                  <w:divBdr>
                    <w:top w:val="none" w:sz="0" w:space="0" w:color="auto"/>
                    <w:left w:val="none" w:sz="0" w:space="0" w:color="auto"/>
                    <w:bottom w:val="none" w:sz="0" w:space="0" w:color="auto"/>
                    <w:right w:val="none" w:sz="0" w:space="0" w:color="auto"/>
                  </w:divBdr>
                </w:div>
              </w:divsChild>
            </w:div>
            <w:div w:id="2104764614">
              <w:marLeft w:val="0"/>
              <w:marRight w:val="0"/>
              <w:marTop w:val="0"/>
              <w:marBottom w:val="0"/>
              <w:divBdr>
                <w:top w:val="none" w:sz="0" w:space="0" w:color="auto"/>
                <w:left w:val="none" w:sz="0" w:space="0" w:color="auto"/>
                <w:bottom w:val="none" w:sz="0" w:space="0" w:color="auto"/>
                <w:right w:val="none" w:sz="0" w:space="0" w:color="auto"/>
              </w:divBdr>
              <w:divsChild>
                <w:div w:id="2104764372">
                  <w:marLeft w:val="0"/>
                  <w:marRight w:val="0"/>
                  <w:marTop w:val="0"/>
                  <w:marBottom w:val="0"/>
                  <w:divBdr>
                    <w:top w:val="none" w:sz="0" w:space="0" w:color="auto"/>
                    <w:left w:val="none" w:sz="0" w:space="0" w:color="auto"/>
                    <w:bottom w:val="none" w:sz="0" w:space="0" w:color="auto"/>
                    <w:right w:val="none" w:sz="0" w:space="0" w:color="auto"/>
                  </w:divBdr>
                </w:div>
                <w:div w:id="2104764694">
                  <w:marLeft w:val="0"/>
                  <w:marRight w:val="0"/>
                  <w:marTop w:val="0"/>
                  <w:marBottom w:val="0"/>
                  <w:divBdr>
                    <w:top w:val="none" w:sz="0" w:space="0" w:color="auto"/>
                    <w:left w:val="none" w:sz="0" w:space="0" w:color="auto"/>
                    <w:bottom w:val="none" w:sz="0" w:space="0" w:color="auto"/>
                    <w:right w:val="none" w:sz="0" w:space="0" w:color="auto"/>
                  </w:divBdr>
                </w:div>
              </w:divsChild>
            </w:div>
            <w:div w:id="2104764621">
              <w:marLeft w:val="0"/>
              <w:marRight w:val="0"/>
              <w:marTop w:val="0"/>
              <w:marBottom w:val="0"/>
              <w:divBdr>
                <w:top w:val="none" w:sz="0" w:space="0" w:color="auto"/>
                <w:left w:val="none" w:sz="0" w:space="0" w:color="auto"/>
                <w:bottom w:val="none" w:sz="0" w:space="0" w:color="auto"/>
                <w:right w:val="none" w:sz="0" w:space="0" w:color="auto"/>
              </w:divBdr>
              <w:divsChild>
                <w:div w:id="2104764554">
                  <w:marLeft w:val="0"/>
                  <w:marRight w:val="0"/>
                  <w:marTop w:val="0"/>
                  <w:marBottom w:val="0"/>
                  <w:divBdr>
                    <w:top w:val="none" w:sz="0" w:space="0" w:color="auto"/>
                    <w:left w:val="none" w:sz="0" w:space="0" w:color="auto"/>
                    <w:bottom w:val="none" w:sz="0" w:space="0" w:color="auto"/>
                    <w:right w:val="none" w:sz="0" w:space="0" w:color="auto"/>
                  </w:divBdr>
                </w:div>
                <w:div w:id="2104764633">
                  <w:marLeft w:val="0"/>
                  <w:marRight w:val="0"/>
                  <w:marTop w:val="0"/>
                  <w:marBottom w:val="0"/>
                  <w:divBdr>
                    <w:top w:val="none" w:sz="0" w:space="0" w:color="auto"/>
                    <w:left w:val="none" w:sz="0" w:space="0" w:color="auto"/>
                    <w:bottom w:val="none" w:sz="0" w:space="0" w:color="auto"/>
                    <w:right w:val="none" w:sz="0" w:space="0" w:color="auto"/>
                  </w:divBdr>
                </w:div>
              </w:divsChild>
            </w:div>
            <w:div w:id="2104764701">
              <w:marLeft w:val="0"/>
              <w:marRight w:val="0"/>
              <w:marTop w:val="0"/>
              <w:marBottom w:val="0"/>
              <w:divBdr>
                <w:top w:val="none" w:sz="0" w:space="0" w:color="auto"/>
                <w:left w:val="none" w:sz="0" w:space="0" w:color="auto"/>
                <w:bottom w:val="none" w:sz="0" w:space="0" w:color="auto"/>
                <w:right w:val="none" w:sz="0" w:space="0" w:color="auto"/>
              </w:divBdr>
              <w:divsChild>
                <w:div w:id="2104764486">
                  <w:marLeft w:val="0"/>
                  <w:marRight w:val="0"/>
                  <w:marTop w:val="0"/>
                  <w:marBottom w:val="0"/>
                  <w:divBdr>
                    <w:top w:val="none" w:sz="0" w:space="0" w:color="auto"/>
                    <w:left w:val="none" w:sz="0" w:space="0" w:color="auto"/>
                    <w:bottom w:val="none" w:sz="0" w:space="0" w:color="auto"/>
                    <w:right w:val="none" w:sz="0" w:space="0" w:color="auto"/>
                  </w:divBdr>
                </w:div>
                <w:div w:id="210476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64446">
      <w:marLeft w:val="390"/>
      <w:marRight w:val="390"/>
      <w:marTop w:val="0"/>
      <w:marBottom w:val="0"/>
      <w:divBdr>
        <w:top w:val="none" w:sz="0" w:space="0" w:color="auto"/>
        <w:left w:val="none" w:sz="0" w:space="0" w:color="auto"/>
        <w:bottom w:val="none" w:sz="0" w:space="0" w:color="auto"/>
        <w:right w:val="none" w:sz="0" w:space="0" w:color="auto"/>
      </w:divBdr>
    </w:div>
    <w:div w:id="2104764448">
      <w:marLeft w:val="390"/>
      <w:marRight w:val="390"/>
      <w:marTop w:val="0"/>
      <w:marBottom w:val="0"/>
      <w:divBdr>
        <w:top w:val="none" w:sz="0" w:space="0" w:color="auto"/>
        <w:left w:val="none" w:sz="0" w:space="0" w:color="auto"/>
        <w:bottom w:val="none" w:sz="0" w:space="0" w:color="auto"/>
        <w:right w:val="none" w:sz="0" w:space="0" w:color="auto"/>
      </w:divBdr>
    </w:div>
    <w:div w:id="2104764466">
      <w:marLeft w:val="0"/>
      <w:marRight w:val="0"/>
      <w:marTop w:val="0"/>
      <w:marBottom w:val="0"/>
      <w:divBdr>
        <w:top w:val="none" w:sz="0" w:space="0" w:color="auto"/>
        <w:left w:val="none" w:sz="0" w:space="0" w:color="auto"/>
        <w:bottom w:val="none" w:sz="0" w:space="0" w:color="auto"/>
        <w:right w:val="none" w:sz="0" w:space="0" w:color="auto"/>
      </w:divBdr>
      <w:divsChild>
        <w:div w:id="2104764305">
          <w:marLeft w:val="0"/>
          <w:marRight w:val="0"/>
          <w:marTop w:val="0"/>
          <w:marBottom w:val="0"/>
          <w:divBdr>
            <w:top w:val="none" w:sz="0" w:space="0" w:color="auto"/>
            <w:left w:val="none" w:sz="0" w:space="0" w:color="auto"/>
            <w:bottom w:val="none" w:sz="0" w:space="0" w:color="auto"/>
            <w:right w:val="none" w:sz="0" w:space="0" w:color="auto"/>
          </w:divBdr>
          <w:divsChild>
            <w:div w:id="2104764297">
              <w:marLeft w:val="0"/>
              <w:marRight w:val="0"/>
              <w:marTop w:val="0"/>
              <w:marBottom w:val="0"/>
              <w:divBdr>
                <w:top w:val="none" w:sz="0" w:space="0" w:color="auto"/>
                <w:left w:val="none" w:sz="0" w:space="0" w:color="auto"/>
                <w:bottom w:val="none" w:sz="0" w:space="0" w:color="auto"/>
                <w:right w:val="none" w:sz="0" w:space="0" w:color="auto"/>
              </w:divBdr>
              <w:divsChild>
                <w:div w:id="2104764323">
                  <w:marLeft w:val="0"/>
                  <w:marRight w:val="0"/>
                  <w:marTop w:val="0"/>
                  <w:marBottom w:val="0"/>
                  <w:divBdr>
                    <w:top w:val="none" w:sz="0" w:space="0" w:color="auto"/>
                    <w:left w:val="none" w:sz="0" w:space="0" w:color="auto"/>
                    <w:bottom w:val="none" w:sz="0" w:space="0" w:color="auto"/>
                    <w:right w:val="none" w:sz="0" w:space="0" w:color="auto"/>
                  </w:divBdr>
                </w:div>
                <w:div w:id="2104764671">
                  <w:marLeft w:val="0"/>
                  <w:marRight w:val="0"/>
                  <w:marTop w:val="0"/>
                  <w:marBottom w:val="0"/>
                  <w:divBdr>
                    <w:top w:val="none" w:sz="0" w:space="0" w:color="auto"/>
                    <w:left w:val="none" w:sz="0" w:space="0" w:color="auto"/>
                    <w:bottom w:val="none" w:sz="0" w:space="0" w:color="auto"/>
                    <w:right w:val="none" w:sz="0" w:space="0" w:color="auto"/>
                  </w:divBdr>
                </w:div>
              </w:divsChild>
            </w:div>
            <w:div w:id="2104764349">
              <w:marLeft w:val="0"/>
              <w:marRight w:val="0"/>
              <w:marTop w:val="0"/>
              <w:marBottom w:val="0"/>
              <w:divBdr>
                <w:top w:val="none" w:sz="0" w:space="0" w:color="auto"/>
                <w:left w:val="none" w:sz="0" w:space="0" w:color="auto"/>
                <w:bottom w:val="none" w:sz="0" w:space="0" w:color="auto"/>
                <w:right w:val="none" w:sz="0" w:space="0" w:color="auto"/>
              </w:divBdr>
              <w:divsChild>
                <w:div w:id="2104764462">
                  <w:marLeft w:val="0"/>
                  <w:marRight w:val="0"/>
                  <w:marTop w:val="0"/>
                  <w:marBottom w:val="0"/>
                  <w:divBdr>
                    <w:top w:val="none" w:sz="0" w:space="0" w:color="auto"/>
                    <w:left w:val="none" w:sz="0" w:space="0" w:color="auto"/>
                    <w:bottom w:val="none" w:sz="0" w:space="0" w:color="auto"/>
                    <w:right w:val="none" w:sz="0" w:space="0" w:color="auto"/>
                  </w:divBdr>
                </w:div>
              </w:divsChild>
            </w:div>
            <w:div w:id="2104764374">
              <w:marLeft w:val="0"/>
              <w:marRight w:val="0"/>
              <w:marTop w:val="0"/>
              <w:marBottom w:val="0"/>
              <w:divBdr>
                <w:top w:val="none" w:sz="0" w:space="0" w:color="auto"/>
                <w:left w:val="none" w:sz="0" w:space="0" w:color="auto"/>
                <w:bottom w:val="none" w:sz="0" w:space="0" w:color="auto"/>
                <w:right w:val="none" w:sz="0" w:space="0" w:color="auto"/>
              </w:divBdr>
              <w:divsChild>
                <w:div w:id="2104764638">
                  <w:marLeft w:val="0"/>
                  <w:marRight w:val="0"/>
                  <w:marTop w:val="0"/>
                  <w:marBottom w:val="0"/>
                  <w:divBdr>
                    <w:top w:val="none" w:sz="0" w:space="0" w:color="auto"/>
                    <w:left w:val="none" w:sz="0" w:space="0" w:color="auto"/>
                    <w:bottom w:val="none" w:sz="0" w:space="0" w:color="auto"/>
                    <w:right w:val="none" w:sz="0" w:space="0" w:color="auto"/>
                  </w:divBdr>
                </w:div>
                <w:div w:id="2104764692">
                  <w:marLeft w:val="0"/>
                  <w:marRight w:val="0"/>
                  <w:marTop w:val="0"/>
                  <w:marBottom w:val="0"/>
                  <w:divBdr>
                    <w:top w:val="none" w:sz="0" w:space="0" w:color="auto"/>
                    <w:left w:val="none" w:sz="0" w:space="0" w:color="auto"/>
                    <w:bottom w:val="none" w:sz="0" w:space="0" w:color="auto"/>
                    <w:right w:val="none" w:sz="0" w:space="0" w:color="auto"/>
                  </w:divBdr>
                </w:div>
              </w:divsChild>
            </w:div>
            <w:div w:id="2104764380">
              <w:marLeft w:val="0"/>
              <w:marRight w:val="0"/>
              <w:marTop w:val="0"/>
              <w:marBottom w:val="0"/>
              <w:divBdr>
                <w:top w:val="none" w:sz="0" w:space="0" w:color="auto"/>
                <w:left w:val="none" w:sz="0" w:space="0" w:color="auto"/>
                <w:bottom w:val="none" w:sz="0" w:space="0" w:color="auto"/>
                <w:right w:val="none" w:sz="0" w:space="0" w:color="auto"/>
              </w:divBdr>
              <w:divsChild>
                <w:div w:id="2104764294">
                  <w:marLeft w:val="0"/>
                  <w:marRight w:val="0"/>
                  <w:marTop w:val="0"/>
                  <w:marBottom w:val="0"/>
                  <w:divBdr>
                    <w:top w:val="none" w:sz="0" w:space="0" w:color="auto"/>
                    <w:left w:val="none" w:sz="0" w:space="0" w:color="auto"/>
                    <w:bottom w:val="none" w:sz="0" w:space="0" w:color="auto"/>
                    <w:right w:val="none" w:sz="0" w:space="0" w:color="auto"/>
                  </w:divBdr>
                </w:div>
                <w:div w:id="2104764439">
                  <w:marLeft w:val="0"/>
                  <w:marRight w:val="0"/>
                  <w:marTop w:val="0"/>
                  <w:marBottom w:val="0"/>
                  <w:divBdr>
                    <w:top w:val="none" w:sz="0" w:space="0" w:color="auto"/>
                    <w:left w:val="none" w:sz="0" w:space="0" w:color="auto"/>
                    <w:bottom w:val="none" w:sz="0" w:space="0" w:color="auto"/>
                    <w:right w:val="none" w:sz="0" w:space="0" w:color="auto"/>
                  </w:divBdr>
                </w:div>
              </w:divsChild>
            </w:div>
            <w:div w:id="2104764393">
              <w:marLeft w:val="0"/>
              <w:marRight w:val="0"/>
              <w:marTop w:val="0"/>
              <w:marBottom w:val="0"/>
              <w:divBdr>
                <w:top w:val="none" w:sz="0" w:space="0" w:color="auto"/>
                <w:left w:val="none" w:sz="0" w:space="0" w:color="auto"/>
                <w:bottom w:val="none" w:sz="0" w:space="0" w:color="auto"/>
                <w:right w:val="none" w:sz="0" w:space="0" w:color="auto"/>
              </w:divBdr>
              <w:divsChild>
                <w:div w:id="2104764311">
                  <w:marLeft w:val="0"/>
                  <w:marRight w:val="0"/>
                  <w:marTop w:val="0"/>
                  <w:marBottom w:val="0"/>
                  <w:divBdr>
                    <w:top w:val="none" w:sz="0" w:space="0" w:color="auto"/>
                    <w:left w:val="none" w:sz="0" w:space="0" w:color="auto"/>
                    <w:bottom w:val="none" w:sz="0" w:space="0" w:color="auto"/>
                    <w:right w:val="none" w:sz="0" w:space="0" w:color="auto"/>
                  </w:divBdr>
                </w:div>
                <w:div w:id="2104764485">
                  <w:marLeft w:val="0"/>
                  <w:marRight w:val="0"/>
                  <w:marTop w:val="0"/>
                  <w:marBottom w:val="0"/>
                  <w:divBdr>
                    <w:top w:val="none" w:sz="0" w:space="0" w:color="auto"/>
                    <w:left w:val="none" w:sz="0" w:space="0" w:color="auto"/>
                    <w:bottom w:val="none" w:sz="0" w:space="0" w:color="auto"/>
                    <w:right w:val="none" w:sz="0" w:space="0" w:color="auto"/>
                  </w:divBdr>
                </w:div>
              </w:divsChild>
            </w:div>
            <w:div w:id="2104764398">
              <w:marLeft w:val="0"/>
              <w:marRight w:val="0"/>
              <w:marTop w:val="0"/>
              <w:marBottom w:val="0"/>
              <w:divBdr>
                <w:top w:val="none" w:sz="0" w:space="0" w:color="auto"/>
                <w:left w:val="none" w:sz="0" w:space="0" w:color="auto"/>
                <w:bottom w:val="none" w:sz="0" w:space="0" w:color="auto"/>
                <w:right w:val="none" w:sz="0" w:space="0" w:color="auto"/>
              </w:divBdr>
              <w:divsChild>
                <w:div w:id="2104764350">
                  <w:marLeft w:val="0"/>
                  <w:marRight w:val="0"/>
                  <w:marTop w:val="0"/>
                  <w:marBottom w:val="0"/>
                  <w:divBdr>
                    <w:top w:val="none" w:sz="0" w:space="0" w:color="auto"/>
                    <w:left w:val="none" w:sz="0" w:space="0" w:color="auto"/>
                    <w:bottom w:val="none" w:sz="0" w:space="0" w:color="auto"/>
                    <w:right w:val="none" w:sz="0" w:space="0" w:color="auto"/>
                  </w:divBdr>
                </w:div>
                <w:div w:id="2104764667">
                  <w:marLeft w:val="0"/>
                  <w:marRight w:val="0"/>
                  <w:marTop w:val="0"/>
                  <w:marBottom w:val="0"/>
                  <w:divBdr>
                    <w:top w:val="none" w:sz="0" w:space="0" w:color="auto"/>
                    <w:left w:val="none" w:sz="0" w:space="0" w:color="auto"/>
                    <w:bottom w:val="none" w:sz="0" w:space="0" w:color="auto"/>
                    <w:right w:val="none" w:sz="0" w:space="0" w:color="auto"/>
                  </w:divBdr>
                </w:div>
              </w:divsChild>
            </w:div>
            <w:div w:id="2104764460">
              <w:marLeft w:val="0"/>
              <w:marRight w:val="0"/>
              <w:marTop w:val="0"/>
              <w:marBottom w:val="0"/>
              <w:divBdr>
                <w:top w:val="none" w:sz="0" w:space="0" w:color="auto"/>
                <w:left w:val="none" w:sz="0" w:space="0" w:color="auto"/>
                <w:bottom w:val="none" w:sz="0" w:space="0" w:color="auto"/>
                <w:right w:val="none" w:sz="0" w:space="0" w:color="auto"/>
              </w:divBdr>
              <w:divsChild>
                <w:div w:id="2104764316">
                  <w:marLeft w:val="0"/>
                  <w:marRight w:val="0"/>
                  <w:marTop w:val="0"/>
                  <w:marBottom w:val="0"/>
                  <w:divBdr>
                    <w:top w:val="none" w:sz="0" w:space="0" w:color="auto"/>
                    <w:left w:val="none" w:sz="0" w:space="0" w:color="auto"/>
                    <w:bottom w:val="none" w:sz="0" w:space="0" w:color="auto"/>
                    <w:right w:val="none" w:sz="0" w:space="0" w:color="auto"/>
                  </w:divBdr>
                </w:div>
                <w:div w:id="2104764465">
                  <w:marLeft w:val="0"/>
                  <w:marRight w:val="0"/>
                  <w:marTop w:val="0"/>
                  <w:marBottom w:val="0"/>
                  <w:divBdr>
                    <w:top w:val="none" w:sz="0" w:space="0" w:color="auto"/>
                    <w:left w:val="none" w:sz="0" w:space="0" w:color="auto"/>
                    <w:bottom w:val="none" w:sz="0" w:space="0" w:color="auto"/>
                    <w:right w:val="none" w:sz="0" w:space="0" w:color="auto"/>
                  </w:divBdr>
                </w:div>
              </w:divsChild>
            </w:div>
            <w:div w:id="2104764503">
              <w:marLeft w:val="0"/>
              <w:marRight w:val="0"/>
              <w:marTop w:val="0"/>
              <w:marBottom w:val="0"/>
              <w:divBdr>
                <w:top w:val="none" w:sz="0" w:space="0" w:color="auto"/>
                <w:left w:val="none" w:sz="0" w:space="0" w:color="auto"/>
                <w:bottom w:val="none" w:sz="0" w:space="0" w:color="auto"/>
                <w:right w:val="none" w:sz="0" w:space="0" w:color="auto"/>
              </w:divBdr>
              <w:divsChild>
                <w:div w:id="2104764388">
                  <w:marLeft w:val="0"/>
                  <w:marRight w:val="0"/>
                  <w:marTop w:val="0"/>
                  <w:marBottom w:val="0"/>
                  <w:divBdr>
                    <w:top w:val="none" w:sz="0" w:space="0" w:color="auto"/>
                    <w:left w:val="none" w:sz="0" w:space="0" w:color="auto"/>
                    <w:bottom w:val="none" w:sz="0" w:space="0" w:color="auto"/>
                    <w:right w:val="none" w:sz="0" w:space="0" w:color="auto"/>
                  </w:divBdr>
                </w:div>
                <w:div w:id="2104764595">
                  <w:marLeft w:val="0"/>
                  <w:marRight w:val="0"/>
                  <w:marTop w:val="0"/>
                  <w:marBottom w:val="0"/>
                  <w:divBdr>
                    <w:top w:val="none" w:sz="0" w:space="0" w:color="auto"/>
                    <w:left w:val="none" w:sz="0" w:space="0" w:color="auto"/>
                    <w:bottom w:val="none" w:sz="0" w:space="0" w:color="auto"/>
                    <w:right w:val="none" w:sz="0" w:space="0" w:color="auto"/>
                  </w:divBdr>
                </w:div>
              </w:divsChild>
            </w:div>
            <w:div w:id="2104764535">
              <w:marLeft w:val="0"/>
              <w:marRight w:val="0"/>
              <w:marTop w:val="0"/>
              <w:marBottom w:val="0"/>
              <w:divBdr>
                <w:top w:val="none" w:sz="0" w:space="0" w:color="auto"/>
                <w:left w:val="none" w:sz="0" w:space="0" w:color="auto"/>
                <w:bottom w:val="none" w:sz="0" w:space="0" w:color="auto"/>
                <w:right w:val="none" w:sz="0" w:space="0" w:color="auto"/>
              </w:divBdr>
              <w:divsChild>
                <w:div w:id="2104764458">
                  <w:marLeft w:val="0"/>
                  <w:marRight w:val="0"/>
                  <w:marTop w:val="0"/>
                  <w:marBottom w:val="0"/>
                  <w:divBdr>
                    <w:top w:val="none" w:sz="0" w:space="0" w:color="auto"/>
                    <w:left w:val="none" w:sz="0" w:space="0" w:color="auto"/>
                    <w:bottom w:val="none" w:sz="0" w:space="0" w:color="auto"/>
                    <w:right w:val="none" w:sz="0" w:space="0" w:color="auto"/>
                  </w:divBdr>
                </w:div>
                <w:div w:id="2104764491">
                  <w:marLeft w:val="0"/>
                  <w:marRight w:val="0"/>
                  <w:marTop w:val="0"/>
                  <w:marBottom w:val="0"/>
                  <w:divBdr>
                    <w:top w:val="none" w:sz="0" w:space="0" w:color="auto"/>
                    <w:left w:val="none" w:sz="0" w:space="0" w:color="auto"/>
                    <w:bottom w:val="none" w:sz="0" w:space="0" w:color="auto"/>
                    <w:right w:val="none" w:sz="0" w:space="0" w:color="auto"/>
                  </w:divBdr>
                </w:div>
              </w:divsChild>
            </w:div>
            <w:div w:id="2104764545">
              <w:marLeft w:val="0"/>
              <w:marRight w:val="0"/>
              <w:marTop w:val="0"/>
              <w:marBottom w:val="0"/>
              <w:divBdr>
                <w:top w:val="none" w:sz="0" w:space="0" w:color="auto"/>
                <w:left w:val="none" w:sz="0" w:space="0" w:color="auto"/>
                <w:bottom w:val="none" w:sz="0" w:space="0" w:color="auto"/>
                <w:right w:val="none" w:sz="0" w:space="0" w:color="auto"/>
              </w:divBdr>
              <w:divsChild>
                <w:div w:id="2104764451">
                  <w:marLeft w:val="0"/>
                  <w:marRight w:val="0"/>
                  <w:marTop w:val="0"/>
                  <w:marBottom w:val="0"/>
                  <w:divBdr>
                    <w:top w:val="none" w:sz="0" w:space="0" w:color="auto"/>
                    <w:left w:val="none" w:sz="0" w:space="0" w:color="auto"/>
                    <w:bottom w:val="none" w:sz="0" w:space="0" w:color="auto"/>
                    <w:right w:val="none" w:sz="0" w:space="0" w:color="auto"/>
                  </w:divBdr>
                </w:div>
                <w:div w:id="2104764741">
                  <w:marLeft w:val="0"/>
                  <w:marRight w:val="0"/>
                  <w:marTop w:val="0"/>
                  <w:marBottom w:val="0"/>
                  <w:divBdr>
                    <w:top w:val="none" w:sz="0" w:space="0" w:color="auto"/>
                    <w:left w:val="none" w:sz="0" w:space="0" w:color="auto"/>
                    <w:bottom w:val="none" w:sz="0" w:space="0" w:color="auto"/>
                    <w:right w:val="none" w:sz="0" w:space="0" w:color="auto"/>
                  </w:divBdr>
                </w:div>
              </w:divsChild>
            </w:div>
            <w:div w:id="2104764561">
              <w:marLeft w:val="0"/>
              <w:marRight w:val="0"/>
              <w:marTop w:val="0"/>
              <w:marBottom w:val="0"/>
              <w:divBdr>
                <w:top w:val="none" w:sz="0" w:space="0" w:color="auto"/>
                <w:left w:val="none" w:sz="0" w:space="0" w:color="auto"/>
                <w:bottom w:val="none" w:sz="0" w:space="0" w:color="auto"/>
                <w:right w:val="none" w:sz="0" w:space="0" w:color="auto"/>
              </w:divBdr>
              <w:divsChild>
                <w:div w:id="2104764620">
                  <w:marLeft w:val="0"/>
                  <w:marRight w:val="0"/>
                  <w:marTop w:val="0"/>
                  <w:marBottom w:val="0"/>
                  <w:divBdr>
                    <w:top w:val="none" w:sz="0" w:space="0" w:color="auto"/>
                    <w:left w:val="none" w:sz="0" w:space="0" w:color="auto"/>
                    <w:bottom w:val="none" w:sz="0" w:space="0" w:color="auto"/>
                    <w:right w:val="none" w:sz="0" w:space="0" w:color="auto"/>
                  </w:divBdr>
                </w:div>
                <w:div w:id="2104764731">
                  <w:marLeft w:val="0"/>
                  <w:marRight w:val="0"/>
                  <w:marTop w:val="0"/>
                  <w:marBottom w:val="0"/>
                  <w:divBdr>
                    <w:top w:val="none" w:sz="0" w:space="0" w:color="auto"/>
                    <w:left w:val="none" w:sz="0" w:space="0" w:color="auto"/>
                    <w:bottom w:val="none" w:sz="0" w:space="0" w:color="auto"/>
                    <w:right w:val="none" w:sz="0" w:space="0" w:color="auto"/>
                  </w:divBdr>
                </w:div>
              </w:divsChild>
            </w:div>
            <w:div w:id="2104764730">
              <w:marLeft w:val="0"/>
              <w:marRight w:val="0"/>
              <w:marTop w:val="0"/>
              <w:marBottom w:val="0"/>
              <w:divBdr>
                <w:top w:val="none" w:sz="0" w:space="0" w:color="auto"/>
                <w:left w:val="none" w:sz="0" w:space="0" w:color="auto"/>
                <w:bottom w:val="none" w:sz="0" w:space="0" w:color="auto"/>
                <w:right w:val="none" w:sz="0" w:space="0" w:color="auto"/>
              </w:divBdr>
              <w:divsChild>
                <w:div w:id="2104764344">
                  <w:marLeft w:val="0"/>
                  <w:marRight w:val="0"/>
                  <w:marTop w:val="0"/>
                  <w:marBottom w:val="0"/>
                  <w:divBdr>
                    <w:top w:val="none" w:sz="0" w:space="0" w:color="auto"/>
                    <w:left w:val="none" w:sz="0" w:space="0" w:color="auto"/>
                    <w:bottom w:val="none" w:sz="0" w:space="0" w:color="auto"/>
                    <w:right w:val="none" w:sz="0" w:space="0" w:color="auto"/>
                  </w:divBdr>
                </w:div>
                <w:div w:id="2104764387">
                  <w:marLeft w:val="0"/>
                  <w:marRight w:val="0"/>
                  <w:marTop w:val="0"/>
                  <w:marBottom w:val="0"/>
                  <w:divBdr>
                    <w:top w:val="none" w:sz="0" w:space="0" w:color="auto"/>
                    <w:left w:val="none" w:sz="0" w:space="0" w:color="auto"/>
                    <w:bottom w:val="none" w:sz="0" w:space="0" w:color="auto"/>
                    <w:right w:val="none" w:sz="0" w:space="0" w:color="auto"/>
                  </w:divBdr>
                </w:div>
              </w:divsChild>
            </w:div>
            <w:div w:id="2104764743">
              <w:marLeft w:val="0"/>
              <w:marRight w:val="0"/>
              <w:marTop w:val="0"/>
              <w:marBottom w:val="0"/>
              <w:divBdr>
                <w:top w:val="none" w:sz="0" w:space="0" w:color="auto"/>
                <w:left w:val="none" w:sz="0" w:space="0" w:color="auto"/>
                <w:bottom w:val="none" w:sz="0" w:space="0" w:color="auto"/>
                <w:right w:val="none" w:sz="0" w:space="0" w:color="auto"/>
              </w:divBdr>
              <w:divsChild>
                <w:div w:id="2104764326">
                  <w:marLeft w:val="0"/>
                  <w:marRight w:val="0"/>
                  <w:marTop w:val="0"/>
                  <w:marBottom w:val="0"/>
                  <w:divBdr>
                    <w:top w:val="none" w:sz="0" w:space="0" w:color="auto"/>
                    <w:left w:val="none" w:sz="0" w:space="0" w:color="auto"/>
                    <w:bottom w:val="none" w:sz="0" w:space="0" w:color="auto"/>
                    <w:right w:val="none" w:sz="0" w:space="0" w:color="auto"/>
                  </w:divBdr>
                </w:div>
                <w:div w:id="21047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4409">
          <w:marLeft w:val="0"/>
          <w:marRight w:val="0"/>
          <w:marTop w:val="0"/>
          <w:marBottom w:val="0"/>
          <w:divBdr>
            <w:top w:val="none" w:sz="0" w:space="0" w:color="auto"/>
            <w:left w:val="none" w:sz="0" w:space="0" w:color="auto"/>
            <w:bottom w:val="none" w:sz="0" w:space="0" w:color="auto"/>
            <w:right w:val="none" w:sz="0" w:space="0" w:color="auto"/>
          </w:divBdr>
          <w:divsChild>
            <w:div w:id="2104764357">
              <w:marLeft w:val="0"/>
              <w:marRight w:val="0"/>
              <w:marTop w:val="0"/>
              <w:marBottom w:val="0"/>
              <w:divBdr>
                <w:top w:val="none" w:sz="0" w:space="0" w:color="auto"/>
                <w:left w:val="none" w:sz="0" w:space="0" w:color="auto"/>
                <w:bottom w:val="none" w:sz="0" w:space="0" w:color="auto"/>
                <w:right w:val="none" w:sz="0" w:space="0" w:color="auto"/>
              </w:divBdr>
              <w:divsChild>
                <w:div w:id="2104764366">
                  <w:marLeft w:val="0"/>
                  <w:marRight w:val="0"/>
                  <w:marTop w:val="0"/>
                  <w:marBottom w:val="0"/>
                  <w:divBdr>
                    <w:top w:val="none" w:sz="0" w:space="0" w:color="auto"/>
                    <w:left w:val="none" w:sz="0" w:space="0" w:color="auto"/>
                    <w:bottom w:val="none" w:sz="0" w:space="0" w:color="auto"/>
                    <w:right w:val="none" w:sz="0" w:space="0" w:color="auto"/>
                  </w:divBdr>
                </w:div>
                <w:div w:id="2104764717">
                  <w:marLeft w:val="0"/>
                  <w:marRight w:val="0"/>
                  <w:marTop w:val="0"/>
                  <w:marBottom w:val="0"/>
                  <w:divBdr>
                    <w:top w:val="none" w:sz="0" w:space="0" w:color="auto"/>
                    <w:left w:val="none" w:sz="0" w:space="0" w:color="auto"/>
                    <w:bottom w:val="none" w:sz="0" w:space="0" w:color="auto"/>
                    <w:right w:val="none" w:sz="0" w:space="0" w:color="auto"/>
                  </w:divBdr>
                </w:div>
              </w:divsChild>
            </w:div>
            <w:div w:id="2104764410">
              <w:marLeft w:val="0"/>
              <w:marRight w:val="0"/>
              <w:marTop w:val="0"/>
              <w:marBottom w:val="0"/>
              <w:divBdr>
                <w:top w:val="none" w:sz="0" w:space="0" w:color="auto"/>
                <w:left w:val="none" w:sz="0" w:space="0" w:color="auto"/>
                <w:bottom w:val="none" w:sz="0" w:space="0" w:color="auto"/>
                <w:right w:val="none" w:sz="0" w:space="0" w:color="auto"/>
              </w:divBdr>
              <w:divsChild>
                <w:div w:id="2104764298">
                  <w:marLeft w:val="0"/>
                  <w:marRight w:val="0"/>
                  <w:marTop w:val="0"/>
                  <w:marBottom w:val="0"/>
                  <w:divBdr>
                    <w:top w:val="none" w:sz="0" w:space="0" w:color="auto"/>
                    <w:left w:val="none" w:sz="0" w:space="0" w:color="auto"/>
                    <w:bottom w:val="none" w:sz="0" w:space="0" w:color="auto"/>
                    <w:right w:val="none" w:sz="0" w:space="0" w:color="auto"/>
                  </w:divBdr>
                </w:div>
                <w:div w:id="2104764733">
                  <w:marLeft w:val="0"/>
                  <w:marRight w:val="0"/>
                  <w:marTop w:val="0"/>
                  <w:marBottom w:val="0"/>
                  <w:divBdr>
                    <w:top w:val="none" w:sz="0" w:space="0" w:color="auto"/>
                    <w:left w:val="none" w:sz="0" w:space="0" w:color="auto"/>
                    <w:bottom w:val="none" w:sz="0" w:space="0" w:color="auto"/>
                    <w:right w:val="none" w:sz="0" w:space="0" w:color="auto"/>
                  </w:divBdr>
                </w:div>
              </w:divsChild>
            </w:div>
            <w:div w:id="2104764413">
              <w:marLeft w:val="0"/>
              <w:marRight w:val="0"/>
              <w:marTop w:val="0"/>
              <w:marBottom w:val="0"/>
              <w:divBdr>
                <w:top w:val="none" w:sz="0" w:space="0" w:color="auto"/>
                <w:left w:val="none" w:sz="0" w:space="0" w:color="auto"/>
                <w:bottom w:val="none" w:sz="0" w:space="0" w:color="auto"/>
                <w:right w:val="none" w:sz="0" w:space="0" w:color="auto"/>
              </w:divBdr>
              <w:divsChild>
                <w:div w:id="2104764480">
                  <w:marLeft w:val="0"/>
                  <w:marRight w:val="0"/>
                  <w:marTop w:val="0"/>
                  <w:marBottom w:val="0"/>
                  <w:divBdr>
                    <w:top w:val="none" w:sz="0" w:space="0" w:color="auto"/>
                    <w:left w:val="none" w:sz="0" w:space="0" w:color="auto"/>
                    <w:bottom w:val="none" w:sz="0" w:space="0" w:color="auto"/>
                    <w:right w:val="none" w:sz="0" w:space="0" w:color="auto"/>
                  </w:divBdr>
                </w:div>
                <w:div w:id="2104764641">
                  <w:marLeft w:val="0"/>
                  <w:marRight w:val="0"/>
                  <w:marTop w:val="0"/>
                  <w:marBottom w:val="0"/>
                  <w:divBdr>
                    <w:top w:val="none" w:sz="0" w:space="0" w:color="auto"/>
                    <w:left w:val="none" w:sz="0" w:space="0" w:color="auto"/>
                    <w:bottom w:val="none" w:sz="0" w:space="0" w:color="auto"/>
                    <w:right w:val="none" w:sz="0" w:space="0" w:color="auto"/>
                  </w:divBdr>
                </w:div>
              </w:divsChild>
            </w:div>
            <w:div w:id="2104764429">
              <w:marLeft w:val="0"/>
              <w:marRight w:val="0"/>
              <w:marTop w:val="0"/>
              <w:marBottom w:val="0"/>
              <w:divBdr>
                <w:top w:val="none" w:sz="0" w:space="0" w:color="auto"/>
                <w:left w:val="none" w:sz="0" w:space="0" w:color="auto"/>
                <w:bottom w:val="none" w:sz="0" w:space="0" w:color="auto"/>
                <w:right w:val="none" w:sz="0" w:space="0" w:color="auto"/>
              </w:divBdr>
            </w:div>
            <w:div w:id="2104764512">
              <w:marLeft w:val="0"/>
              <w:marRight w:val="0"/>
              <w:marTop w:val="0"/>
              <w:marBottom w:val="0"/>
              <w:divBdr>
                <w:top w:val="none" w:sz="0" w:space="0" w:color="auto"/>
                <w:left w:val="none" w:sz="0" w:space="0" w:color="auto"/>
                <w:bottom w:val="none" w:sz="0" w:space="0" w:color="auto"/>
                <w:right w:val="none" w:sz="0" w:space="0" w:color="auto"/>
              </w:divBdr>
            </w:div>
            <w:div w:id="2104764518">
              <w:marLeft w:val="0"/>
              <w:marRight w:val="0"/>
              <w:marTop w:val="0"/>
              <w:marBottom w:val="0"/>
              <w:divBdr>
                <w:top w:val="none" w:sz="0" w:space="0" w:color="auto"/>
                <w:left w:val="none" w:sz="0" w:space="0" w:color="auto"/>
                <w:bottom w:val="none" w:sz="0" w:space="0" w:color="auto"/>
                <w:right w:val="none" w:sz="0" w:space="0" w:color="auto"/>
              </w:divBdr>
              <w:divsChild>
                <w:div w:id="2104764484">
                  <w:marLeft w:val="0"/>
                  <w:marRight w:val="0"/>
                  <w:marTop w:val="0"/>
                  <w:marBottom w:val="0"/>
                  <w:divBdr>
                    <w:top w:val="none" w:sz="0" w:space="0" w:color="auto"/>
                    <w:left w:val="none" w:sz="0" w:space="0" w:color="auto"/>
                    <w:bottom w:val="none" w:sz="0" w:space="0" w:color="auto"/>
                    <w:right w:val="none" w:sz="0" w:space="0" w:color="auto"/>
                  </w:divBdr>
                </w:div>
                <w:div w:id="2104764606">
                  <w:marLeft w:val="0"/>
                  <w:marRight w:val="0"/>
                  <w:marTop w:val="0"/>
                  <w:marBottom w:val="0"/>
                  <w:divBdr>
                    <w:top w:val="none" w:sz="0" w:space="0" w:color="auto"/>
                    <w:left w:val="none" w:sz="0" w:space="0" w:color="auto"/>
                    <w:bottom w:val="none" w:sz="0" w:space="0" w:color="auto"/>
                    <w:right w:val="none" w:sz="0" w:space="0" w:color="auto"/>
                  </w:divBdr>
                </w:div>
              </w:divsChild>
            </w:div>
            <w:div w:id="2104764560">
              <w:marLeft w:val="0"/>
              <w:marRight w:val="0"/>
              <w:marTop w:val="0"/>
              <w:marBottom w:val="0"/>
              <w:divBdr>
                <w:top w:val="none" w:sz="0" w:space="0" w:color="auto"/>
                <w:left w:val="none" w:sz="0" w:space="0" w:color="auto"/>
                <w:bottom w:val="none" w:sz="0" w:space="0" w:color="auto"/>
                <w:right w:val="none" w:sz="0" w:space="0" w:color="auto"/>
              </w:divBdr>
              <w:divsChild>
                <w:div w:id="2104764629">
                  <w:marLeft w:val="0"/>
                  <w:marRight w:val="0"/>
                  <w:marTop w:val="0"/>
                  <w:marBottom w:val="0"/>
                  <w:divBdr>
                    <w:top w:val="none" w:sz="0" w:space="0" w:color="auto"/>
                    <w:left w:val="none" w:sz="0" w:space="0" w:color="auto"/>
                    <w:bottom w:val="none" w:sz="0" w:space="0" w:color="auto"/>
                    <w:right w:val="none" w:sz="0" w:space="0" w:color="auto"/>
                  </w:divBdr>
                </w:div>
                <w:div w:id="2104764700">
                  <w:marLeft w:val="0"/>
                  <w:marRight w:val="0"/>
                  <w:marTop w:val="0"/>
                  <w:marBottom w:val="0"/>
                  <w:divBdr>
                    <w:top w:val="none" w:sz="0" w:space="0" w:color="auto"/>
                    <w:left w:val="none" w:sz="0" w:space="0" w:color="auto"/>
                    <w:bottom w:val="none" w:sz="0" w:space="0" w:color="auto"/>
                    <w:right w:val="none" w:sz="0" w:space="0" w:color="auto"/>
                  </w:divBdr>
                </w:div>
              </w:divsChild>
            </w:div>
            <w:div w:id="2104764669">
              <w:marLeft w:val="0"/>
              <w:marRight w:val="0"/>
              <w:marTop w:val="0"/>
              <w:marBottom w:val="0"/>
              <w:divBdr>
                <w:top w:val="none" w:sz="0" w:space="0" w:color="auto"/>
                <w:left w:val="none" w:sz="0" w:space="0" w:color="auto"/>
                <w:bottom w:val="none" w:sz="0" w:space="0" w:color="auto"/>
                <w:right w:val="none" w:sz="0" w:space="0" w:color="auto"/>
              </w:divBdr>
            </w:div>
            <w:div w:id="2104764683">
              <w:marLeft w:val="0"/>
              <w:marRight w:val="0"/>
              <w:marTop w:val="0"/>
              <w:marBottom w:val="0"/>
              <w:divBdr>
                <w:top w:val="none" w:sz="0" w:space="0" w:color="auto"/>
                <w:left w:val="none" w:sz="0" w:space="0" w:color="auto"/>
                <w:bottom w:val="none" w:sz="0" w:space="0" w:color="auto"/>
                <w:right w:val="none" w:sz="0" w:space="0" w:color="auto"/>
              </w:divBdr>
              <w:divsChild>
                <w:div w:id="2104764420">
                  <w:marLeft w:val="0"/>
                  <w:marRight w:val="0"/>
                  <w:marTop w:val="0"/>
                  <w:marBottom w:val="0"/>
                  <w:divBdr>
                    <w:top w:val="none" w:sz="0" w:space="0" w:color="auto"/>
                    <w:left w:val="none" w:sz="0" w:space="0" w:color="auto"/>
                    <w:bottom w:val="none" w:sz="0" w:space="0" w:color="auto"/>
                    <w:right w:val="none" w:sz="0" w:space="0" w:color="auto"/>
                  </w:divBdr>
                </w:div>
                <w:div w:id="2104764443">
                  <w:marLeft w:val="0"/>
                  <w:marRight w:val="0"/>
                  <w:marTop w:val="0"/>
                  <w:marBottom w:val="0"/>
                  <w:divBdr>
                    <w:top w:val="none" w:sz="0" w:space="0" w:color="auto"/>
                    <w:left w:val="none" w:sz="0" w:space="0" w:color="auto"/>
                    <w:bottom w:val="none" w:sz="0" w:space="0" w:color="auto"/>
                    <w:right w:val="none" w:sz="0" w:space="0" w:color="auto"/>
                  </w:divBdr>
                </w:div>
              </w:divsChild>
            </w:div>
            <w:div w:id="2104764723">
              <w:marLeft w:val="0"/>
              <w:marRight w:val="0"/>
              <w:marTop w:val="0"/>
              <w:marBottom w:val="0"/>
              <w:divBdr>
                <w:top w:val="none" w:sz="0" w:space="0" w:color="auto"/>
                <w:left w:val="none" w:sz="0" w:space="0" w:color="auto"/>
                <w:bottom w:val="none" w:sz="0" w:space="0" w:color="auto"/>
                <w:right w:val="none" w:sz="0" w:space="0" w:color="auto"/>
              </w:divBdr>
              <w:divsChild>
                <w:div w:id="2104764401">
                  <w:marLeft w:val="0"/>
                  <w:marRight w:val="0"/>
                  <w:marTop w:val="0"/>
                  <w:marBottom w:val="0"/>
                  <w:divBdr>
                    <w:top w:val="none" w:sz="0" w:space="0" w:color="auto"/>
                    <w:left w:val="none" w:sz="0" w:space="0" w:color="auto"/>
                    <w:bottom w:val="none" w:sz="0" w:space="0" w:color="auto"/>
                    <w:right w:val="none" w:sz="0" w:space="0" w:color="auto"/>
                  </w:divBdr>
                </w:div>
                <w:div w:id="2104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4659">
          <w:marLeft w:val="0"/>
          <w:marRight w:val="0"/>
          <w:marTop w:val="0"/>
          <w:marBottom w:val="0"/>
          <w:divBdr>
            <w:top w:val="none" w:sz="0" w:space="0" w:color="auto"/>
            <w:left w:val="none" w:sz="0" w:space="0" w:color="auto"/>
            <w:bottom w:val="none" w:sz="0" w:space="0" w:color="auto"/>
            <w:right w:val="none" w:sz="0" w:space="0" w:color="auto"/>
          </w:divBdr>
          <w:divsChild>
            <w:div w:id="2104764296">
              <w:marLeft w:val="0"/>
              <w:marRight w:val="0"/>
              <w:marTop w:val="0"/>
              <w:marBottom w:val="0"/>
              <w:divBdr>
                <w:top w:val="none" w:sz="0" w:space="0" w:color="auto"/>
                <w:left w:val="none" w:sz="0" w:space="0" w:color="auto"/>
                <w:bottom w:val="none" w:sz="0" w:space="0" w:color="auto"/>
                <w:right w:val="none" w:sz="0" w:space="0" w:color="auto"/>
              </w:divBdr>
              <w:divsChild>
                <w:div w:id="2104764533">
                  <w:marLeft w:val="0"/>
                  <w:marRight w:val="0"/>
                  <w:marTop w:val="0"/>
                  <w:marBottom w:val="0"/>
                  <w:divBdr>
                    <w:top w:val="none" w:sz="0" w:space="0" w:color="auto"/>
                    <w:left w:val="none" w:sz="0" w:space="0" w:color="auto"/>
                    <w:bottom w:val="none" w:sz="0" w:space="0" w:color="auto"/>
                    <w:right w:val="none" w:sz="0" w:space="0" w:color="auto"/>
                  </w:divBdr>
                </w:div>
                <w:div w:id="2104764577">
                  <w:marLeft w:val="0"/>
                  <w:marRight w:val="0"/>
                  <w:marTop w:val="0"/>
                  <w:marBottom w:val="0"/>
                  <w:divBdr>
                    <w:top w:val="none" w:sz="0" w:space="0" w:color="auto"/>
                    <w:left w:val="none" w:sz="0" w:space="0" w:color="auto"/>
                    <w:bottom w:val="none" w:sz="0" w:space="0" w:color="auto"/>
                    <w:right w:val="none" w:sz="0" w:space="0" w:color="auto"/>
                  </w:divBdr>
                </w:div>
              </w:divsChild>
            </w:div>
            <w:div w:id="2104764321">
              <w:marLeft w:val="0"/>
              <w:marRight w:val="0"/>
              <w:marTop w:val="0"/>
              <w:marBottom w:val="0"/>
              <w:divBdr>
                <w:top w:val="none" w:sz="0" w:space="0" w:color="auto"/>
                <w:left w:val="none" w:sz="0" w:space="0" w:color="auto"/>
                <w:bottom w:val="none" w:sz="0" w:space="0" w:color="auto"/>
                <w:right w:val="none" w:sz="0" w:space="0" w:color="auto"/>
              </w:divBdr>
              <w:divsChild>
                <w:div w:id="2104764404">
                  <w:marLeft w:val="0"/>
                  <w:marRight w:val="0"/>
                  <w:marTop w:val="0"/>
                  <w:marBottom w:val="0"/>
                  <w:divBdr>
                    <w:top w:val="none" w:sz="0" w:space="0" w:color="auto"/>
                    <w:left w:val="none" w:sz="0" w:space="0" w:color="auto"/>
                    <w:bottom w:val="none" w:sz="0" w:space="0" w:color="auto"/>
                    <w:right w:val="none" w:sz="0" w:space="0" w:color="auto"/>
                  </w:divBdr>
                </w:div>
                <w:div w:id="2104764596">
                  <w:marLeft w:val="0"/>
                  <w:marRight w:val="0"/>
                  <w:marTop w:val="0"/>
                  <w:marBottom w:val="0"/>
                  <w:divBdr>
                    <w:top w:val="none" w:sz="0" w:space="0" w:color="auto"/>
                    <w:left w:val="none" w:sz="0" w:space="0" w:color="auto"/>
                    <w:bottom w:val="none" w:sz="0" w:space="0" w:color="auto"/>
                    <w:right w:val="none" w:sz="0" w:space="0" w:color="auto"/>
                  </w:divBdr>
                </w:div>
              </w:divsChild>
            </w:div>
            <w:div w:id="2104764329">
              <w:marLeft w:val="0"/>
              <w:marRight w:val="0"/>
              <w:marTop w:val="0"/>
              <w:marBottom w:val="0"/>
              <w:divBdr>
                <w:top w:val="none" w:sz="0" w:space="0" w:color="auto"/>
                <w:left w:val="none" w:sz="0" w:space="0" w:color="auto"/>
                <w:bottom w:val="none" w:sz="0" w:space="0" w:color="auto"/>
                <w:right w:val="none" w:sz="0" w:space="0" w:color="auto"/>
              </w:divBdr>
              <w:divsChild>
                <w:div w:id="2104764622">
                  <w:marLeft w:val="0"/>
                  <w:marRight w:val="0"/>
                  <w:marTop w:val="0"/>
                  <w:marBottom w:val="0"/>
                  <w:divBdr>
                    <w:top w:val="none" w:sz="0" w:space="0" w:color="auto"/>
                    <w:left w:val="none" w:sz="0" w:space="0" w:color="auto"/>
                    <w:bottom w:val="none" w:sz="0" w:space="0" w:color="auto"/>
                    <w:right w:val="none" w:sz="0" w:space="0" w:color="auto"/>
                  </w:divBdr>
                </w:div>
                <w:div w:id="2104764732">
                  <w:marLeft w:val="0"/>
                  <w:marRight w:val="0"/>
                  <w:marTop w:val="0"/>
                  <w:marBottom w:val="0"/>
                  <w:divBdr>
                    <w:top w:val="none" w:sz="0" w:space="0" w:color="auto"/>
                    <w:left w:val="none" w:sz="0" w:space="0" w:color="auto"/>
                    <w:bottom w:val="none" w:sz="0" w:space="0" w:color="auto"/>
                    <w:right w:val="none" w:sz="0" w:space="0" w:color="auto"/>
                  </w:divBdr>
                </w:div>
              </w:divsChild>
            </w:div>
            <w:div w:id="2104764337">
              <w:marLeft w:val="0"/>
              <w:marRight w:val="0"/>
              <w:marTop w:val="0"/>
              <w:marBottom w:val="0"/>
              <w:divBdr>
                <w:top w:val="none" w:sz="0" w:space="0" w:color="auto"/>
                <w:left w:val="none" w:sz="0" w:space="0" w:color="auto"/>
                <w:bottom w:val="none" w:sz="0" w:space="0" w:color="auto"/>
                <w:right w:val="none" w:sz="0" w:space="0" w:color="auto"/>
              </w:divBdr>
              <w:divsChild>
                <w:div w:id="2104764381">
                  <w:marLeft w:val="0"/>
                  <w:marRight w:val="0"/>
                  <w:marTop w:val="0"/>
                  <w:marBottom w:val="0"/>
                  <w:divBdr>
                    <w:top w:val="none" w:sz="0" w:space="0" w:color="auto"/>
                    <w:left w:val="none" w:sz="0" w:space="0" w:color="auto"/>
                    <w:bottom w:val="none" w:sz="0" w:space="0" w:color="auto"/>
                    <w:right w:val="none" w:sz="0" w:space="0" w:color="auto"/>
                  </w:divBdr>
                </w:div>
                <w:div w:id="2104764461">
                  <w:marLeft w:val="0"/>
                  <w:marRight w:val="0"/>
                  <w:marTop w:val="0"/>
                  <w:marBottom w:val="0"/>
                  <w:divBdr>
                    <w:top w:val="none" w:sz="0" w:space="0" w:color="auto"/>
                    <w:left w:val="none" w:sz="0" w:space="0" w:color="auto"/>
                    <w:bottom w:val="none" w:sz="0" w:space="0" w:color="auto"/>
                    <w:right w:val="none" w:sz="0" w:space="0" w:color="auto"/>
                  </w:divBdr>
                </w:div>
              </w:divsChild>
            </w:div>
            <w:div w:id="2104764356">
              <w:marLeft w:val="0"/>
              <w:marRight w:val="0"/>
              <w:marTop w:val="0"/>
              <w:marBottom w:val="0"/>
              <w:divBdr>
                <w:top w:val="none" w:sz="0" w:space="0" w:color="auto"/>
                <w:left w:val="none" w:sz="0" w:space="0" w:color="auto"/>
                <w:bottom w:val="none" w:sz="0" w:space="0" w:color="auto"/>
                <w:right w:val="none" w:sz="0" w:space="0" w:color="auto"/>
              </w:divBdr>
              <w:divsChild>
                <w:div w:id="2104764301">
                  <w:marLeft w:val="0"/>
                  <w:marRight w:val="0"/>
                  <w:marTop w:val="0"/>
                  <w:marBottom w:val="0"/>
                  <w:divBdr>
                    <w:top w:val="none" w:sz="0" w:space="0" w:color="auto"/>
                    <w:left w:val="none" w:sz="0" w:space="0" w:color="auto"/>
                    <w:bottom w:val="none" w:sz="0" w:space="0" w:color="auto"/>
                    <w:right w:val="none" w:sz="0" w:space="0" w:color="auto"/>
                  </w:divBdr>
                </w:div>
                <w:div w:id="2104764483">
                  <w:marLeft w:val="0"/>
                  <w:marRight w:val="0"/>
                  <w:marTop w:val="0"/>
                  <w:marBottom w:val="0"/>
                  <w:divBdr>
                    <w:top w:val="none" w:sz="0" w:space="0" w:color="auto"/>
                    <w:left w:val="none" w:sz="0" w:space="0" w:color="auto"/>
                    <w:bottom w:val="none" w:sz="0" w:space="0" w:color="auto"/>
                    <w:right w:val="none" w:sz="0" w:space="0" w:color="auto"/>
                  </w:divBdr>
                </w:div>
              </w:divsChild>
            </w:div>
            <w:div w:id="2104764370">
              <w:marLeft w:val="0"/>
              <w:marRight w:val="0"/>
              <w:marTop w:val="0"/>
              <w:marBottom w:val="0"/>
              <w:divBdr>
                <w:top w:val="none" w:sz="0" w:space="0" w:color="auto"/>
                <w:left w:val="none" w:sz="0" w:space="0" w:color="auto"/>
                <w:bottom w:val="none" w:sz="0" w:space="0" w:color="auto"/>
                <w:right w:val="none" w:sz="0" w:space="0" w:color="auto"/>
              </w:divBdr>
              <w:divsChild>
                <w:div w:id="2104764607">
                  <w:marLeft w:val="0"/>
                  <w:marRight w:val="0"/>
                  <w:marTop w:val="0"/>
                  <w:marBottom w:val="0"/>
                  <w:divBdr>
                    <w:top w:val="none" w:sz="0" w:space="0" w:color="auto"/>
                    <w:left w:val="none" w:sz="0" w:space="0" w:color="auto"/>
                    <w:bottom w:val="none" w:sz="0" w:space="0" w:color="auto"/>
                    <w:right w:val="none" w:sz="0" w:space="0" w:color="auto"/>
                  </w:divBdr>
                </w:div>
                <w:div w:id="2104764691">
                  <w:marLeft w:val="0"/>
                  <w:marRight w:val="0"/>
                  <w:marTop w:val="0"/>
                  <w:marBottom w:val="0"/>
                  <w:divBdr>
                    <w:top w:val="none" w:sz="0" w:space="0" w:color="auto"/>
                    <w:left w:val="none" w:sz="0" w:space="0" w:color="auto"/>
                    <w:bottom w:val="none" w:sz="0" w:space="0" w:color="auto"/>
                    <w:right w:val="none" w:sz="0" w:space="0" w:color="auto"/>
                  </w:divBdr>
                </w:div>
              </w:divsChild>
            </w:div>
            <w:div w:id="2104764489">
              <w:marLeft w:val="0"/>
              <w:marRight w:val="0"/>
              <w:marTop w:val="0"/>
              <w:marBottom w:val="0"/>
              <w:divBdr>
                <w:top w:val="none" w:sz="0" w:space="0" w:color="auto"/>
                <w:left w:val="none" w:sz="0" w:space="0" w:color="auto"/>
                <w:bottom w:val="none" w:sz="0" w:space="0" w:color="auto"/>
                <w:right w:val="none" w:sz="0" w:space="0" w:color="auto"/>
              </w:divBdr>
              <w:divsChild>
                <w:div w:id="2104764335">
                  <w:marLeft w:val="0"/>
                  <w:marRight w:val="0"/>
                  <w:marTop w:val="0"/>
                  <w:marBottom w:val="0"/>
                  <w:divBdr>
                    <w:top w:val="none" w:sz="0" w:space="0" w:color="auto"/>
                    <w:left w:val="none" w:sz="0" w:space="0" w:color="auto"/>
                    <w:bottom w:val="none" w:sz="0" w:space="0" w:color="auto"/>
                    <w:right w:val="none" w:sz="0" w:space="0" w:color="auto"/>
                  </w:divBdr>
                </w:div>
                <w:div w:id="2104764473">
                  <w:marLeft w:val="0"/>
                  <w:marRight w:val="0"/>
                  <w:marTop w:val="0"/>
                  <w:marBottom w:val="0"/>
                  <w:divBdr>
                    <w:top w:val="none" w:sz="0" w:space="0" w:color="auto"/>
                    <w:left w:val="none" w:sz="0" w:space="0" w:color="auto"/>
                    <w:bottom w:val="none" w:sz="0" w:space="0" w:color="auto"/>
                    <w:right w:val="none" w:sz="0" w:space="0" w:color="auto"/>
                  </w:divBdr>
                </w:div>
              </w:divsChild>
            </w:div>
            <w:div w:id="2104764501">
              <w:marLeft w:val="0"/>
              <w:marRight w:val="0"/>
              <w:marTop w:val="0"/>
              <w:marBottom w:val="0"/>
              <w:divBdr>
                <w:top w:val="none" w:sz="0" w:space="0" w:color="auto"/>
                <w:left w:val="none" w:sz="0" w:space="0" w:color="auto"/>
                <w:bottom w:val="none" w:sz="0" w:space="0" w:color="auto"/>
                <w:right w:val="none" w:sz="0" w:space="0" w:color="auto"/>
              </w:divBdr>
              <w:divsChild>
                <w:div w:id="2104764318">
                  <w:marLeft w:val="0"/>
                  <w:marRight w:val="0"/>
                  <w:marTop w:val="0"/>
                  <w:marBottom w:val="0"/>
                  <w:divBdr>
                    <w:top w:val="none" w:sz="0" w:space="0" w:color="auto"/>
                    <w:left w:val="none" w:sz="0" w:space="0" w:color="auto"/>
                    <w:bottom w:val="none" w:sz="0" w:space="0" w:color="auto"/>
                    <w:right w:val="none" w:sz="0" w:space="0" w:color="auto"/>
                  </w:divBdr>
                </w:div>
                <w:div w:id="2104764390">
                  <w:marLeft w:val="0"/>
                  <w:marRight w:val="0"/>
                  <w:marTop w:val="0"/>
                  <w:marBottom w:val="0"/>
                  <w:divBdr>
                    <w:top w:val="none" w:sz="0" w:space="0" w:color="auto"/>
                    <w:left w:val="none" w:sz="0" w:space="0" w:color="auto"/>
                    <w:bottom w:val="none" w:sz="0" w:space="0" w:color="auto"/>
                    <w:right w:val="none" w:sz="0" w:space="0" w:color="auto"/>
                  </w:divBdr>
                </w:div>
              </w:divsChild>
            </w:div>
            <w:div w:id="2104764548">
              <w:marLeft w:val="0"/>
              <w:marRight w:val="0"/>
              <w:marTop w:val="0"/>
              <w:marBottom w:val="0"/>
              <w:divBdr>
                <w:top w:val="none" w:sz="0" w:space="0" w:color="auto"/>
                <w:left w:val="none" w:sz="0" w:space="0" w:color="auto"/>
                <w:bottom w:val="none" w:sz="0" w:space="0" w:color="auto"/>
                <w:right w:val="none" w:sz="0" w:space="0" w:color="auto"/>
              </w:divBdr>
              <w:divsChild>
                <w:div w:id="2104764407">
                  <w:marLeft w:val="0"/>
                  <w:marRight w:val="0"/>
                  <w:marTop w:val="0"/>
                  <w:marBottom w:val="0"/>
                  <w:divBdr>
                    <w:top w:val="none" w:sz="0" w:space="0" w:color="auto"/>
                    <w:left w:val="none" w:sz="0" w:space="0" w:color="auto"/>
                    <w:bottom w:val="none" w:sz="0" w:space="0" w:color="auto"/>
                    <w:right w:val="none" w:sz="0" w:space="0" w:color="auto"/>
                  </w:divBdr>
                </w:div>
                <w:div w:id="2104764537">
                  <w:marLeft w:val="0"/>
                  <w:marRight w:val="0"/>
                  <w:marTop w:val="0"/>
                  <w:marBottom w:val="0"/>
                  <w:divBdr>
                    <w:top w:val="none" w:sz="0" w:space="0" w:color="auto"/>
                    <w:left w:val="none" w:sz="0" w:space="0" w:color="auto"/>
                    <w:bottom w:val="none" w:sz="0" w:space="0" w:color="auto"/>
                    <w:right w:val="none" w:sz="0" w:space="0" w:color="auto"/>
                  </w:divBdr>
                </w:div>
              </w:divsChild>
            </w:div>
            <w:div w:id="2104764559">
              <w:marLeft w:val="0"/>
              <w:marRight w:val="0"/>
              <w:marTop w:val="0"/>
              <w:marBottom w:val="0"/>
              <w:divBdr>
                <w:top w:val="none" w:sz="0" w:space="0" w:color="auto"/>
                <w:left w:val="none" w:sz="0" w:space="0" w:color="auto"/>
                <w:bottom w:val="none" w:sz="0" w:space="0" w:color="auto"/>
                <w:right w:val="none" w:sz="0" w:space="0" w:color="auto"/>
              </w:divBdr>
            </w:div>
            <w:div w:id="2104764594">
              <w:marLeft w:val="0"/>
              <w:marRight w:val="0"/>
              <w:marTop w:val="0"/>
              <w:marBottom w:val="0"/>
              <w:divBdr>
                <w:top w:val="none" w:sz="0" w:space="0" w:color="auto"/>
                <w:left w:val="none" w:sz="0" w:space="0" w:color="auto"/>
                <w:bottom w:val="none" w:sz="0" w:space="0" w:color="auto"/>
                <w:right w:val="none" w:sz="0" w:space="0" w:color="auto"/>
              </w:divBdr>
            </w:div>
            <w:div w:id="2104764609">
              <w:marLeft w:val="0"/>
              <w:marRight w:val="0"/>
              <w:marTop w:val="0"/>
              <w:marBottom w:val="0"/>
              <w:divBdr>
                <w:top w:val="none" w:sz="0" w:space="0" w:color="auto"/>
                <w:left w:val="none" w:sz="0" w:space="0" w:color="auto"/>
                <w:bottom w:val="none" w:sz="0" w:space="0" w:color="auto"/>
                <w:right w:val="none" w:sz="0" w:space="0" w:color="auto"/>
              </w:divBdr>
              <w:divsChild>
                <w:div w:id="2104764295">
                  <w:marLeft w:val="0"/>
                  <w:marRight w:val="0"/>
                  <w:marTop w:val="0"/>
                  <w:marBottom w:val="0"/>
                  <w:divBdr>
                    <w:top w:val="none" w:sz="0" w:space="0" w:color="auto"/>
                    <w:left w:val="none" w:sz="0" w:space="0" w:color="auto"/>
                    <w:bottom w:val="none" w:sz="0" w:space="0" w:color="auto"/>
                    <w:right w:val="none" w:sz="0" w:space="0" w:color="auto"/>
                  </w:divBdr>
                </w:div>
                <w:div w:id="2104764549">
                  <w:marLeft w:val="0"/>
                  <w:marRight w:val="0"/>
                  <w:marTop w:val="0"/>
                  <w:marBottom w:val="0"/>
                  <w:divBdr>
                    <w:top w:val="none" w:sz="0" w:space="0" w:color="auto"/>
                    <w:left w:val="none" w:sz="0" w:space="0" w:color="auto"/>
                    <w:bottom w:val="none" w:sz="0" w:space="0" w:color="auto"/>
                    <w:right w:val="none" w:sz="0" w:space="0" w:color="auto"/>
                  </w:divBdr>
                </w:div>
              </w:divsChild>
            </w:div>
            <w:div w:id="2104764611">
              <w:marLeft w:val="0"/>
              <w:marRight w:val="0"/>
              <w:marTop w:val="0"/>
              <w:marBottom w:val="0"/>
              <w:divBdr>
                <w:top w:val="none" w:sz="0" w:space="0" w:color="auto"/>
                <w:left w:val="none" w:sz="0" w:space="0" w:color="auto"/>
                <w:bottom w:val="none" w:sz="0" w:space="0" w:color="auto"/>
                <w:right w:val="none" w:sz="0" w:space="0" w:color="auto"/>
              </w:divBdr>
              <w:divsChild>
                <w:div w:id="2104764474">
                  <w:marLeft w:val="0"/>
                  <w:marRight w:val="0"/>
                  <w:marTop w:val="0"/>
                  <w:marBottom w:val="0"/>
                  <w:divBdr>
                    <w:top w:val="none" w:sz="0" w:space="0" w:color="auto"/>
                    <w:left w:val="none" w:sz="0" w:space="0" w:color="auto"/>
                    <w:bottom w:val="none" w:sz="0" w:space="0" w:color="auto"/>
                    <w:right w:val="none" w:sz="0" w:space="0" w:color="auto"/>
                  </w:divBdr>
                </w:div>
                <w:div w:id="2104764534">
                  <w:marLeft w:val="0"/>
                  <w:marRight w:val="0"/>
                  <w:marTop w:val="0"/>
                  <w:marBottom w:val="0"/>
                  <w:divBdr>
                    <w:top w:val="none" w:sz="0" w:space="0" w:color="auto"/>
                    <w:left w:val="none" w:sz="0" w:space="0" w:color="auto"/>
                    <w:bottom w:val="none" w:sz="0" w:space="0" w:color="auto"/>
                    <w:right w:val="none" w:sz="0" w:space="0" w:color="auto"/>
                  </w:divBdr>
                </w:div>
              </w:divsChild>
            </w:div>
            <w:div w:id="2104764615">
              <w:marLeft w:val="0"/>
              <w:marRight w:val="0"/>
              <w:marTop w:val="0"/>
              <w:marBottom w:val="0"/>
              <w:divBdr>
                <w:top w:val="none" w:sz="0" w:space="0" w:color="auto"/>
                <w:left w:val="none" w:sz="0" w:space="0" w:color="auto"/>
                <w:bottom w:val="none" w:sz="0" w:space="0" w:color="auto"/>
                <w:right w:val="none" w:sz="0" w:space="0" w:color="auto"/>
              </w:divBdr>
              <w:divsChild>
                <w:div w:id="2104764315">
                  <w:marLeft w:val="0"/>
                  <w:marRight w:val="0"/>
                  <w:marTop w:val="0"/>
                  <w:marBottom w:val="0"/>
                  <w:divBdr>
                    <w:top w:val="none" w:sz="0" w:space="0" w:color="auto"/>
                    <w:left w:val="none" w:sz="0" w:space="0" w:color="auto"/>
                    <w:bottom w:val="none" w:sz="0" w:space="0" w:color="auto"/>
                    <w:right w:val="none" w:sz="0" w:space="0" w:color="auto"/>
                  </w:divBdr>
                </w:div>
                <w:div w:id="2104764358">
                  <w:marLeft w:val="0"/>
                  <w:marRight w:val="0"/>
                  <w:marTop w:val="0"/>
                  <w:marBottom w:val="0"/>
                  <w:divBdr>
                    <w:top w:val="none" w:sz="0" w:space="0" w:color="auto"/>
                    <w:left w:val="none" w:sz="0" w:space="0" w:color="auto"/>
                    <w:bottom w:val="none" w:sz="0" w:space="0" w:color="auto"/>
                    <w:right w:val="none" w:sz="0" w:space="0" w:color="auto"/>
                  </w:divBdr>
                </w:div>
              </w:divsChild>
            </w:div>
            <w:div w:id="2104764630">
              <w:marLeft w:val="0"/>
              <w:marRight w:val="0"/>
              <w:marTop w:val="0"/>
              <w:marBottom w:val="0"/>
              <w:divBdr>
                <w:top w:val="none" w:sz="0" w:space="0" w:color="auto"/>
                <w:left w:val="none" w:sz="0" w:space="0" w:color="auto"/>
                <w:bottom w:val="none" w:sz="0" w:space="0" w:color="auto"/>
                <w:right w:val="none" w:sz="0" w:space="0" w:color="auto"/>
              </w:divBdr>
              <w:divsChild>
                <w:div w:id="2104764325">
                  <w:marLeft w:val="0"/>
                  <w:marRight w:val="0"/>
                  <w:marTop w:val="0"/>
                  <w:marBottom w:val="0"/>
                  <w:divBdr>
                    <w:top w:val="none" w:sz="0" w:space="0" w:color="auto"/>
                    <w:left w:val="none" w:sz="0" w:space="0" w:color="auto"/>
                    <w:bottom w:val="none" w:sz="0" w:space="0" w:color="auto"/>
                    <w:right w:val="none" w:sz="0" w:space="0" w:color="auto"/>
                  </w:divBdr>
                </w:div>
                <w:div w:id="2104764430">
                  <w:marLeft w:val="0"/>
                  <w:marRight w:val="0"/>
                  <w:marTop w:val="0"/>
                  <w:marBottom w:val="0"/>
                  <w:divBdr>
                    <w:top w:val="none" w:sz="0" w:space="0" w:color="auto"/>
                    <w:left w:val="none" w:sz="0" w:space="0" w:color="auto"/>
                    <w:bottom w:val="none" w:sz="0" w:space="0" w:color="auto"/>
                    <w:right w:val="none" w:sz="0" w:space="0" w:color="auto"/>
                  </w:divBdr>
                </w:div>
              </w:divsChild>
            </w:div>
            <w:div w:id="2104764644">
              <w:marLeft w:val="0"/>
              <w:marRight w:val="0"/>
              <w:marTop w:val="0"/>
              <w:marBottom w:val="0"/>
              <w:divBdr>
                <w:top w:val="none" w:sz="0" w:space="0" w:color="auto"/>
                <w:left w:val="none" w:sz="0" w:space="0" w:color="auto"/>
                <w:bottom w:val="none" w:sz="0" w:space="0" w:color="auto"/>
                <w:right w:val="none" w:sz="0" w:space="0" w:color="auto"/>
              </w:divBdr>
              <w:divsChild>
                <w:div w:id="2104764528">
                  <w:marLeft w:val="0"/>
                  <w:marRight w:val="0"/>
                  <w:marTop w:val="0"/>
                  <w:marBottom w:val="0"/>
                  <w:divBdr>
                    <w:top w:val="none" w:sz="0" w:space="0" w:color="auto"/>
                    <w:left w:val="none" w:sz="0" w:space="0" w:color="auto"/>
                    <w:bottom w:val="none" w:sz="0" w:space="0" w:color="auto"/>
                    <w:right w:val="none" w:sz="0" w:space="0" w:color="auto"/>
                  </w:divBdr>
                </w:div>
                <w:div w:id="2104764590">
                  <w:marLeft w:val="0"/>
                  <w:marRight w:val="0"/>
                  <w:marTop w:val="0"/>
                  <w:marBottom w:val="0"/>
                  <w:divBdr>
                    <w:top w:val="none" w:sz="0" w:space="0" w:color="auto"/>
                    <w:left w:val="none" w:sz="0" w:space="0" w:color="auto"/>
                    <w:bottom w:val="none" w:sz="0" w:space="0" w:color="auto"/>
                    <w:right w:val="none" w:sz="0" w:space="0" w:color="auto"/>
                  </w:divBdr>
                </w:div>
              </w:divsChild>
            </w:div>
            <w:div w:id="2104764650">
              <w:marLeft w:val="0"/>
              <w:marRight w:val="0"/>
              <w:marTop w:val="0"/>
              <w:marBottom w:val="0"/>
              <w:divBdr>
                <w:top w:val="none" w:sz="0" w:space="0" w:color="auto"/>
                <w:left w:val="none" w:sz="0" w:space="0" w:color="auto"/>
                <w:bottom w:val="none" w:sz="0" w:space="0" w:color="auto"/>
                <w:right w:val="none" w:sz="0" w:space="0" w:color="auto"/>
              </w:divBdr>
              <w:divsChild>
                <w:div w:id="2104764367">
                  <w:marLeft w:val="0"/>
                  <w:marRight w:val="0"/>
                  <w:marTop w:val="0"/>
                  <w:marBottom w:val="0"/>
                  <w:divBdr>
                    <w:top w:val="none" w:sz="0" w:space="0" w:color="auto"/>
                    <w:left w:val="none" w:sz="0" w:space="0" w:color="auto"/>
                    <w:bottom w:val="none" w:sz="0" w:space="0" w:color="auto"/>
                    <w:right w:val="none" w:sz="0" w:space="0" w:color="auto"/>
                  </w:divBdr>
                </w:div>
                <w:div w:id="2104764368">
                  <w:marLeft w:val="0"/>
                  <w:marRight w:val="0"/>
                  <w:marTop w:val="0"/>
                  <w:marBottom w:val="0"/>
                  <w:divBdr>
                    <w:top w:val="none" w:sz="0" w:space="0" w:color="auto"/>
                    <w:left w:val="none" w:sz="0" w:space="0" w:color="auto"/>
                    <w:bottom w:val="none" w:sz="0" w:space="0" w:color="auto"/>
                    <w:right w:val="none" w:sz="0" w:space="0" w:color="auto"/>
                  </w:divBdr>
                </w:div>
              </w:divsChild>
            </w:div>
            <w:div w:id="2104764657">
              <w:marLeft w:val="0"/>
              <w:marRight w:val="0"/>
              <w:marTop w:val="0"/>
              <w:marBottom w:val="0"/>
              <w:divBdr>
                <w:top w:val="none" w:sz="0" w:space="0" w:color="auto"/>
                <w:left w:val="none" w:sz="0" w:space="0" w:color="auto"/>
                <w:bottom w:val="none" w:sz="0" w:space="0" w:color="auto"/>
                <w:right w:val="none" w:sz="0" w:space="0" w:color="auto"/>
              </w:divBdr>
              <w:divsChild>
                <w:div w:id="2104764382">
                  <w:marLeft w:val="0"/>
                  <w:marRight w:val="0"/>
                  <w:marTop w:val="0"/>
                  <w:marBottom w:val="0"/>
                  <w:divBdr>
                    <w:top w:val="none" w:sz="0" w:space="0" w:color="auto"/>
                    <w:left w:val="none" w:sz="0" w:space="0" w:color="auto"/>
                    <w:bottom w:val="none" w:sz="0" w:space="0" w:color="auto"/>
                    <w:right w:val="none" w:sz="0" w:space="0" w:color="auto"/>
                  </w:divBdr>
                </w:div>
                <w:div w:id="2104764649">
                  <w:marLeft w:val="0"/>
                  <w:marRight w:val="0"/>
                  <w:marTop w:val="0"/>
                  <w:marBottom w:val="0"/>
                  <w:divBdr>
                    <w:top w:val="none" w:sz="0" w:space="0" w:color="auto"/>
                    <w:left w:val="none" w:sz="0" w:space="0" w:color="auto"/>
                    <w:bottom w:val="none" w:sz="0" w:space="0" w:color="auto"/>
                    <w:right w:val="none" w:sz="0" w:space="0" w:color="auto"/>
                  </w:divBdr>
                </w:div>
              </w:divsChild>
            </w:div>
            <w:div w:id="2104764673">
              <w:marLeft w:val="0"/>
              <w:marRight w:val="0"/>
              <w:marTop w:val="0"/>
              <w:marBottom w:val="0"/>
              <w:divBdr>
                <w:top w:val="none" w:sz="0" w:space="0" w:color="auto"/>
                <w:left w:val="none" w:sz="0" w:space="0" w:color="auto"/>
                <w:bottom w:val="none" w:sz="0" w:space="0" w:color="auto"/>
                <w:right w:val="none" w:sz="0" w:space="0" w:color="auto"/>
              </w:divBdr>
              <w:divsChild>
                <w:div w:id="2104764416">
                  <w:marLeft w:val="0"/>
                  <w:marRight w:val="0"/>
                  <w:marTop w:val="0"/>
                  <w:marBottom w:val="0"/>
                  <w:divBdr>
                    <w:top w:val="none" w:sz="0" w:space="0" w:color="auto"/>
                    <w:left w:val="none" w:sz="0" w:space="0" w:color="auto"/>
                    <w:bottom w:val="none" w:sz="0" w:space="0" w:color="auto"/>
                    <w:right w:val="none" w:sz="0" w:space="0" w:color="auto"/>
                  </w:divBdr>
                </w:div>
                <w:div w:id="2104764505">
                  <w:marLeft w:val="0"/>
                  <w:marRight w:val="0"/>
                  <w:marTop w:val="0"/>
                  <w:marBottom w:val="0"/>
                  <w:divBdr>
                    <w:top w:val="none" w:sz="0" w:space="0" w:color="auto"/>
                    <w:left w:val="none" w:sz="0" w:space="0" w:color="auto"/>
                    <w:bottom w:val="none" w:sz="0" w:space="0" w:color="auto"/>
                    <w:right w:val="none" w:sz="0" w:space="0" w:color="auto"/>
                  </w:divBdr>
                </w:div>
              </w:divsChild>
            </w:div>
            <w:div w:id="2104764684">
              <w:marLeft w:val="0"/>
              <w:marRight w:val="0"/>
              <w:marTop w:val="0"/>
              <w:marBottom w:val="0"/>
              <w:divBdr>
                <w:top w:val="none" w:sz="0" w:space="0" w:color="auto"/>
                <w:left w:val="none" w:sz="0" w:space="0" w:color="auto"/>
                <w:bottom w:val="none" w:sz="0" w:space="0" w:color="auto"/>
                <w:right w:val="none" w:sz="0" w:space="0" w:color="auto"/>
              </w:divBdr>
              <w:divsChild>
                <w:div w:id="2104764471">
                  <w:marLeft w:val="0"/>
                  <w:marRight w:val="0"/>
                  <w:marTop w:val="0"/>
                  <w:marBottom w:val="0"/>
                  <w:divBdr>
                    <w:top w:val="none" w:sz="0" w:space="0" w:color="auto"/>
                    <w:left w:val="none" w:sz="0" w:space="0" w:color="auto"/>
                    <w:bottom w:val="none" w:sz="0" w:space="0" w:color="auto"/>
                    <w:right w:val="none" w:sz="0" w:space="0" w:color="auto"/>
                  </w:divBdr>
                </w:div>
                <w:div w:id="2104764556">
                  <w:marLeft w:val="0"/>
                  <w:marRight w:val="0"/>
                  <w:marTop w:val="0"/>
                  <w:marBottom w:val="0"/>
                  <w:divBdr>
                    <w:top w:val="none" w:sz="0" w:space="0" w:color="auto"/>
                    <w:left w:val="none" w:sz="0" w:space="0" w:color="auto"/>
                    <w:bottom w:val="none" w:sz="0" w:space="0" w:color="auto"/>
                    <w:right w:val="none" w:sz="0" w:space="0" w:color="auto"/>
                  </w:divBdr>
                </w:div>
              </w:divsChild>
            </w:div>
            <w:div w:id="2104764713">
              <w:marLeft w:val="0"/>
              <w:marRight w:val="0"/>
              <w:marTop w:val="0"/>
              <w:marBottom w:val="0"/>
              <w:divBdr>
                <w:top w:val="none" w:sz="0" w:space="0" w:color="auto"/>
                <w:left w:val="none" w:sz="0" w:space="0" w:color="auto"/>
                <w:bottom w:val="none" w:sz="0" w:space="0" w:color="auto"/>
                <w:right w:val="none" w:sz="0" w:space="0" w:color="auto"/>
              </w:divBdr>
              <w:divsChild>
                <w:div w:id="2104764348">
                  <w:marLeft w:val="0"/>
                  <w:marRight w:val="0"/>
                  <w:marTop w:val="0"/>
                  <w:marBottom w:val="0"/>
                  <w:divBdr>
                    <w:top w:val="none" w:sz="0" w:space="0" w:color="auto"/>
                    <w:left w:val="none" w:sz="0" w:space="0" w:color="auto"/>
                    <w:bottom w:val="none" w:sz="0" w:space="0" w:color="auto"/>
                    <w:right w:val="none" w:sz="0" w:space="0" w:color="auto"/>
                  </w:divBdr>
                </w:div>
                <w:div w:id="2104764676">
                  <w:marLeft w:val="0"/>
                  <w:marRight w:val="0"/>
                  <w:marTop w:val="0"/>
                  <w:marBottom w:val="0"/>
                  <w:divBdr>
                    <w:top w:val="none" w:sz="0" w:space="0" w:color="auto"/>
                    <w:left w:val="none" w:sz="0" w:space="0" w:color="auto"/>
                    <w:bottom w:val="none" w:sz="0" w:space="0" w:color="auto"/>
                    <w:right w:val="none" w:sz="0" w:space="0" w:color="auto"/>
                  </w:divBdr>
                </w:div>
              </w:divsChild>
            </w:div>
            <w:div w:id="2104764726">
              <w:marLeft w:val="0"/>
              <w:marRight w:val="0"/>
              <w:marTop w:val="0"/>
              <w:marBottom w:val="0"/>
              <w:divBdr>
                <w:top w:val="none" w:sz="0" w:space="0" w:color="auto"/>
                <w:left w:val="none" w:sz="0" w:space="0" w:color="auto"/>
                <w:bottom w:val="none" w:sz="0" w:space="0" w:color="auto"/>
                <w:right w:val="none" w:sz="0" w:space="0" w:color="auto"/>
              </w:divBdr>
            </w:div>
            <w:div w:id="2104764745">
              <w:marLeft w:val="0"/>
              <w:marRight w:val="0"/>
              <w:marTop w:val="0"/>
              <w:marBottom w:val="0"/>
              <w:divBdr>
                <w:top w:val="none" w:sz="0" w:space="0" w:color="auto"/>
                <w:left w:val="none" w:sz="0" w:space="0" w:color="auto"/>
                <w:bottom w:val="none" w:sz="0" w:space="0" w:color="auto"/>
                <w:right w:val="none" w:sz="0" w:space="0" w:color="auto"/>
              </w:divBdr>
              <w:divsChild>
                <w:div w:id="2104764510">
                  <w:marLeft w:val="0"/>
                  <w:marRight w:val="0"/>
                  <w:marTop w:val="0"/>
                  <w:marBottom w:val="0"/>
                  <w:divBdr>
                    <w:top w:val="none" w:sz="0" w:space="0" w:color="auto"/>
                    <w:left w:val="none" w:sz="0" w:space="0" w:color="auto"/>
                    <w:bottom w:val="none" w:sz="0" w:space="0" w:color="auto"/>
                    <w:right w:val="none" w:sz="0" w:space="0" w:color="auto"/>
                  </w:divBdr>
                </w:div>
                <w:div w:id="21047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64469">
      <w:marLeft w:val="390"/>
      <w:marRight w:val="390"/>
      <w:marTop w:val="0"/>
      <w:marBottom w:val="0"/>
      <w:divBdr>
        <w:top w:val="none" w:sz="0" w:space="0" w:color="auto"/>
        <w:left w:val="none" w:sz="0" w:space="0" w:color="auto"/>
        <w:bottom w:val="none" w:sz="0" w:space="0" w:color="auto"/>
        <w:right w:val="none" w:sz="0" w:space="0" w:color="auto"/>
      </w:divBdr>
    </w:div>
    <w:div w:id="2104764475">
      <w:marLeft w:val="390"/>
      <w:marRight w:val="390"/>
      <w:marTop w:val="0"/>
      <w:marBottom w:val="0"/>
      <w:divBdr>
        <w:top w:val="none" w:sz="0" w:space="0" w:color="auto"/>
        <w:left w:val="none" w:sz="0" w:space="0" w:color="auto"/>
        <w:bottom w:val="none" w:sz="0" w:space="0" w:color="auto"/>
        <w:right w:val="none" w:sz="0" w:space="0" w:color="auto"/>
      </w:divBdr>
    </w:div>
    <w:div w:id="2104764478">
      <w:marLeft w:val="390"/>
      <w:marRight w:val="390"/>
      <w:marTop w:val="0"/>
      <w:marBottom w:val="0"/>
      <w:divBdr>
        <w:top w:val="none" w:sz="0" w:space="0" w:color="auto"/>
        <w:left w:val="none" w:sz="0" w:space="0" w:color="auto"/>
        <w:bottom w:val="none" w:sz="0" w:space="0" w:color="auto"/>
        <w:right w:val="none" w:sz="0" w:space="0" w:color="auto"/>
      </w:divBdr>
    </w:div>
    <w:div w:id="2104764481">
      <w:marLeft w:val="390"/>
      <w:marRight w:val="390"/>
      <w:marTop w:val="0"/>
      <w:marBottom w:val="0"/>
      <w:divBdr>
        <w:top w:val="none" w:sz="0" w:space="0" w:color="auto"/>
        <w:left w:val="none" w:sz="0" w:space="0" w:color="auto"/>
        <w:bottom w:val="none" w:sz="0" w:space="0" w:color="auto"/>
        <w:right w:val="none" w:sz="0" w:space="0" w:color="auto"/>
      </w:divBdr>
    </w:div>
    <w:div w:id="2104764495">
      <w:marLeft w:val="0"/>
      <w:marRight w:val="0"/>
      <w:marTop w:val="0"/>
      <w:marBottom w:val="0"/>
      <w:divBdr>
        <w:top w:val="none" w:sz="0" w:space="0" w:color="auto"/>
        <w:left w:val="none" w:sz="0" w:space="0" w:color="auto"/>
        <w:bottom w:val="none" w:sz="0" w:space="0" w:color="auto"/>
        <w:right w:val="none" w:sz="0" w:space="0" w:color="auto"/>
      </w:divBdr>
      <w:divsChild>
        <w:div w:id="2104764313">
          <w:marLeft w:val="0"/>
          <w:marRight w:val="0"/>
          <w:marTop w:val="0"/>
          <w:marBottom w:val="0"/>
          <w:divBdr>
            <w:top w:val="none" w:sz="0" w:space="0" w:color="auto"/>
            <w:left w:val="none" w:sz="0" w:space="0" w:color="auto"/>
            <w:bottom w:val="none" w:sz="0" w:space="0" w:color="auto"/>
            <w:right w:val="none" w:sz="0" w:space="0" w:color="auto"/>
          </w:divBdr>
        </w:div>
        <w:div w:id="2104764340">
          <w:marLeft w:val="0"/>
          <w:marRight w:val="0"/>
          <w:marTop w:val="0"/>
          <w:marBottom w:val="0"/>
          <w:divBdr>
            <w:top w:val="none" w:sz="0" w:space="0" w:color="auto"/>
            <w:left w:val="none" w:sz="0" w:space="0" w:color="auto"/>
            <w:bottom w:val="none" w:sz="0" w:space="0" w:color="auto"/>
            <w:right w:val="none" w:sz="0" w:space="0" w:color="auto"/>
          </w:divBdr>
        </w:div>
        <w:div w:id="2104764352">
          <w:marLeft w:val="0"/>
          <w:marRight w:val="0"/>
          <w:marTop w:val="0"/>
          <w:marBottom w:val="0"/>
          <w:divBdr>
            <w:top w:val="none" w:sz="0" w:space="0" w:color="auto"/>
            <w:left w:val="none" w:sz="0" w:space="0" w:color="auto"/>
            <w:bottom w:val="none" w:sz="0" w:space="0" w:color="auto"/>
            <w:right w:val="none" w:sz="0" w:space="0" w:color="auto"/>
          </w:divBdr>
        </w:div>
        <w:div w:id="2104764355">
          <w:marLeft w:val="0"/>
          <w:marRight w:val="0"/>
          <w:marTop w:val="0"/>
          <w:marBottom w:val="0"/>
          <w:divBdr>
            <w:top w:val="none" w:sz="0" w:space="0" w:color="auto"/>
            <w:left w:val="none" w:sz="0" w:space="0" w:color="auto"/>
            <w:bottom w:val="none" w:sz="0" w:space="0" w:color="auto"/>
            <w:right w:val="none" w:sz="0" w:space="0" w:color="auto"/>
          </w:divBdr>
        </w:div>
        <w:div w:id="2104764383">
          <w:marLeft w:val="0"/>
          <w:marRight w:val="0"/>
          <w:marTop w:val="0"/>
          <w:marBottom w:val="0"/>
          <w:divBdr>
            <w:top w:val="none" w:sz="0" w:space="0" w:color="auto"/>
            <w:left w:val="none" w:sz="0" w:space="0" w:color="auto"/>
            <w:bottom w:val="none" w:sz="0" w:space="0" w:color="auto"/>
            <w:right w:val="none" w:sz="0" w:space="0" w:color="auto"/>
          </w:divBdr>
        </w:div>
        <w:div w:id="2104764405">
          <w:marLeft w:val="0"/>
          <w:marRight w:val="0"/>
          <w:marTop w:val="0"/>
          <w:marBottom w:val="0"/>
          <w:divBdr>
            <w:top w:val="none" w:sz="0" w:space="0" w:color="auto"/>
            <w:left w:val="none" w:sz="0" w:space="0" w:color="auto"/>
            <w:bottom w:val="none" w:sz="0" w:space="0" w:color="auto"/>
            <w:right w:val="none" w:sz="0" w:space="0" w:color="auto"/>
          </w:divBdr>
        </w:div>
        <w:div w:id="2104764454">
          <w:marLeft w:val="0"/>
          <w:marRight w:val="0"/>
          <w:marTop w:val="0"/>
          <w:marBottom w:val="0"/>
          <w:divBdr>
            <w:top w:val="none" w:sz="0" w:space="0" w:color="auto"/>
            <w:left w:val="none" w:sz="0" w:space="0" w:color="auto"/>
            <w:bottom w:val="none" w:sz="0" w:space="0" w:color="auto"/>
            <w:right w:val="none" w:sz="0" w:space="0" w:color="auto"/>
          </w:divBdr>
        </w:div>
        <w:div w:id="2104764459">
          <w:marLeft w:val="0"/>
          <w:marRight w:val="0"/>
          <w:marTop w:val="0"/>
          <w:marBottom w:val="0"/>
          <w:divBdr>
            <w:top w:val="none" w:sz="0" w:space="0" w:color="auto"/>
            <w:left w:val="none" w:sz="0" w:space="0" w:color="auto"/>
            <w:bottom w:val="none" w:sz="0" w:space="0" w:color="auto"/>
            <w:right w:val="none" w:sz="0" w:space="0" w:color="auto"/>
          </w:divBdr>
        </w:div>
        <w:div w:id="2104764521">
          <w:marLeft w:val="0"/>
          <w:marRight w:val="0"/>
          <w:marTop w:val="0"/>
          <w:marBottom w:val="0"/>
          <w:divBdr>
            <w:top w:val="none" w:sz="0" w:space="0" w:color="auto"/>
            <w:left w:val="none" w:sz="0" w:space="0" w:color="auto"/>
            <w:bottom w:val="none" w:sz="0" w:space="0" w:color="auto"/>
            <w:right w:val="none" w:sz="0" w:space="0" w:color="auto"/>
          </w:divBdr>
        </w:div>
        <w:div w:id="2104764544">
          <w:marLeft w:val="0"/>
          <w:marRight w:val="0"/>
          <w:marTop w:val="0"/>
          <w:marBottom w:val="0"/>
          <w:divBdr>
            <w:top w:val="none" w:sz="0" w:space="0" w:color="auto"/>
            <w:left w:val="none" w:sz="0" w:space="0" w:color="auto"/>
            <w:bottom w:val="none" w:sz="0" w:space="0" w:color="auto"/>
            <w:right w:val="none" w:sz="0" w:space="0" w:color="auto"/>
          </w:divBdr>
        </w:div>
        <w:div w:id="2104764600">
          <w:marLeft w:val="0"/>
          <w:marRight w:val="0"/>
          <w:marTop w:val="0"/>
          <w:marBottom w:val="0"/>
          <w:divBdr>
            <w:top w:val="none" w:sz="0" w:space="0" w:color="auto"/>
            <w:left w:val="none" w:sz="0" w:space="0" w:color="auto"/>
            <w:bottom w:val="none" w:sz="0" w:space="0" w:color="auto"/>
            <w:right w:val="none" w:sz="0" w:space="0" w:color="auto"/>
          </w:divBdr>
        </w:div>
        <w:div w:id="2104764623">
          <w:marLeft w:val="0"/>
          <w:marRight w:val="0"/>
          <w:marTop w:val="0"/>
          <w:marBottom w:val="0"/>
          <w:divBdr>
            <w:top w:val="none" w:sz="0" w:space="0" w:color="auto"/>
            <w:left w:val="none" w:sz="0" w:space="0" w:color="auto"/>
            <w:bottom w:val="none" w:sz="0" w:space="0" w:color="auto"/>
            <w:right w:val="none" w:sz="0" w:space="0" w:color="auto"/>
          </w:divBdr>
        </w:div>
        <w:div w:id="2104764654">
          <w:marLeft w:val="0"/>
          <w:marRight w:val="0"/>
          <w:marTop w:val="0"/>
          <w:marBottom w:val="0"/>
          <w:divBdr>
            <w:top w:val="none" w:sz="0" w:space="0" w:color="auto"/>
            <w:left w:val="none" w:sz="0" w:space="0" w:color="auto"/>
            <w:bottom w:val="none" w:sz="0" w:space="0" w:color="auto"/>
            <w:right w:val="none" w:sz="0" w:space="0" w:color="auto"/>
          </w:divBdr>
        </w:div>
        <w:div w:id="2104764661">
          <w:marLeft w:val="0"/>
          <w:marRight w:val="0"/>
          <w:marTop w:val="0"/>
          <w:marBottom w:val="0"/>
          <w:divBdr>
            <w:top w:val="none" w:sz="0" w:space="0" w:color="auto"/>
            <w:left w:val="none" w:sz="0" w:space="0" w:color="auto"/>
            <w:bottom w:val="none" w:sz="0" w:space="0" w:color="auto"/>
            <w:right w:val="none" w:sz="0" w:space="0" w:color="auto"/>
          </w:divBdr>
        </w:div>
        <w:div w:id="2104764677">
          <w:marLeft w:val="0"/>
          <w:marRight w:val="0"/>
          <w:marTop w:val="0"/>
          <w:marBottom w:val="0"/>
          <w:divBdr>
            <w:top w:val="none" w:sz="0" w:space="0" w:color="auto"/>
            <w:left w:val="none" w:sz="0" w:space="0" w:color="auto"/>
            <w:bottom w:val="none" w:sz="0" w:space="0" w:color="auto"/>
            <w:right w:val="none" w:sz="0" w:space="0" w:color="auto"/>
          </w:divBdr>
        </w:div>
        <w:div w:id="2104764688">
          <w:marLeft w:val="0"/>
          <w:marRight w:val="0"/>
          <w:marTop w:val="0"/>
          <w:marBottom w:val="0"/>
          <w:divBdr>
            <w:top w:val="none" w:sz="0" w:space="0" w:color="auto"/>
            <w:left w:val="none" w:sz="0" w:space="0" w:color="auto"/>
            <w:bottom w:val="none" w:sz="0" w:space="0" w:color="auto"/>
            <w:right w:val="none" w:sz="0" w:space="0" w:color="auto"/>
          </w:divBdr>
        </w:div>
        <w:div w:id="2104764708">
          <w:marLeft w:val="0"/>
          <w:marRight w:val="0"/>
          <w:marTop w:val="0"/>
          <w:marBottom w:val="0"/>
          <w:divBdr>
            <w:top w:val="none" w:sz="0" w:space="0" w:color="auto"/>
            <w:left w:val="none" w:sz="0" w:space="0" w:color="auto"/>
            <w:bottom w:val="none" w:sz="0" w:space="0" w:color="auto"/>
            <w:right w:val="none" w:sz="0" w:space="0" w:color="auto"/>
          </w:divBdr>
        </w:div>
        <w:div w:id="2104764735">
          <w:marLeft w:val="0"/>
          <w:marRight w:val="0"/>
          <w:marTop w:val="0"/>
          <w:marBottom w:val="0"/>
          <w:divBdr>
            <w:top w:val="none" w:sz="0" w:space="0" w:color="auto"/>
            <w:left w:val="none" w:sz="0" w:space="0" w:color="auto"/>
            <w:bottom w:val="none" w:sz="0" w:space="0" w:color="auto"/>
            <w:right w:val="none" w:sz="0" w:space="0" w:color="auto"/>
          </w:divBdr>
        </w:div>
      </w:divsChild>
    </w:div>
    <w:div w:id="2104764496">
      <w:marLeft w:val="390"/>
      <w:marRight w:val="390"/>
      <w:marTop w:val="0"/>
      <w:marBottom w:val="0"/>
      <w:divBdr>
        <w:top w:val="none" w:sz="0" w:space="0" w:color="auto"/>
        <w:left w:val="none" w:sz="0" w:space="0" w:color="auto"/>
        <w:bottom w:val="none" w:sz="0" w:space="0" w:color="auto"/>
        <w:right w:val="none" w:sz="0" w:space="0" w:color="auto"/>
      </w:divBdr>
    </w:div>
    <w:div w:id="2104764499">
      <w:marLeft w:val="390"/>
      <w:marRight w:val="390"/>
      <w:marTop w:val="0"/>
      <w:marBottom w:val="0"/>
      <w:divBdr>
        <w:top w:val="none" w:sz="0" w:space="0" w:color="auto"/>
        <w:left w:val="none" w:sz="0" w:space="0" w:color="auto"/>
        <w:bottom w:val="none" w:sz="0" w:space="0" w:color="auto"/>
        <w:right w:val="none" w:sz="0" w:space="0" w:color="auto"/>
      </w:divBdr>
    </w:div>
    <w:div w:id="2104764507">
      <w:marLeft w:val="390"/>
      <w:marRight w:val="390"/>
      <w:marTop w:val="0"/>
      <w:marBottom w:val="0"/>
      <w:divBdr>
        <w:top w:val="none" w:sz="0" w:space="0" w:color="auto"/>
        <w:left w:val="none" w:sz="0" w:space="0" w:color="auto"/>
        <w:bottom w:val="none" w:sz="0" w:space="0" w:color="auto"/>
        <w:right w:val="none" w:sz="0" w:space="0" w:color="auto"/>
      </w:divBdr>
    </w:div>
    <w:div w:id="2104764511">
      <w:marLeft w:val="0"/>
      <w:marRight w:val="0"/>
      <w:marTop w:val="0"/>
      <w:marBottom w:val="0"/>
      <w:divBdr>
        <w:top w:val="none" w:sz="0" w:space="0" w:color="auto"/>
        <w:left w:val="none" w:sz="0" w:space="0" w:color="auto"/>
        <w:bottom w:val="none" w:sz="0" w:space="0" w:color="auto"/>
        <w:right w:val="none" w:sz="0" w:space="0" w:color="auto"/>
      </w:divBdr>
      <w:divsChild>
        <w:div w:id="2104764425">
          <w:marLeft w:val="0"/>
          <w:marRight w:val="0"/>
          <w:marTop w:val="0"/>
          <w:marBottom w:val="0"/>
          <w:divBdr>
            <w:top w:val="none" w:sz="0" w:space="0" w:color="auto"/>
            <w:left w:val="none" w:sz="0" w:space="0" w:color="auto"/>
            <w:bottom w:val="none" w:sz="0" w:space="0" w:color="auto"/>
            <w:right w:val="none" w:sz="0" w:space="0" w:color="auto"/>
          </w:divBdr>
        </w:div>
        <w:div w:id="2104764575">
          <w:marLeft w:val="0"/>
          <w:marRight w:val="0"/>
          <w:marTop w:val="0"/>
          <w:marBottom w:val="0"/>
          <w:divBdr>
            <w:top w:val="none" w:sz="0" w:space="0" w:color="auto"/>
            <w:left w:val="none" w:sz="0" w:space="0" w:color="auto"/>
            <w:bottom w:val="none" w:sz="0" w:space="0" w:color="auto"/>
            <w:right w:val="none" w:sz="0" w:space="0" w:color="auto"/>
          </w:divBdr>
        </w:div>
        <w:div w:id="2104764605">
          <w:marLeft w:val="0"/>
          <w:marRight w:val="0"/>
          <w:marTop w:val="0"/>
          <w:marBottom w:val="0"/>
          <w:divBdr>
            <w:top w:val="none" w:sz="0" w:space="0" w:color="auto"/>
            <w:left w:val="none" w:sz="0" w:space="0" w:color="auto"/>
            <w:bottom w:val="none" w:sz="0" w:space="0" w:color="auto"/>
            <w:right w:val="none" w:sz="0" w:space="0" w:color="auto"/>
          </w:divBdr>
        </w:div>
        <w:div w:id="2104764742">
          <w:marLeft w:val="0"/>
          <w:marRight w:val="0"/>
          <w:marTop w:val="0"/>
          <w:marBottom w:val="0"/>
          <w:divBdr>
            <w:top w:val="none" w:sz="0" w:space="0" w:color="auto"/>
            <w:left w:val="none" w:sz="0" w:space="0" w:color="auto"/>
            <w:bottom w:val="none" w:sz="0" w:space="0" w:color="auto"/>
            <w:right w:val="none" w:sz="0" w:space="0" w:color="auto"/>
          </w:divBdr>
        </w:div>
      </w:divsChild>
    </w:div>
    <w:div w:id="2104764517">
      <w:marLeft w:val="0"/>
      <w:marRight w:val="0"/>
      <w:marTop w:val="0"/>
      <w:marBottom w:val="0"/>
      <w:divBdr>
        <w:top w:val="none" w:sz="0" w:space="0" w:color="auto"/>
        <w:left w:val="none" w:sz="0" w:space="0" w:color="auto"/>
        <w:bottom w:val="none" w:sz="0" w:space="0" w:color="auto"/>
        <w:right w:val="none" w:sz="0" w:space="0" w:color="auto"/>
      </w:divBdr>
      <w:divsChild>
        <w:div w:id="2104764310">
          <w:marLeft w:val="0"/>
          <w:marRight w:val="0"/>
          <w:marTop w:val="0"/>
          <w:marBottom w:val="0"/>
          <w:divBdr>
            <w:top w:val="none" w:sz="0" w:space="0" w:color="auto"/>
            <w:left w:val="none" w:sz="0" w:space="0" w:color="auto"/>
            <w:bottom w:val="none" w:sz="0" w:space="0" w:color="auto"/>
            <w:right w:val="none" w:sz="0" w:space="0" w:color="auto"/>
          </w:divBdr>
        </w:div>
        <w:div w:id="2104764442">
          <w:marLeft w:val="0"/>
          <w:marRight w:val="0"/>
          <w:marTop w:val="0"/>
          <w:marBottom w:val="0"/>
          <w:divBdr>
            <w:top w:val="none" w:sz="0" w:space="0" w:color="auto"/>
            <w:left w:val="none" w:sz="0" w:space="0" w:color="auto"/>
            <w:bottom w:val="none" w:sz="0" w:space="0" w:color="auto"/>
            <w:right w:val="none" w:sz="0" w:space="0" w:color="auto"/>
          </w:divBdr>
        </w:div>
        <w:div w:id="2104764531">
          <w:marLeft w:val="0"/>
          <w:marRight w:val="0"/>
          <w:marTop w:val="0"/>
          <w:marBottom w:val="0"/>
          <w:divBdr>
            <w:top w:val="none" w:sz="0" w:space="0" w:color="auto"/>
            <w:left w:val="none" w:sz="0" w:space="0" w:color="auto"/>
            <w:bottom w:val="none" w:sz="0" w:space="0" w:color="auto"/>
            <w:right w:val="none" w:sz="0" w:space="0" w:color="auto"/>
          </w:divBdr>
        </w:div>
        <w:div w:id="2104764608">
          <w:marLeft w:val="0"/>
          <w:marRight w:val="0"/>
          <w:marTop w:val="0"/>
          <w:marBottom w:val="0"/>
          <w:divBdr>
            <w:top w:val="none" w:sz="0" w:space="0" w:color="auto"/>
            <w:left w:val="none" w:sz="0" w:space="0" w:color="auto"/>
            <w:bottom w:val="none" w:sz="0" w:space="0" w:color="auto"/>
            <w:right w:val="none" w:sz="0" w:space="0" w:color="auto"/>
          </w:divBdr>
        </w:div>
        <w:div w:id="2104764632">
          <w:marLeft w:val="0"/>
          <w:marRight w:val="0"/>
          <w:marTop w:val="0"/>
          <w:marBottom w:val="0"/>
          <w:divBdr>
            <w:top w:val="none" w:sz="0" w:space="0" w:color="auto"/>
            <w:left w:val="none" w:sz="0" w:space="0" w:color="auto"/>
            <w:bottom w:val="none" w:sz="0" w:space="0" w:color="auto"/>
            <w:right w:val="none" w:sz="0" w:space="0" w:color="auto"/>
          </w:divBdr>
        </w:div>
        <w:div w:id="2104764635">
          <w:marLeft w:val="0"/>
          <w:marRight w:val="0"/>
          <w:marTop w:val="0"/>
          <w:marBottom w:val="0"/>
          <w:divBdr>
            <w:top w:val="none" w:sz="0" w:space="0" w:color="auto"/>
            <w:left w:val="none" w:sz="0" w:space="0" w:color="auto"/>
            <w:bottom w:val="none" w:sz="0" w:space="0" w:color="auto"/>
            <w:right w:val="none" w:sz="0" w:space="0" w:color="auto"/>
          </w:divBdr>
        </w:div>
        <w:div w:id="2104764651">
          <w:marLeft w:val="0"/>
          <w:marRight w:val="0"/>
          <w:marTop w:val="0"/>
          <w:marBottom w:val="0"/>
          <w:divBdr>
            <w:top w:val="none" w:sz="0" w:space="0" w:color="auto"/>
            <w:left w:val="none" w:sz="0" w:space="0" w:color="auto"/>
            <w:bottom w:val="none" w:sz="0" w:space="0" w:color="auto"/>
            <w:right w:val="none" w:sz="0" w:space="0" w:color="auto"/>
          </w:divBdr>
        </w:div>
        <w:div w:id="2104764658">
          <w:marLeft w:val="0"/>
          <w:marRight w:val="0"/>
          <w:marTop w:val="0"/>
          <w:marBottom w:val="0"/>
          <w:divBdr>
            <w:top w:val="none" w:sz="0" w:space="0" w:color="auto"/>
            <w:left w:val="none" w:sz="0" w:space="0" w:color="auto"/>
            <w:bottom w:val="none" w:sz="0" w:space="0" w:color="auto"/>
            <w:right w:val="none" w:sz="0" w:space="0" w:color="auto"/>
          </w:divBdr>
        </w:div>
        <w:div w:id="2104764703">
          <w:marLeft w:val="0"/>
          <w:marRight w:val="0"/>
          <w:marTop w:val="0"/>
          <w:marBottom w:val="0"/>
          <w:divBdr>
            <w:top w:val="none" w:sz="0" w:space="0" w:color="auto"/>
            <w:left w:val="none" w:sz="0" w:space="0" w:color="auto"/>
            <w:bottom w:val="none" w:sz="0" w:space="0" w:color="auto"/>
            <w:right w:val="none" w:sz="0" w:space="0" w:color="auto"/>
          </w:divBdr>
        </w:div>
      </w:divsChild>
    </w:div>
    <w:div w:id="2104764519">
      <w:marLeft w:val="0"/>
      <w:marRight w:val="0"/>
      <w:marTop w:val="0"/>
      <w:marBottom w:val="0"/>
      <w:divBdr>
        <w:top w:val="none" w:sz="0" w:space="0" w:color="auto"/>
        <w:left w:val="none" w:sz="0" w:space="0" w:color="auto"/>
        <w:bottom w:val="none" w:sz="0" w:space="0" w:color="auto"/>
        <w:right w:val="none" w:sz="0" w:space="0" w:color="auto"/>
      </w:divBdr>
      <w:divsChild>
        <w:div w:id="2104764302">
          <w:marLeft w:val="0"/>
          <w:marRight w:val="0"/>
          <w:marTop w:val="0"/>
          <w:marBottom w:val="0"/>
          <w:divBdr>
            <w:top w:val="none" w:sz="0" w:space="0" w:color="auto"/>
            <w:left w:val="none" w:sz="0" w:space="0" w:color="auto"/>
            <w:bottom w:val="none" w:sz="0" w:space="0" w:color="auto"/>
            <w:right w:val="none" w:sz="0" w:space="0" w:color="auto"/>
          </w:divBdr>
        </w:div>
        <w:div w:id="2104764306">
          <w:marLeft w:val="0"/>
          <w:marRight w:val="0"/>
          <w:marTop w:val="0"/>
          <w:marBottom w:val="0"/>
          <w:divBdr>
            <w:top w:val="none" w:sz="0" w:space="0" w:color="auto"/>
            <w:left w:val="none" w:sz="0" w:space="0" w:color="auto"/>
            <w:bottom w:val="none" w:sz="0" w:space="0" w:color="auto"/>
            <w:right w:val="none" w:sz="0" w:space="0" w:color="auto"/>
          </w:divBdr>
        </w:div>
        <w:div w:id="2104764307">
          <w:marLeft w:val="0"/>
          <w:marRight w:val="0"/>
          <w:marTop w:val="0"/>
          <w:marBottom w:val="0"/>
          <w:divBdr>
            <w:top w:val="none" w:sz="0" w:space="0" w:color="auto"/>
            <w:left w:val="none" w:sz="0" w:space="0" w:color="auto"/>
            <w:bottom w:val="none" w:sz="0" w:space="0" w:color="auto"/>
            <w:right w:val="none" w:sz="0" w:space="0" w:color="auto"/>
          </w:divBdr>
        </w:div>
        <w:div w:id="2104764324">
          <w:marLeft w:val="0"/>
          <w:marRight w:val="0"/>
          <w:marTop w:val="0"/>
          <w:marBottom w:val="0"/>
          <w:divBdr>
            <w:top w:val="none" w:sz="0" w:space="0" w:color="auto"/>
            <w:left w:val="none" w:sz="0" w:space="0" w:color="auto"/>
            <w:bottom w:val="none" w:sz="0" w:space="0" w:color="auto"/>
            <w:right w:val="none" w:sz="0" w:space="0" w:color="auto"/>
          </w:divBdr>
        </w:div>
        <w:div w:id="2104764333">
          <w:marLeft w:val="0"/>
          <w:marRight w:val="0"/>
          <w:marTop w:val="0"/>
          <w:marBottom w:val="0"/>
          <w:divBdr>
            <w:top w:val="none" w:sz="0" w:space="0" w:color="auto"/>
            <w:left w:val="none" w:sz="0" w:space="0" w:color="auto"/>
            <w:bottom w:val="none" w:sz="0" w:space="0" w:color="auto"/>
            <w:right w:val="none" w:sz="0" w:space="0" w:color="auto"/>
          </w:divBdr>
        </w:div>
        <w:div w:id="2104764338">
          <w:marLeft w:val="0"/>
          <w:marRight w:val="0"/>
          <w:marTop w:val="0"/>
          <w:marBottom w:val="0"/>
          <w:divBdr>
            <w:top w:val="none" w:sz="0" w:space="0" w:color="auto"/>
            <w:left w:val="none" w:sz="0" w:space="0" w:color="auto"/>
            <w:bottom w:val="none" w:sz="0" w:space="0" w:color="auto"/>
            <w:right w:val="none" w:sz="0" w:space="0" w:color="auto"/>
          </w:divBdr>
        </w:div>
        <w:div w:id="2104764345">
          <w:marLeft w:val="0"/>
          <w:marRight w:val="0"/>
          <w:marTop w:val="0"/>
          <w:marBottom w:val="0"/>
          <w:divBdr>
            <w:top w:val="none" w:sz="0" w:space="0" w:color="auto"/>
            <w:left w:val="none" w:sz="0" w:space="0" w:color="auto"/>
            <w:bottom w:val="none" w:sz="0" w:space="0" w:color="auto"/>
            <w:right w:val="none" w:sz="0" w:space="0" w:color="auto"/>
          </w:divBdr>
        </w:div>
        <w:div w:id="2104764351">
          <w:marLeft w:val="0"/>
          <w:marRight w:val="0"/>
          <w:marTop w:val="0"/>
          <w:marBottom w:val="0"/>
          <w:divBdr>
            <w:top w:val="none" w:sz="0" w:space="0" w:color="auto"/>
            <w:left w:val="none" w:sz="0" w:space="0" w:color="auto"/>
            <w:bottom w:val="none" w:sz="0" w:space="0" w:color="auto"/>
            <w:right w:val="none" w:sz="0" w:space="0" w:color="auto"/>
          </w:divBdr>
        </w:div>
        <w:div w:id="2104764359">
          <w:marLeft w:val="0"/>
          <w:marRight w:val="0"/>
          <w:marTop w:val="0"/>
          <w:marBottom w:val="0"/>
          <w:divBdr>
            <w:top w:val="none" w:sz="0" w:space="0" w:color="auto"/>
            <w:left w:val="none" w:sz="0" w:space="0" w:color="auto"/>
            <w:bottom w:val="none" w:sz="0" w:space="0" w:color="auto"/>
            <w:right w:val="none" w:sz="0" w:space="0" w:color="auto"/>
          </w:divBdr>
        </w:div>
        <w:div w:id="2104764364">
          <w:marLeft w:val="0"/>
          <w:marRight w:val="0"/>
          <w:marTop w:val="0"/>
          <w:marBottom w:val="0"/>
          <w:divBdr>
            <w:top w:val="none" w:sz="0" w:space="0" w:color="auto"/>
            <w:left w:val="none" w:sz="0" w:space="0" w:color="auto"/>
            <w:bottom w:val="none" w:sz="0" w:space="0" w:color="auto"/>
            <w:right w:val="none" w:sz="0" w:space="0" w:color="auto"/>
          </w:divBdr>
        </w:div>
        <w:div w:id="2104764369">
          <w:marLeft w:val="0"/>
          <w:marRight w:val="0"/>
          <w:marTop w:val="0"/>
          <w:marBottom w:val="0"/>
          <w:divBdr>
            <w:top w:val="none" w:sz="0" w:space="0" w:color="auto"/>
            <w:left w:val="none" w:sz="0" w:space="0" w:color="auto"/>
            <w:bottom w:val="none" w:sz="0" w:space="0" w:color="auto"/>
            <w:right w:val="none" w:sz="0" w:space="0" w:color="auto"/>
          </w:divBdr>
        </w:div>
        <w:div w:id="2104764375">
          <w:marLeft w:val="0"/>
          <w:marRight w:val="0"/>
          <w:marTop w:val="0"/>
          <w:marBottom w:val="0"/>
          <w:divBdr>
            <w:top w:val="none" w:sz="0" w:space="0" w:color="auto"/>
            <w:left w:val="none" w:sz="0" w:space="0" w:color="auto"/>
            <w:bottom w:val="none" w:sz="0" w:space="0" w:color="auto"/>
            <w:right w:val="none" w:sz="0" w:space="0" w:color="auto"/>
          </w:divBdr>
        </w:div>
        <w:div w:id="2104764378">
          <w:marLeft w:val="0"/>
          <w:marRight w:val="0"/>
          <w:marTop w:val="0"/>
          <w:marBottom w:val="0"/>
          <w:divBdr>
            <w:top w:val="none" w:sz="0" w:space="0" w:color="auto"/>
            <w:left w:val="none" w:sz="0" w:space="0" w:color="auto"/>
            <w:bottom w:val="none" w:sz="0" w:space="0" w:color="auto"/>
            <w:right w:val="none" w:sz="0" w:space="0" w:color="auto"/>
          </w:divBdr>
        </w:div>
        <w:div w:id="2104764385">
          <w:marLeft w:val="0"/>
          <w:marRight w:val="0"/>
          <w:marTop w:val="0"/>
          <w:marBottom w:val="0"/>
          <w:divBdr>
            <w:top w:val="none" w:sz="0" w:space="0" w:color="auto"/>
            <w:left w:val="none" w:sz="0" w:space="0" w:color="auto"/>
            <w:bottom w:val="none" w:sz="0" w:space="0" w:color="auto"/>
            <w:right w:val="none" w:sz="0" w:space="0" w:color="auto"/>
          </w:divBdr>
        </w:div>
        <w:div w:id="2104764391">
          <w:marLeft w:val="0"/>
          <w:marRight w:val="0"/>
          <w:marTop w:val="0"/>
          <w:marBottom w:val="0"/>
          <w:divBdr>
            <w:top w:val="none" w:sz="0" w:space="0" w:color="auto"/>
            <w:left w:val="none" w:sz="0" w:space="0" w:color="auto"/>
            <w:bottom w:val="none" w:sz="0" w:space="0" w:color="auto"/>
            <w:right w:val="none" w:sz="0" w:space="0" w:color="auto"/>
          </w:divBdr>
        </w:div>
        <w:div w:id="2104764399">
          <w:marLeft w:val="0"/>
          <w:marRight w:val="0"/>
          <w:marTop w:val="0"/>
          <w:marBottom w:val="0"/>
          <w:divBdr>
            <w:top w:val="none" w:sz="0" w:space="0" w:color="auto"/>
            <w:left w:val="none" w:sz="0" w:space="0" w:color="auto"/>
            <w:bottom w:val="none" w:sz="0" w:space="0" w:color="auto"/>
            <w:right w:val="none" w:sz="0" w:space="0" w:color="auto"/>
          </w:divBdr>
        </w:div>
        <w:div w:id="2104764402">
          <w:marLeft w:val="0"/>
          <w:marRight w:val="0"/>
          <w:marTop w:val="0"/>
          <w:marBottom w:val="0"/>
          <w:divBdr>
            <w:top w:val="none" w:sz="0" w:space="0" w:color="auto"/>
            <w:left w:val="none" w:sz="0" w:space="0" w:color="auto"/>
            <w:bottom w:val="none" w:sz="0" w:space="0" w:color="auto"/>
            <w:right w:val="none" w:sz="0" w:space="0" w:color="auto"/>
          </w:divBdr>
        </w:div>
        <w:div w:id="2104764423">
          <w:marLeft w:val="0"/>
          <w:marRight w:val="0"/>
          <w:marTop w:val="0"/>
          <w:marBottom w:val="0"/>
          <w:divBdr>
            <w:top w:val="none" w:sz="0" w:space="0" w:color="auto"/>
            <w:left w:val="none" w:sz="0" w:space="0" w:color="auto"/>
            <w:bottom w:val="none" w:sz="0" w:space="0" w:color="auto"/>
            <w:right w:val="none" w:sz="0" w:space="0" w:color="auto"/>
          </w:divBdr>
        </w:div>
        <w:div w:id="2104764437">
          <w:marLeft w:val="0"/>
          <w:marRight w:val="0"/>
          <w:marTop w:val="0"/>
          <w:marBottom w:val="0"/>
          <w:divBdr>
            <w:top w:val="none" w:sz="0" w:space="0" w:color="auto"/>
            <w:left w:val="none" w:sz="0" w:space="0" w:color="auto"/>
            <w:bottom w:val="none" w:sz="0" w:space="0" w:color="auto"/>
            <w:right w:val="none" w:sz="0" w:space="0" w:color="auto"/>
          </w:divBdr>
        </w:div>
        <w:div w:id="2104764440">
          <w:marLeft w:val="0"/>
          <w:marRight w:val="0"/>
          <w:marTop w:val="0"/>
          <w:marBottom w:val="0"/>
          <w:divBdr>
            <w:top w:val="none" w:sz="0" w:space="0" w:color="auto"/>
            <w:left w:val="none" w:sz="0" w:space="0" w:color="auto"/>
            <w:bottom w:val="none" w:sz="0" w:space="0" w:color="auto"/>
            <w:right w:val="none" w:sz="0" w:space="0" w:color="auto"/>
          </w:divBdr>
        </w:div>
        <w:div w:id="2104764444">
          <w:marLeft w:val="0"/>
          <w:marRight w:val="0"/>
          <w:marTop w:val="0"/>
          <w:marBottom w:val="0"/>
          <w:divBdr>
            <w:top w:val="none" w:sz="0" w:space="0" w:color="auto"/>
            <w:left w:val="none" w:sz="0" w:space="0" w:color="auto"/>
            <w:bottom w:val="none" w:sz="0" w:space="0" w:color="auto"/>
            <w:right w:val="none" w:sz="0" w:space="0" w:color="auto"/>
          </w:divBdr>
        </w:div>
        <w:div w:id="2104764450">
          <w:marLeft w:val="0"/>
          <w:marRight w:val="0"/>
          <w:marTop w:val="0"/>
          <w:marBottom w:val="0"/>
          <w:divBdr>
            <w:top w:val="none" w:sz="0" w:space="0" w:color="auto"/>
            <w:left w:val="none" w:sz="0" w:space="0" w:color="auto"/>
            <w:bottom w:val="none" w:sz="0" w:space="0" w:color="auto"/>
            <w:right w:val="none" w:sz="0" w:space="0" w:color="auto"/>
          </w:divBdr>
        </w:div>
        <w:div w:id="2104764453">
          <w:marLeft w:val="0"/>
          <w:marRight w:val="0"/>
          <w:marTop w:val="0"/>
          <w:marBottom w:val="0"/>
          <w:divBdr>
            <w:top w:val="none" w:sz="0" w:space="0" w:color="auto"/>
            <w:left w:val="none" w:sz="0" w:space="0" w:color="auto"/>
            <w:bottom w:val="none" w:sz="0" w:space="0" w:color="auto"/>
            <w:right w:val="none" w:sz="0" w:space="0" w:color="auto"/>
          </w:divBdr>
        </w:div>
        <w:div w:id="2104764457">
          <w:marLeft w:val="0"/>
          <w:marRight w:val="0"/>
          <w:marTop w:val="0"/>
          <w:marBottom w:val="0"/>
          <w:divBdr>
            <w:top w:val="none" w:sz="0" w:space="0" w:color="auto"/>
            <w:left w:val="none" w:sz="0" w:space="0" w:color="auto"/>
            <w:bottom w:val="none" w:sz="0" w:space="0" w:color="auto"/>
            <w:right w:val="none" w:sz="0" w:space="0" w:color="auto"/>
          </w:divBdr>
        </w:div>
        <w:div w:id="2104764464">
          <w:marLeft w:val="0"/>
          <w:marRight w:val="0"/>
          <w:marTop w:val="0"/>
          <w:marBottom w:val="0"/>
          <w:divBdr>
            <w:top w:val="none" w:sz="0" w:space="0" w:color="auto"/>
            <w:left w:val="none" w:sz="0" w:space="0" w:color="auto"/>
            <w:bottom w:val="none" w:sz="0" w:space="0" w:color="auto"/>
            <w:right w:val="none" w:sz="0" w:space="0" w:color="auto"/>
          </w:divBdr>
        </w:div>
        <w:div w:id="2104764467">
          <w:marLeft w:val="0"/>
          <w:marRight w:val="0"/>
          <w:marTop w:val="0"/>
          <w:marBottom w:val="0"/>
          <w:divBdr>
            <w:top w:val="none" w:sz="0" w:space="0" w:color="auto"/>
            <w:left w:val="none" w:sz="0" w:space="0" w:color="auto"/>
            <w:bottom w:val="none" w:sz="0" w:space="0" w:color="auto"/>
            <w:right w:val="none" w:sz="0" w:space="0" w:color="auto"/>
          </w:divBdr>
        </w:div>
        <w:div w:id="2104764472">
          <w:marLeft w:val="0"/>
          <w:marRight w:val="0"/>
          <w:marTop w:val="0"/>
          <w:marBottom w:val="0"/>
          <w:divBdr>
            <w:top w:val="none" w:sz="0" w:space="0" w:color="auto"/>
            <w:left w:val="none" w:sz="0" w:space="0" w:color="auto"/>
            <w:bottom w:val="none" w:sz="0" w:space="0" w:color="auto"/>
            <w:right w:val="none" w:sz="0" w:space="0" w:color="auto"/>
          </w:divBdr>
        </w:div>
        <w:div w:id="2104764477">
          <w:marLeft w:val="0"/>
          <w:marRight w:val="0"/>
          <w:marTop w:val="0"/>
          <w:marBottom w:val="0"/>
          <w:divBdr>
            <w:top w:val="none" w:sz="0" w:space="0" w:color="auto"/>
            <w:left w:val="none" w:sz="0" w:space="0" w:color="auto"/>
            <w:bottom w:val="none" w:sz="0" w:space="0" w:color="auto"/>
            <w:right w:val="none" w:sz="0" w:space="0" w:color="auto"/>
          </w:divBdr>
        </w:div>
        <w:div w:id="2104764487">
          <w:marLeft w:val="0"/>
          <w:marRight w:val="0"/>
          <w:marTop w:val="0"/>
          <w:marBottom w:val="0"/>
          <w:divBdr>
            <w:top w:val="none" w:sz="0" w:space="0" w:color="auto"/>
            <w:left w:val="none" w:sz="0" w:space="0" w:color="auto"/>
            <w:bottom w:val="none" w:sz="0" w:space="0" w:color="auto"/>
            <w:right w:val="none" w:sz="0" w:space="0" w:color="auto"/>
          </w:divBdr>
        </w:div>
        <w:div w:id="2104764498">
          <w:marLeft w:val="0"/>
          <w:marRight w:val="0"/>
          <w:marTop w:val="0"/>
          <w:marBottom w:val="0"/>
          <w:divBdr>
            <w:top w:val="none" w:sz="0" w:space="0" w:color="auto"/>
            <w:left w:val="none" w:sz="0" w:space="0" w:color="auto"/>
            <w:bottom w:val="none" w:sz="0" w:space="0" w:color="auto"/>
            <w:right w:val="none" w:sz="0" w:space="0" w:color="auto"/>
          </w:divBdr>
        </w:div>
        <w:div w:id="2104764506">
          <w:marLeft w:val="0"/>
          <w:marRight w:val="0"/>
          <w:marTop w:val="0"/>
          <w:marBottom w:val="0"/>
          <w:divBdr>
            <w:top w:val="none" w:sz="0" w:space="0" w:color="auto"/>
            <w:left w:val="none" w:sz="0" w:space="0" w:color="auto"/>
            <w:bottom w:val="none" w:sz="0" w:space="0" w:color="auto"/>
            <w:right w:val="none" w:sz="0" w:space="0" w:color="auto"/>
          </w:divBdr>
        </w:div>
        <w:div w:id="2104764513">
          <w:marLeft w:val="0"/>
          <w:marRight w:val="0"/>
          <w:marTop w:val="0"/>
          <w:marBottom w:val="0"/>
          <w:divBdr>
            <w:top w:val="none" w:sz="0" w:space="0" w:color="auto"/>
            <w:left w:val="none" w:sz="0" w:space="0" w:color="auto"/>
            <w:bottom w:val="none" w:sz="0" w:space="0" w:color="auto"/>
            <w:right w:val="none" w:sz="0" w:space="0" w:color="auto"/>
          </w:divBdr>
        </w:div>
        <w:div w:id="2104764515">
          <w:marLeft w:val="0"/>
          <w:marRight w:val="0"/>
          <w:marTop w:val="0"/>
          <w:marBottom w:val="0"/>
          <w:divBdr>
            <w:top w:val="none" w:sz="0" w:space="0" w:color="auto"/>
            <w:left w:val="none" w:sz="0" w:space="0" w:color="auto"/>
            <w:bottom w:val="none" w:sz="0" w:space="0" w:color="auto"/>
            <w:right w:val="none" w:sz="0" w:space="0" w:color="auto"/>
          </w:divBdr>
        </w:div>
        <w:div w:id="2104764524">
          <w:marLeft w:val="0"/>
          <w:marRight w:val="0"/>
          <w:marTop w:val="0"/>
          <w:marBottom w:val="0"/>
          <w:divBdr>
            <w:top w:val="none" w:sz="0" w:space="0" w:color="auto"/>
            <w:left w:val="none" w:sz="0" w:space="0" w:color="auto"/>
            <w:bottom w:val="none" w:sz="0" w:space="0" w:color="auto"/>
            <w:right w:val="none" w:sz="0" w:space="0" w:color="auto"/>
          </w:divBdr>
        </w:div>
        <w:div w:id="2104764530">
          <w:marLeft w:val="0"/>
          <w:marRight w:val="0"/>
          <w:marTop w:val="0"/>
          <w:marBottom w:val="0"/>
          <w:divBdr>
            <w:top w:val="none" w:sz="0" w:space="0" w:color="auto"/>
            <w:left w:val="none" w:sz="0" w:space="0" w:color="auto"/>
            <w:bottom w:val="none" w:sz="0" w:space="0" w:color="auto"/>
            <w:right w:val="none" w:sz="0" w:space="0" w:color="auto"/>
          </w:divBdr>
        </w:div>
        <w:div w:id="2104764536">
          <w:marLeft w:val="0"/>
          <w:marRight w:val="0"/>
          <w:marTop w:val="0"/>
          <w:marBottom w:val="0"/>
          <w:divBdr>
            <w:top w:val="none" w:sz="0" w:space="0" w:color="auto"/>
            <w:left w:val="none" w:sz="0" w:space="0" w:color="auto"/>
            <w:bottom w:val="none" w:sz="0" w:space="0" w:color="auto"/>
            <w:right w:val="none" w:sz="0" w:space="0" w:color="auto"/>
          </w:divBdr>
        </w:div>
        <w:div w:id="2104764538">
          <w:marLeft w:val="0"/>
          <w:marRight w:val="0"/>
          <w:marTop w:val="0"/>
          <w:marBottom w:val="0"/>
          <w:divBdr>
            <w:top w:val="none" w:sz="0" w:space="0" w:color="auto"/>
            <w:left w:val="none" w:sz="0" w:space="0" w:color="auto"/>
            <w:bottom w:val="none" w:sz="0" w:space="0" w:color="auto"/>
            <w:right w:val="none" w:sz="0" w:space="0" w:color="auto"/>
          </w:divBdr>
        </w:div>
        <w:div w:id="2104764539">
          <w:marLeft w:val="0"/>
          <w:marRight w:val="0"/>
          <w:marTop w:val="0"/>
          <w:marBottom w:val="0"/>
          <w:divBdr>
            <w:top w:val="none" w:sz="0" w:space="0" w:color="auto"/>
            <w:left w:val="none" w:sz="0" w:space="0" w:color="auto"/>
            <w:bottom w:val="none" w:sz="0" w:space="0" w:color="auto"/>
            <w:right w:val="none" w:sz="0" w:space="0" w:color="auto"/>
          </w:divBdr>
        </w:div>
        <w:div w:id="2104764546">
          <w:marLeft w:val="0"/>
          <w:marRight w:val="0"/>
          <w:marTop w:val="0"/>
          <w:marBottom w:val="0"/>
          <w:divBdr>
            <w:top w:val="none" w:sz="0" w:space="0" w:color="auto"/>
            <w:left w:val="none" w:sz="0" w:space="0" w:color="auto"/>
            <w:bottom w:val="none" w:sz="0" w:space="0" w:color="auto"/>
            <w:right w:val="none" w:sz="0" w:space="0" w:color="auto"/>
          </w:divBdr>
        </w:div>
        <w:div w:id="2104764547">
          <w:marLeft w:val="0"/>
          <w:marRight w:val="0"/>
          <w:marTop w:val="0"/>
          <w:marBottom w:val="0"/>
          <w:divBdr>
            <w:top w:val="none" w:sz="0" w:space="0" w:color="auto"/>
            <w:left w:val="none" w:sz="0" w:space="0" w:color="auto"/>
            <w:bottom w:val="none" w:sz="0" w:space="0" w:color="auto"/>
            <w:right w:val="none" w:sz="0" w:space="0" w:color="auto"/>
          </w:divBdr>
        </w:div>
        <w:div w:id="2104764564">
          <w:marLeft w:val="0"/>
          <w:marRight w:val="0"/>
          <w:marTop w:val="0"/>
          <w:marBottom w:val="0"/>
          <w:divBdr>
            <w:top w:val="none" w:sz="0" w:space="0" w:color="auto"/>
            <w:left w:val="none" w:sz="0" w:space="0" w:color="auto"/>
            <w:bottom w:val="none" w:sz="0" w:space="0" w:color="auto"/>
            <w:right w:val="none" w:sz="0" w:space="0" w:color="auto"/>
          </w:divBdr>
        </w:div>
        <w:div w:id="2104764578">
          <w:marLeft w:val="0"/>
          <w:marRight w:val="0"/>
          <w:marTop w:val="0"/>
          <w:marBottom w:val="0"/>
          <w:divBdr>
            <w:top w:val="none" w:sz="0" w:space="0" w:color="auto"/>
            <w:left w:val="none" w:sz="0" w:space="0" w:color="auto"/>
            <w:bottom w:val="none" w:sz="0" w:space="0" w:color="auto"/>
            <w:right w:val="none" w:sz="0" w:space="0" w:color="auto"/>
          </w:divBdr>
        </w:div>
        <w:div w:id="2104764581">
          <w:marLeft w:val="0"/>
          <w:marRight w:val="0"/>
          <w:marTop w:val="0"/>
          <w:marBottom w:val="0"/>
          <w:divBdr>
            <w:top w:val="none" w:sz="0" w:space="0" w:color="auto"/>
            <w:left w:val="none" w:sz="0" w:space="0" w:color="auto"/>
            <w:bottom w:val="none" w:sz="0" w:space="0" w:color="auto"/>
            <w:right w:val="none" w:sz="0" w:space="0" w:color="auto"/>
          </w:divBdr>
        </w:div>
        <w:div w:id="2104764602">
          <w:marLeft w:val="0"/>
          <w:marRight w:val="0"/>
          <w:marTop w:val="0"/>
          <w:marBottom w:val="0"/>
          <w:divBdr>
            <w:top w:val="none" w:sz="0" w:space="0" w:color="auto"/>
            <w:left w:val="none" w:sz="0" w:space="0" w:color="auto"/>
            <w:bottom w:val="none" w:sz="0" w:space="0" w:color="auto"/>
            <w:right w:val="none" w:sz="0" w:space="0" w:color="auto"/>
          </w:divBdr>
        </w:div>
        <w:div w:id="2104764610">
          <w:marLeft w:val="0"/>
          <w:marRight w:val="0"/>
          <w:marTop w:val="0"/>
          <w:marBottom w:val="0"/>
          <w:divBdr>
            <w:top w:val="none" w:sz="0" w:space="0" w:color="auto"/>
            <w:left w:val="none" w:sz="0" w:space="0" w:color="auto"/>
            <w:bottom w:val="none" w:sz="0" w:space="0" w:color="auto"/>
            <w:right w:val="none" w:sz="0" w:space="0" w:color="auto"/>
          </w:divBdr>
        </w:div>
        <w:div w:id="2104764613">
          <w:marLeft w:val="0"/>
          <w:marRight w:val="0"/>
          <w:marTop w:val="0"/>
          <w:marBottom w:val="0"/>
          <w:divBdr>
            <w:top w:val="none" w:sz="0" w:space="0" w:color="auto"/>
            <w:left w:val="none" w:sz="0" w:space="0" w:color="auto"/>
            <w:bottom w:val="none" w:sz="0" w:space="0" w:color="auto"/>
            <w:right w:val="none" w:sz="0" w:space="0" w:color="auto"/>
          </w:divBdr>
        </w:div>
        <w:div w:id="2104764624">
          <w:marLeft w:val="0"/>
          <w:marRight w:val="0"/>
          <w:marTop w:val="0"/>
          <w:marBottom w:val="0"/>
          <w:divBdr>
            <w:top w:val="none" w:sz="0" w:space="0" w:color="auto"/>
            <w:left w:val="none" w:sz="0" w:space="0" w:color="auto"/>
            <w:bottom w:val="none" w:sz="0" w:space="0" w:color="auto"/>
            <w:right w:val="none" w:sz="0" w:space="0" w:color="auto"/>
          </w:divBdr>
        </w:div>
        <w:div w:id="2104764628">
          <w:marLeft w:val="0"/>
          <w:marRight w:val="0"/>
          <w:marTop w:val="0"/>
          <w:marBottom w:val="0"/>
          <w:divBdr>
            <w:top w:val="none" w:sz="0" w:space="0" w:color="auto"/>
            <w:left w:val="none" w:sz="0" w:space="0" w:color="auto"/>
            <w:bottom w:val="none" w:sz="0" w:space="0" w:color="auto"/>
            <w:right w:val="none" w:sz="0" w:space="0" w:color="auto"/>
          </w:divBdr>
        </w:div>
        <w:div w:id="2104764634">
          <w:marLeft w:val="0"/>
          <w:marRight w:val="0"/>
          <w:marTop w:val="0"/>
          <w:marBottom w:val="0"/>
          <w:divBdr>
            <w:top w:val="none" w:sz="0" w:space="0" w:color="auto"/>
            <w:left w:val="none" w:sz="0" w:space="0" w:color="auto"/>
            <w:bottom w:val="none" w:sz="0" w:space="0" w:color="auto"/>
            <w:right w:val="none" w:sz="0" w:space="0" w:color="auto"/>
          </w:divBdr>
        </w:div>
        <w:div w:id="2104764636">
          <w:marLeft w:val="0"/>
          <w:marRight w:val="0"/>
          <w:marTop w:val="0"/>
          <w:marBottom w:val="0"/>
          <w:divBdr>
            <w:top w:val="none" w:sz="0" w:space="0" w:color="auto"/>
            <w:left w:val="none" w:sz="0" w:space="0" w:color="auto"/>
            <w:bottom w:val="none" w:sz="0" w:space="0" w:color="auto"/>
            <w:right w:val="none" w:sz="0" w:space="0" w:color="auto"/>
          </w:divBdr>
        </w:div>
        <w:div w:id="2104764640">
          <w:marLeft w:val="0"/>
          <w:marRight w:val="0"/>
          <w:marTop w:val="0"/>
          <w:marBottom w:val="0"/>
          <w:divBdr>
            <w:top w:val="none" w:sz="0" w:space="0" w:color="auto"/>
            <w:left w:val="none" w:sz="0" w:space="0" w:color="auto"/>
            <w:bottom w:val="none" w:sz="0" w:space="0" w:color="auto"/>
            <w:right w:val="none" w:sz="0" w:space="0" w:color="auto"/>
          </w:divBdr>
        </w:div>
        <w:div w:id="2104764646">
          <w:marLeft w:val="0"/>
          <w:marRight w:val="0"/>
          <w:marTop w:val="0"/>
          <w:marBottom w:val="0"/>
          <w:divBdr>
            <w:top w:val="none" w:sz="0" w:space="0" w:color="auto"/>
            <w:left w:val="none" w:sz="0" w:space="0" w:color="auto"/>
            <w:bottom w:val="none" w:sz="0" w:space="0" w:color="auto"/>
            <w:right w:val="none" w:sz="0" w:space="0" w:color="auto"/>
          </w:divBdr>
        </w:div>
        <w:div w:id="2104764652">
          <w:marLeft w:val="0"/>
          <w:marRight w:val="0"/>
          <w:marTop w:val="0"/>
          <w:marBottom w:val="0"/>
          <w:divBdr>
            <w:top w:val="none" w:sz="0" w:space="0" w:color="auto"/>
            <w:left w:val="none" w:sz="0" w:space="0" w:color="auto"/>
            <w:bottom w:val="none" w:sz="0" w:space="0" w:color="auto"/>
            <w:right w:val="none" w:sz="0" w:space="0" w:color="auto"/>
          </w:divBdr>
        </w:div>
        <w:div w:id="2104764665">
          <w:marLeft w:val="0"/>
          <w:marRight w:val="0"/>
          <w:marTop w:val="0"/>
          <w:marBottom w:val="0"/>
          <w:divBdr>
            <w:top w:val="none" w:sz="0" w:space="0" w:color="auto"/>
            <w:left w:val="none" w:sz="0" w:space="0" w:color="auto"/>
            <w:bottom w:val="none" w:sz="0" w:space="0" w:color="auto"/>
            <w:right w:val="none" w:sz="0" w:space="0" w:color="auto"/>
          </w:divBdr>
        </w:div>
        <w:div w:id="2104764670">
          <w:marLeft w:val="0"/>
          <w:marRight w:val="0"/>
          <w:marTop w:val="0"/>
          <w:marBottom w:val="0"/>
          <w:divBdr>
            <w:top w:val="none" w:sz="0" w:space="0" w:color="auto"/>
            <w:left w:val="none" w:sz="0" w:space="0" w:color="auto"/>
            <w:bottom w:val="none" w:sz="0" w:space="0" w:color="auto"/>
            <w:right w:val="none" w:sz="0" w:space="0" w:color="auto"/>
          </w:divBdr>
        </w:div>
        <w:div w:id="2104764672">
          <w:marLeft w:val="0"/>
          <w:marRight w:val="0"/>
          <w:marTop w:val="0"/>
          <w:marBottom w:val="0"/>
          <w:divBdr>
            <w:top w:val="none" w:sz="0" w:space="0" w:color="auto"/>
            <w:left w:val="none" w:sz="0" w:space="0" w:color="auto"/>
            <w:bottom w:val="none" w:sz="0" w:space="0" w:color="auto"/>
            <w:right w:val="none" w:sz="0" w:space="0" w:color="auto"/>
          </w:divBdr>
        </w:div>
        <w:div w:id="2104764679">
          <w:marLeft w:val="0"/>
          <w:marRight w:val="0"/>
          <w:marTop w:val="0"/>
          <w:marBottom w:val="0"/>
          <w:divBdr>
            <w:top w:val="none" w:sz="0" w:space="0" w:color="auto"/>
            <w:left w:val="none" w:sz="0" w:space="0" w:color="auto"/>
            <w:bottom w:val="none" w:sz="0" w:space="0" w:color="auto"/>
            <w:right w:val="none" w:sz="0" w:space="0" w:color="auto"/>
          </w:divBdr>
        </w:div>
        <w:div w:id="2104764681">
          <w:marLeft w:val="0"/>
          <w:marRight w:val="0"/>
          <w:marTop w:val="0"/>
          <w:marBottom w:val="0"/>
          <w:divBdr>
            <w:top w:val="none" w:sz="0" w:space="0" w:color="auto"/>
            <w:left w:val="none" w:sz="0" w:space="0" w:color="auto"/>
            <w:bottom w:val="none" w:sz="0" w:space="0" w:color="auto"/>
            <w:right w:val="none" w:sz="0" w:space="0" w:color="auto"/>
          </w:divBdr>
        </w:div>
        <w:div w:id="2104764682">
          <w:marLeft w:val="0"/>
          <w:marRight w:val="0"/>
          <w:marTop w:val="0"/>
          <w:marBottom w:val="0"/>
          <w:divBdr>
            <w:top w:val="none" w:sz="0" w:space="0" w:color="auto"/>
            <w:left w:val="none" w:sz="0" w:space="0" w:color="auto"/>
            <w:bottom w:val="none" w:sz="0" w:space="0" w:color="auto"/>
            <w:right w:val="none" w:sz="0" w:space="0" w:color="auto"/>
          </w:divBdr>
        </w:div>
        <w:div w:id="2104764686">
          <w:marLeft w:val="0"/>
          <w:marRight w:val="0"/>
          <w:marTop w:val="0"/>
          <w:marBottom w:val="0"/>
          <w:divBdr>
            <w:top w:val="none" w:sz="0" w:space="0" w:color="auto"/>
            <w:left w:val="none" w:sz="0" w:space="0" w:color="auto"/>
            <w:bottom w:val="none" w:sz="0" w:space="0" w:color="auto"/>
            <w:right w:val="none" w:sz="0" w:space="0" w:color="auto"/>
          </w:divBdr>
        </w:div>
        <w:div w:id="2104764698">
          <w:marLeft w:val="0"/>
          <w:marRight w:val="0"/>
          <w:marTop w:val="0"/>
          <w:marBottom w:val="0"/>
          <w:divBdr>
            <w:top w:val="none" w:sz="0" w:space="0" w:color="auto"/>
            <w:left w:val="none" w:sz="0" w:space="0" w:color="auto"/>
            <w:bottom w:val="none" w:sz="0" w:space="0" w:color="auto"/>
            <w:right w:val="none" w:sz="0" w:space="0" w:color="auto"/>
          </w:divBdr>
        </w:div>
        <w:div w:id="2104764705">
          <w:marLeft w:val="0"/>
          <w:marRight w:val="0"/>
          <w:marTop w:val="0"/>
          <w:marBottom w:val="0"/>
          <w:divBdr>
            <w:top w:val="none" w:sz="0" w:space="0" w:color="auto"/>
            <w:left w:val="none" w:sz="0" w:space="0" w:color="auto"/>
            <w:bottom w:val="none" w:sz="0" w:space="0" w:color="auto"/>
            <w:right w:val="none" w:sz="0" w:space="0" w:color="auto"/>
          </w:divBdr>
        </w:div>
        <w:div w:id="2104764707">
          <w:marLeft w:val="0"/>
          <w:marRight w:val="0"/>
          <w:marTop w:val="0"/>
          <w:marBottom w:val="0"/>
          <w:divBdr>
            <w:top w:val="none" w:sz="0" w:space="0" w:color="auto"/>
            <w:left w:val="none" w:sz="0" w:space="0" w:color="auto"/>
            <w:bottom w:val="none" w:sz="0" w:space="0" w:color="auto"/>
            <w:right w:val="none" w:sz="0" w:space="0" w:color="auto"/>
          </w:divBdr>
        </w:div>
        <w:div w:id="2104764710">
          <w:marLeft w:val="0"/>
          <w:marRight w:val="0"/>
          <w:marTop w:val="0"/>
          <w:marBottom w:val="0"/>
          <w:divBdr>
            <w:top w:val="none" w:sz="0" w:space="0" w:color="auto"/>
            <w:left w:val="none" w:sz="0" w:space="0" w:color="auto"/>
            <w:bottom w:val="none" w:sz="0" w:space="0" w:color="auto"/>
            <w:right w:val="none" w:sz="0" w:space="0" w:color="auto"/>
          </w:divBdr>
        </w:div>
        <w:div w:id="2104764714">
          <w:marLeft w:val="0"/>
          <w:marRight w:val="0"/>
          <w:marTop w:val="0"/>
          <w:marBottom w:val="0"/>
          <w:divBdr>
            <w:top w:val="none" w:sz="0" w:space="0" w:color="auto"/>
            <w:left w:val="none" w:sz="0" w:space="0" w:color="auto"/>
            <w:bottom w:val="none" w:sz="0" w:space="0" w:color="auto"/>
            <w:right w:val="none" w:sz="0" w:space="0" w:color="auto"/>
          </w:divBdr>
        </w:div>
        <w:div w:id="2104764719">
          <w:marLeft w:val="0"/>
          <w:marRight w:val="0"/>
          <w:marTop w:val="0"/>
          <w:marBottom w:val="0"/>
          <w:divBdr>
            <w:top w:val="none" w:sz="0" w:space="0" w:color="auto"/>
            <w:left w:val="none" w:sz="0" w:space="0" w:color="auto"/>
            <w:bottom w:val="none" w:sz="0" w:space="0" w:color="auto"/>
            <w:right w:val="none" w:sz="0" w:space="0" w:color="auto"/>
          </w:divBdr>
        </w:div>
        <w:div w:id="2104764720">
          <w:marLeft w:val="0"/>
          <w:marRight w:val="0"/>
          <w:marTop w:val="0"/>
          <w:marBottom w:val="0"/>
          <w:divBdr>
            <w:top w:val="none" w:sz="0" w:space="0" w:color="auto"/>
            <w:left w:val="none" w:sz="0" w:space="0" w:color="auto"/>
            <w:bottom w:val="none" w:sz="0" w:space="0" w:color="auto"/>
            <w:right w:val="none" w:sz="0" w:space="0" w:color="auto"/>
          </w:divBdr>
        </w:div>
        <w:div w:id="2104764725">
          <w:marLeft w:val="0"/>
          <w:marRight w:val="0"/>
          <w:marTop w:val="0"/>
          <w:marBottom w:val="0"/>
          <w:divBdr>
            <w:top w:val="none" w:sz="0" w:space="0" w:color="auto"/>
            <w:left w:val="none" w:sz="0" w:space="0" w:color="auto"/>
            <w:bottom w:val="none" w:sz="0" w:space="0" w:color="auto"/>
            <w:right w:val="none" w:sz="0" w:space="0" w:color="auto"/>
          </w:divBdr>
        </w:div>
        <w:div w:id="2104764727">
          <w:marLeft w:val="0"/>
          <w:marRight w:val="0"/>
          <w:marTop w:val="0"/>
          <w:marBottom w:val="0"/>
          <w:divBdr>
            <w:top w:val="none" w:sz="0" w:space="0" w:color="auto"/>
            <w:left w:val="none" w:sz="0" w:space="0" w:color="auto"/>
            <w:bottom w:val="none" w:sz="0" w:space="0" w:color="auto"/>
            <w:right w:val="none" w:sz="0" w:space="0" w:color="auto"/>
          </w:divBdr>
        </w:div>
        <w:div w:id="2104764737">
          <w:marLeft w:val="0"/>
          <w:marRight w:val="0"/>
          <w:marTop w:val="0"/>
          <w:marBottom w:val="0"/>
          <w:divBdr>
            <w:top w:val="none" w:sz="0" w:space="0" w:color="auto"/>
            <w:left w:val="none" w:sz="0" w:space="0" w:color="auto"/>
            <w:bottom w:val="none" w:sz="0" w:space="0" w:color="auto"/>
            <w:right w:val="none" w:sz="0" w:space="0" w:color="auto"/>
          </w:divBdr>
        </w:div>
        <w:div w:id="2104764739">
          <w:marLeft w:val="0"/>
          <w:marRight w:val="0"/>
          <w:marTop w:val="0"/>
          <w:marBottom w:val="0"/>
          <w:divBdr>
            <w:top w:val="none" w:sz="0" w:space="0" w:color="auto"/>
            <w:left w:val="none" w:sz="0" w:space="0" w:color="auto"/>
            <w:bottom w:val="none" w:sz="0" w:space="0" w:color="auto"/>
            <w:right w:val="none" w:sz="0" w:space="0" w:color="auto"/>
          </w:divBdr>
        </w:div>
        <w:div w:id="2104764744">
          <w:marLeft w:val="0"/>
          <w:marRight w:val="0"/>
          <w:marTop w:val="0"/>
          <w:marBottom w:val="0"/>
          <w:divBdr>
            <w:top w:val="none" w:sz="0" w:space="0" w:color="auto"/>
            <w:left w:val="none" w:sz="0" w:space="0" w:color="auto"/>
            <w:bottom w:val="none" w:sz="0" w:space="0" w:color="auto"/>
            <w:right w:val="none" w:sz="0" w:space="0" w:color="auto"/>
          </w:divBdr>
        </w:div>
      </w:divsChild>
    </w:div>
    <w:div w:id="2104764525">
      <w:marLeft w:val="390"/>
      <w:marRight w:val="390"/>
      <w:marTop w:val="0"/>
      <w:marBottom w:val="0"/>
      <w:divBdr>
        <w:top w:val="none" w:sz="0" w:space="0" w:color="auto"/>
        <w:left w:val="none" w:sz="0" w:space="0" w:color="auto"/>
        <w:bottom w:val="none" w:sz="0" w:space="0" w:color="auto"/>
        <w:right w:val="none" w:sz="0" w:space="0" w:color="auto"/>
      </w:divBdr>
    </w:div>
    <w:div w:id="2104764532">
      <w:marLeft w:val="390"/>
      <w:marRight w:val="390"/>
      <w:marTop w:val="0"/>
      <w:marBottom w:val="0"/>
      <w:divBdr>
        <w:top w:val="none" w:sz="0" w:space="0" w:color="auto"/>
        <w:left w:val="none" w:sz="0" w:space="0" w:color="auto"/>
        <w:bottom w:val="none" w:sz="0" w:space="0" w:color="auto"/>
        <w:right w:val="none" w:sz="0" w:space="0" w:color="auto"/>
      </w:divBdr>
    </w:div>
    <w:div w:id="2104764550">
      <w:marLeft w:val="390"/>
      <w:marRight w:val="390"/>
      <w:marTop w:val="0"/>
      <w:marBottom w:val="0"/>
      <w:divBdr>
        <w:top w:val="none" w:sz="0" w:space="0" w:color="auto"/>
        <w:left w:val="none" w:sz="0" w:space="0" w:color="auto"/>
        <w:bottom w:val="none" w:sz="0" w:space="0" w:color="auto"/>
        <w:right w:val="none" w:sz="0" w:space="0" w:color="auto"/>
      </w:divBdr>
    </w:div>
    <w:div w:id="2104764551">
      <w:marLeft w:val="390"/>
      <w:marRight w:val="390"/>
      <w:marTop w:val="0"/>
      <w:marBottom w:val="0"/>
      <w:divBdr>
        <w:top w:val="none" w:sz="0" w:space="0" w:color="auto"/>
        <w:left w:val="none" w:sz="0" w:space="0" w:color="auto"/>
        <w:bottom w:val="none" w:sz="0" w:space="0" w:color="auto"/>
        <w:right w:val="none" w:sz="0" w:space="0" w:color="auto"/>
      </w:divBdr>
    </w:div>
    <w:div w:id="2104764552">
      <w:marLeft w:val="0"/>
      <w:marRight w:val="0"/>
      <w:marTop w:val="0"/>
      <w:marBottom w:val="0"/>
      <w:divBdr>
        <w:top w:val="none" w:sz="0" w:space="0" w:color="auto"/>
        <w:left w:val="none" w:sz="0" w:space="0" w:color="auto"/>
        <w:bottom w:val="none" w:sz="0" w:space="0" w:color="auto"/>
        <w:right w:val="none" w:sz="0" w:space="0" w:color="auto"/>
      </w:divBdr>
      <w:divsChild>
        <w:div w:id="2104764292">
          <w:marLeft w:val="0"/>
          <w:marRight w:val="0"/>
          <w:marTop w:val="0"/>
          <w:marBottom w:val="0"/>
          <w:divBdr>
            <w:top w:val="none" w:sz="0" w:space="0" w:color="auto"/>
            <w:left w:val="none" w:sz="0" w:space="0" w:color="auto"/>
            <w:bottom w:val="none" w:sz="0" w:space="0" w:color="auto"/>
            <w:right w:val="none" w:sz="0" w:space="0" w:color="auto"/>
          </w:divBdr>
        </w:div>
        <w:div w:id="2104764346">
          <w:marLeft w:val="0"/>
          <w:marRight w:val="0"/>
          <w:marTop w:val="0"/>
          <w:marBottom w:val="0"/>
          <w:divBdr>
            <w:top w:val="none" w:sz="0" w:space="0" w:color="auto"/>
            <w:left w:val="none" w:sz="0" w:space="0" w:color="auto"/>
            <w:bottom w:val="none" w:sz="0" w:space="0" w:color="auto"/>
            <w:right w:val="none" w:sz="0" w:space="0" w:color="auto"/>
          </w:divBdr>
        </w:div>
        <w:div w:id="2104764347">
          <w:marLeft w:val="0"/>
          <w:marRight w:val="0"/>
          <w:marTop w:val="0"/>
          <w:marBottom w:val="0"/>
          <w:divBdr>
            <w:top w:val="none" w:sz="0" w:space="0" w:color="auto"/>
            <w:left w:val="none" w:sz="0" w:space="0" w:color="auto"/>
            <w:bottom w:val="none" w:sz="0" w:space="0" w:color="auto"/>
            <w:right w:val="none" w:sz="0" w:space="0" w:color="auto"/>
          </w:divBdr>
        </w:div>
        <w:div w:id="2104764354">
          <w:marLeft w:val="0"/>
          <w:marRight w:val="0"/>
          <w:marTop w:val="0"/>
          <w:marBottom w:val="0"/>
          <w:divBdr>
            <w:top w:val="none" w:sz="0" w:space="0" w:color="auto"/>
            <w:left w:val="none" w:sz="0" w:space="0" w:color="auto"/>
            <w:bottom w:val="none" w:sz="0" w:space="0" w:color="auto"/>
            <w:right w:val="none" w:sz="0" w:space="0" w:color="auto"/>
          </w:divBdr>
        </w:div>
        <w:div w:id="2104764379">
          <w:marLeft w:val="0"/>
          <w:marRight w:val="0"/>
          <w:marTop w:val="0"/>
          <w:marBottom w:val="0"/>
          <w:divBdr>
            <w:top w:val="none" w:sz="0" w:space="0" w:color="auto"/>
            <w:left w:val="none" w:sz="0" w:space="0" w:color="auto"/>
            <w:bottom w:val="none" w:sz="0" w:space="0" w:color="auto"/>
            <w:right w:val="none" w:sz="0" w:space="0" w:color="auto"/>
          </w:divBdr>
        </w:div>
        <w:div w:id="2104764392">
          <w:marLeft w:val="0"/>
          <w:marRight w:val="0"/>
          <w:marTop w:val="0"/>
          <w:marBottom w:val="0"/>
          <w:divBdr>
            <w:top w:val="none" w:sz="0" w:space="0" w:color="auto"/>
            <w:left w:val="none" w:sz="0" w:space="0" w:color="auto"/>
            <w:bottom w:val="none" w:sz="0" w:space="0" w:color="auto"/>
            <w:right w:val="none" w:sz="0" w:space="0" w:color="auto"/>
          </w:divBdr>
        </w:div>
        <w:div w:id="2104764395">
          <w:marLeft w:val="0"/>
          <w:marRight w:val="0"/>
          <w:marTop w:val="0"/>
          <w:marBottom w:val="0"/>
          <w:divBdr>
            <w:top w:val="none" w:sz="0" w:space="0" w:color="auto"/>
            <w:left w:val="none" w:sz="0" w:space="0" w:color="auto"/>
            <w:bottom w:val="none" w:sz="0" w:space="0" w:color="auto"/>
            <w:right w:val="none" w:sz="0" w:space="0" w:color="auto"/>
          </w:divBdr>
        </w:div>
        <w:div w:id="2104764403">
          <w:marLeft w:val="0"/>
          <w:marRight w:val="0"/>
          <w:marTop w:val="0"/>
          <w:marBottom w:val="0"/>
          <w:divBdr>
            <w:top w:val="none" w:sz="0" w:space="0" w:color="auto"/>
            <w:left w:val="none" w:sz="0" w:space="0" w:color="auto"/>
            <w:bottom w:val="none" w:sz="0" w:space="0" w:color="auto"/>
            <w:right w:val="none" w:sz="0" w:space="0" w:color="auto"/>
          </w:divBdr>
        </w:div>
        <w:div w:id="2104764432">
          <w:marLeft w:val="0"/>
          <w:marRight w:val="0"/>
          <w:marTop w:val="0"/>
          <w:marBottom w:val="0"/>
          <w:divBdr>
            <w:top w:val="none" w:sz="0" w:space="0" w:color="auto"/>
            <w:left w:val="none" w:sz="0" w:space="0" w:color="auto"/>
            <w:bottom w:val="none" w:sz="0" w:space="0" w:color="auto"/>
            <w:right w:val="none" w:sz="0" w:space="0" w:color="auto"/>
          </w:divBdr>
        </w:div>
        <w:div w:id="2104764434">
          <w:marLeft w:val="0"/>
          <w:marRight w:val="0"/>
          <w:marTop w:val="0"/>
          <w:marBottom w:val="0"/>
          <w:divBdr>
            <w:top w:val="none" w:sz="0" w:space="0" w:color="auto"/>
            <w:left w:val="none" w:sz="0" w:space="0" w:color="auto"/>
            <w:bottom w:val="none" w:sz="0" w:space="0" w:color="auto"/>
            <w:right w:val="none" w:sz="0" w:space="0" w:color="auto"/>
          </w:divBdr>
        </w:div>
        <w:div w:id="2104764447">
          <w:marLeft w:val="0"/>
          <w:marRight w:val="0"/>
          <w:marTop w:val="0"/>
          <w:marBottom w:val="0"/>
          <w:divBdr>
            <w:top w:val="none" w:sz="0" w:space="0" w:color="auto"/>
            <w:left w:val="none" w:sz="0" w:space="0" w:color="auto"/>
            <w:bottom w:val="none" w:sz="0" w:space="0" w:color="auto"/>
            <w:right w:val="none" w:sz="0" w:space="0" w:color="auto"/>
          </w:divBdr>
        </w:div>
        <w:div w:id="2104764479">
          <w:marLeft w:val="0"/>
          <w:marRight w:val="0"/>
          <w:marTop w:val="0"/>
          <w:marBottom w:val="0"/>
          <w:divBdr>
            <w:top w:val="none" w:sz="0" w:space="0" w:color="auto"/>
            <w:left w:val="none" w:sz="0" w:space="0" w:color="auto"/>
            <w:bottom w:val="none" w:sz="0" w:space="0" w:color="auto"/>
            <w:right w:val="none" w:sz="0" w:space="0" w:color="auto"/>
          </w:divBdr>
        </w:div>
        <w:div w:id="2104764494">
          <w:marLeft w:val="0"/>
          <w:marRight w:val="0"/>
          <w:marTop w:val="0"/>
          <w:marBottom w:val="0"/>
          <w:divBdr>
            <w:top w:val="none" w:sz="0" w:space="0" w:color="auto"/>
            <w:left w:val="none" w:sz="0" w:space="0" w:color="auto"/>
            <w:bottom w:val="none" w:sz="0" w:space="0" w:color="auto"/>
            <w:right w:val="none" w:sz="0" w:space="0" w:color="auto"/>
          </w:divBdr>
        </w:div>
        <w:div w:id="2104764508">
          <w:marLeft w:val="0"/>
          <w:marRight w:val="0"/>
          <w:marTop w:val="0"/>
          <w:marBottom w:val="0"/>
          <w:divBdr>
            <w:top w:val="none" w:sz="0" w:space="0" w:color="auto"/>
            <w:left w:val="none" w:sz="0" w:space="0" w:color="auto"/>
            <w:bottom w:val="none" w:sz="0" w:space="0" w:color="auto"/>
            <w:right w:val="none" w:sz="0" w:space="0" w:color="auto"/>
          </w:divBdr>
        </w:div>
        <w:div w:id="2104764520">
          <w:marLeft w:val="0"/>
          <w:marRight w:val="0"/>
          <w:marTop w:val="0"/>
          <w:marBottom w:val="0"/>
          <w:divBdr>
            <w:top w:val="none" w:sz="0" w:space="0" w:color="auto"/>
            <w:left w:val="none" w:sz="0" w:space="0" w:color="auto"/>
            <w:bottom w:val="none" w:sz="0" w:space="0" w:color="auto"/>
            <w:right w:val="none" w:sz="0" w:space="0" w:color="auto"/>
          </w:divBdr>
        </w:div>
        <w:div w:id="2104764526">
          <w:marLeft w:val="0"/>
          <w:marRight w:val="0"/>
          <w:marTop w:val="0"/>
          <w:marBottom w:val="0"/>
          <w:divBdr>
            <w:top w:val="none" w:sz="0" w:space="0" w:color="auto"/>
            <w:left w:val="none" w:sz="0" w:space="0" w:color="auto"/>
            <w:bottom w:val="none" w:sz="0" w:space="0" w:color="auto"/>
            <w:right w:val="none" w:sz="0" w:space="0" w:color="auto"/>
          </w:divBdr>
        </w:div>
        <w:div w:id="2104764527">
          <w:marLeft w:val="0"/>
          <w:marRight w:val="0"/>
          <w:marTop w:val="0"/>
          <w:marBottom w:val="0"/>
          <w:divBdr>
            <w:top w:val="none" w:sz="0" w:space="0" w:color="auto"/>
            <w:left w:val="none" w:sz="0" w:space="0" w:color="auto"/>
            <w:bottom w:val="none" w:sz="0" w:space="0" w:color="auto"/>
            <w:right w:val="none" w:sz="0" w:space="0" w:color="auto"/>
          </w:divBdr>
        </w:div>
        <w:div w:id="2104764540">
          <w:marLeft w:val="0"/>
          <w:marRight w:val="0"/>
          <w:marTop w:val="0"/>
          <w:marBottom w:val="0"/>
          <w:divBdr>
            <w:top w:val="none" w:sz="0" w:space="0" w:color="auto"/>
            <w:left w:val="none" w:sz="0" w:space="0" w:color="auto"/>
            <w:bottom w:val="none" w:sz="0" w:space="0" w:color="auto"/>
            <w:right w:val="none" w:sz="0" w:space="0" w:color="auto"/>
          </w:divBdr>
        </w:div>
        <w:div w:id="2104764553">
          <w:marLeft w:val="0"/>
          <w:marRight w:val="0"/>
          <w:marTop w:val="0"/>
          <w:marBottom w:val="0"/>
          <w:divBdr>
            <w:top w:val="none" w:sz="0" w:space="0" w:color="auto"/>
            <w:left w:val="none" w:sz="0" w:space="0" w:color="auto"/>
            <w:bottom w:val="none" w:sz="0" w:space="0" w:color="auto"/>
            <w:right w:val="none" w:sz="0" w:space="0" w:color="auto"/>
          </w:divBdr>
        </w:div>
        <w:div w:id="2104764555">
          <w:marLeft w:val="0"/>
          <w:marRight w:val="0"/>
          <w:marTop w:val="0"/>
          <w:marBottom w:val="0"/>
          <w:divBdr>
            <w:top w:val="none" w:sz="0" w:space="0" w:color="auto"/>
            <w:left w:val="none" w:sz="0" w:space="0" w:color="auto"/>
            <w:bottom w:val="none" w:sz="0" w:space="0" w:color="auto"/>
            <w:right w:val="none" w:sz="0" w:space="0" w:color="auto"/>
          </w:divBdr>
        </w:div>
        <w:div w:id="2104764572">
          <w:marLeft w:val="0"/>
          <w:marRight w:val="0"/>
          <w:marTop w:val="0"/>
          <w:marBottom w:val="0"/>
          <w:divBdr>
            <w:top w:val="none" w:sz="0" w:space="0" w:color="auto"/>
            <w:left w:val="none" w:sz="0" w:space="0" w:color="auto"/>
            <w:bottom w:val="none" w:sz="0" w:space="0" w:color="auto"/>
            <w:right w:val="none" w:sz="0" w:space="0" w:color="auto"/>
          </w:divBdr>
        </w:div>
        <w:div w:id="2104764573">
          <w:marLeft w:val="0"/>
          <w:marRight w:val="0"/>
          <w:marTop w:val="0"/>
          <w:marBottom w:val="0"/>
          <w:divBdr>
            <w:top w:val="none" w:sz="0" w:space="0" w:color="auto"/>
            <w:left w:val="none" w:sz="0" w:space="0" w:color="auto"/>
            <w:bottom w:val="none" w:sz="0" w:space="0" w:color="auto"/>
            <w:right w:val="none" w:sz="0" w:space="0" w:color="auto"/>
          </w:divBdr>
        </w:div>
        <w:div w:id="2104764583">
          <w:marLeft w:val="0"/>
          <w:marRight w:val="0"/>
          <w:marTop w:val="0"/>
          <w:marBottom w:val="0"/>
          <w:divBdr>
            <w:top w:val="none" w:sz="0" w:space="0" w:color="auto"/>
            <w:left w:val="none" w:sz="0" w:space="0" w:color="auto"/>
            <w:bottom w:val="none" w:sz="0" w:space="0" w:color="auto"/>
            <w:right w:val="none" w:sz="0" w:space="0" w:color="auto"/>
          </w:divBdr>
        </w:div>
        <w:div w:id="2104764588">
          <w:marLeft w:val="0"/>
          <w:marRight w:val="0"/>
          <w:marTop w:val="0"/>
          <w:marBottom w:val="0"/>
          <w:divBdr>
            <w:top w:val="none" w:sz="0" w:space="0" w:color="auto"/>
            <w:left w:val="none" w:sz="0" w:space="0" w:color="auto"/>
            <w:bottom w:val="none" w:sz="0" w:space="0" w:color="auto"/>
            <w:right w:val="none" w:sz="0" w:space="0" w:color="auto"/>
          </w:divBdr>
        </w:div>
        <w:div w:id="2104764645">
          <w:marLeft w:val="0"/>
          <w:marRight w:val="0"/>
          <w:marTop w:val="0"/>
          <w:marBottom w:val="0"/>
          <w:divBdr>
            <w:top w:val="none" w:sz="0" w:space="0" w:color="auto"/>
            <w:left w:val="none" w:sz="0" w:space="0" w:color="auto"/>
            <w:bottom w:val="none" w:sz="0" w:space="0" w:color="auto"/>
            <w:right w:val="none" w:sz="0" w:space="0" w:color="auto"/>
          </w:divBdr>
        </w:div>
        <w:div w:id="2104764647">
          <w:marLeft w:val="0"/>
          <w:marRight w:val="0"/>
          <w:marTop w:val="0"/>
          <w:marBottom w:val="0"/>
          <w:divBdr>
            <w:top w:val="none" w:sz="0" w:space="0" w:color="auto"/>
            <w:left w:val="none" w:sz="0" w:space="0" w:color="auto"/>
            <w:bottom w:val="none" w:sz="0" w:space="0" w:color="auto"/>
            <w:right w:val="none" w:sz="0" w:space="0" w:color="auto"/>
          </w:divBdr>
        </w:div>
        <w:div w:id="2104764693">
          <w:marLeft w:val="0"/>
          <w:marRight w:val="0"/>
          <w:marTop w:val="0"/>
          <w:marBottom w:val="0"/>
          <w:divBdr>
            <w:top w:val="none" w:sz="0" w:space="0" w:color="auto"/>
            <w:left w:val="none" w:sz="0" w:space="0" w:color="auto"/>
            <w:bottom w:val="none" w:sz="0" w:space="0" w:color="auto"/>
            <w:right w:val="none" w:sz="0" w:space="0" w:color="auto"/>
          </w:divBdr>
        </w:div>
        <w:div w:id="2104764712">
          <w:marLeft w:val="0"/>
          <w:marRight w:val="0"/>
          <w:marTop w:val="0"/>
          <w:marBottom w:val="0"/>
          <w:divBdr>
            <w:top w:val="none" w:sz="0" w:space="0" w:color="auto"/>
            <w:left w:val="none" w:sz="0" w:space="0" w:color="auto"/>
            <w:bottom w:val="none" w:sz="0" w:space="0" w:color="auto"/>
            <w:right w:val="none" w:sz="0" w:space="0" w:color="auto"/>
          </w:divBdr>
        </w:div>
        <w:div w:id="2104764740">
          <w:marLeft w:val="0"/>
          <w:marRight w:val="0"/>
          <w:marTop w:val="0"/>
          <w:marBottom w:val="0"/>
          <w:divBdr>
            <w:top w:val="none" w:sz="0" w:space="0" w:color="auto"/>
            <w:left w:val="none" w:sz="0" w:space="0" w:color="auto"/>
            <w:bottom w:val="none" w:sz="0" w:space="0" w:color="auto"/>
            <w:right w:val="none" w:sz="0" w:space="0" w:color="auto"/>
          </w:divBdr>
        </w:div>
      </w:divsChild>
    </w:div>
    <w:div w:id="2104764557">
      <w:marLeft w:val="390"/>
      <w:marRight w:val="390"/>
      <w:marTop w:val="0"/>
      <w:marBottom w:val="0"/>
      <w:divBdr>
        <w:top w:val="none" w:sz="0" w:space="0" w:color="auto"/>
        <w:left w:val="none" w:sz="0" w:space="0" w:color="auto"/>
        <w:bottom w:val="none" w:sz="0" w:space="0" w:color="auto"/>
        <w:right w:val="none" w:sz="0" w:space="0" w:color="auto"/>
      </w:divBdr>
    </w:div>
    <w:div w:id="2104764563">
      <w:marLeft w:val="390"/>
      <w:marRight w:val="390"/>
      <w:marTop w:val="0"/>
      <w:marBottom w:val="0"/>
      <w:divBdr>
        <w:top w:val="none" w:sz="0" w:space="0" w:color="auto"/>
        <w:left w:val="none" w:sz="0" w:space="0" w:color="auto"/>
        <w:bottom w:val="none" w:sz="0" w:space="0" w:color="auto"/>
        <w:right w:val="none" w:sz="0" w:space="0" w:color="auto"/>
      </w:divBdr>
    </w:div>
    <w:div w:id="2104764571">
      <w:marLeft w:val="390"/>
      <w:marRight w:val="390"/>
      <w:marTop w:val="0"/>
      <w:marBottom w:val="0"/>
      <w:divBdr>
        <w:top w:val="none" w:sz="0" w:space="0" w:color="auto"/>
        <w:left w:val="none" w:sz="0" w:space="0" w:color="auto"/>
        <w:bottom w:val="none" w:sz="0" w:space="0" w:color="auto"/>
        <w:right w:val="none" w:sz="0" w:space="0" w:color="auto"/>
      </w:divBdr>
    </w:div>
    <w:div w:id="2104764574">
      <w:marLeft w:val="390"/>
      <w:marRight w:val="390"/>
      <w:marTop w:val="0"/>
      <w:marBottom w:val="0"/>
      <w:divBdr>
        <w:top w:val="none" w:sz="0" w:space="0" w:color="auto"/>
        <w:left w:val="none" w:sz="0" w:space="0" w:color="auto"/>
        <w:bottom w:val="none" w:sz="0" w:space="0" w:color="auto"/>
        <w:right w:val="none" w:sz="0" w:space="0" w:color="auto"/>
      </w:divBdr>
    </w:div>
    <w:div w:id="2104764580">
      <w:marLeft w:val="0"/>
      <w:marRight w:val="0"/>
      <w:marTop w:val="0"/>
      <w:marBottom w:val="0"/>
      <w:divBdr>
        <w:top w:val="none" w:sz="0" w:space="0" w:color="auto"/>
        <w:left w:val="none" w:sz="0" w:space="0" w:color="auto"/>
        <w:bottom w:val="none" w:sz="0" w:space="0" w:color="auto"/>
        <w:right w:val="none" w:sz="0" w:space="0" w:color="auto"/>
      </w:divBdr>
      <w:divsChild>
        <w:div w:id="2104764303">
          <w:marLeft w:val="0"/>
          <w:marRight w:val="0"/>
          <w:marTop w:val="0"/>
          <w:marBottom w:val="0"/>
          <w:divBdr>
            <w:top w:val="none" w:sz="0" w:space="0" w:color="auto"/>
            <w:left w:val="none" w:sz="0" w:space="0" w:color="auto"/>
            <w:bottom w:val="none" w:sz="0" w:space="0" w:color="auto"/>
            <w:right w:val="none" w:sz="0" w:space="0" w:color="auto"/>
          </w:divBdr>
        </w:div>
        <w:div w:id="2104764428">
          <w:marLeft w:val="0"/>
          <w:marRight w:val="0"/>
          <w:marTop w:val="0"/>
          <w:marBottom w:val="0"/>
          <w:divBdr>
            <w:top w:val="none" w:sz="0" w:space="0" w:color="auto"/>
            <w:left w:val="none" w:sz="0" w:space="0" w:color="auto"/>
            <w:bottom w:val="none" w:sz="0" w:space="0" w:color="auto"/>
            <w:right w:val="none" w:sz="0" w:space="0" w:color="auto"/>
          </w:divBdr>
        </w:div>
        <w:div w:id="2104764490">
          <w:marLeft w:val="0"/>
          <w:marRight w:val="0"/>
          <w:marTop w:val="0"/>
          <w:marBottom w:val="0"/>
          <w:divBdr>
            <w:top w:val="none" w:sz="0" w:space="0" w:color="auto"/>
            <w:left w:val="none" w:sz="0" w:space="0" w:color="auto"/>
            <w:bottom w:val="none" w:sz="0" w:space="0" w:color="auto"/>
            <w:right w:val="none" w:sz="0" w:space="0" w:color="auto"/>
          </w:divBdr>
        </w:div>
        <w:div w:id="2104764514">
          <w:marLeft w:val="0"/>
          <w:marRight w:val="0"/>
          <w:marTop w:val="0"/>
          <w:marBottom w:val="0"/>
          <w:divBdr>
            <w:top w:val="none" w:sz="0" w:space="0" w:color="auto"/>
            <w:left w:val="none" w:sz="0" w:space="0" w:color="auto"/>
            <w:bottom w:val="none" w:sz="0" w:space="0" w:color="auto"/>
            <w:right w:val="none" w:sz="0" w:space="0" w:color="auto"/>
          </w:divBdr>
        </w:div>
        <w:div w:id="2104764522">
          <w:marLeft w:val="0"/>
          <w:marRight w:val="0"/>
          <w:marTop w:val="0"/>
          <w:marBottom w:val="0"/>
          <w:divBdr>
            <w:top w:val="none" w:sz="0" w:space="0" w:color="auto"/>
            <w:left w:val="none" w:sz="0" w:space="0" w:color="auto"/>
            <w:bottom w:val="none" w:sz="0" w:space="0" w:color="auto"/>
            <w:right w:val="none" w:sz="0" w:space="0" w:color="auto"/>
          </w:divBdr>
        </w:div>
      </w:divsChild>
    </w:div>
    <w:div w:id="2104764582">
      <w:marLeft w:val="390"/>
      <w:marRight w:val="390"/>
      <w:marTop w:val="0"/>
      <w:marBottom w:val="0"/>
      <w:divBdr>
        <w:top w:val="none" w:sz="0" w:space="0" w:color="auto"/>
        <w:left w:val="none" w:sz="0" w:space="0" w:color="auto"/>
        <w:bottom w:val="none" w:sz="0" w:space="0" w:color="auto"/>
        <w:right w:val="none" w:sz="0" w:space="0" w:color="auto"/>
      </w:divBdr>
    </w:div>
    <w:div w:id="2104764586">
      <w:marLeft w:val="390"/>
      <w:marRight w:val="390"/>
      <w:marTop w:val="0"/>
      <w:marBottom w:val="0"/>
      <w:divBdr>
        <w:top w:val="none" w:sz="0" w:space="0" w:color="auto"/>
        <w:left w:val="none" w:sz="0" w:space="0" w:color="auto"/>
        <w:bottom w:val="none" w:sz="0" w:space="0" w:color="auto"/>
        <w:right w:val="none" w:sz="0" w:space="0" w:color="auto"/>
      </w:divBdr>
    </w:div>
    <w:div w:id="2104764587">
      <w:marLeft w:val="390"/>
      <w:marRight w:val="390"/>
      <w:marTop w:val="0"/>
      <w:marBottom w:val="0"/>
      <w:divBdr>
        <w:top w:val="none" w:sz="0" w:space="0" w:color="auto"/>
        <w:left w:val="none" w:sz="0" w:space="0" w:color="auto"/>
        <w:bottom w:val="none" w:sz="0" w:space="0" w:color="auto"/>
        <w:right w:val="none" w:sz="0" w:space="0" w:color="auto"/>
      </w:divBdr>
      <w:divsChild>
        <w:div w:id="2104764660">
          <w:marLeft w:val="810"/>
          <w:marRight w:val="810"/>
          <w:marTop w:val="360"/>
          <w:marBottom w:val="0"/>
          <w:divBdr>
            <w:top w:val="none" w:sz="0" w:space="0" w:color="auto"/>
            <w:left w:val="none" w:sz="0" w:space="0" w:color="auto"/>
            <w:bottom w:val="none" w:sz="0" w:space="0" w:color="auto"/>
            <w:right w:val="none" w:sz="0" w:space="0" w:color="auto"/>
          </w:divBdr>
          <w:divsChild>
            <w:div w:id="2104764591">
              <w:marLeft w:val="4005"/>
              <w:marRight w:val="810"/>
              <w:marTop w:val="0"/>
              <w:marBottom w:val="0"/>
              <w:divBdr>
                <w:top w:val="none" w:sz="0" w:space="0" w:color="auto"/>
                <w:left w:val="none" w:sz="0" w:space="0" w:color="auto"/>
                <w:bottom w:val="none" w:sz="0" w:space="0" w:color="auto"/>
                <w:right w:val="none" w:sz="0" w:space="0" w:color="auto"/>
              </w:divBdr>
            </w:div>
            <w:div w:id="2104764690">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2104764593">
      <w:marLeft w:val="390"/>
      <w:marRight w:val="390"/>
      <w:marTop w:val="0"/>
      <w:marBottom w:val="0"/>
      <w:divBdr>
        <w:top w:val="none" w:sz="0" w:space="0" w:color="auto"/>
        <w:left w:val="none" w:sz="0" w:space="0" w:color="auto"/>
        <w:bottom w:val="none" w:sz="0" w:space="0" w:color="auto"/>
        <w:right w:val="none" w:sz="0" w:space="0" w:color="auto"/>
      </w:divBdr>
    </w:div>
    <w:div w:id="2104764598">
      <w:marLeft w:val="0"/>
      <w:marRight w:val="0"/>
      <w:marTop w:val="0"/>
      <w:marBottom w:val="0"/>
      <w:divBdr>
        <w:top w:val="none" w:sz="0" w:space="0" w:color="auto"/>
        <w:left w:val="none" w:sz="0" w:space="0" w:color="auto"/>
        <w:bottom w:val="none" w:sz="0" w:space="0" w:color="auto"/>
        <w:right w:val="none" w:sz="0" w:space="0" w:color="auto"/>
      </w:divBdr>
      <w:divsChild>
        <w:div w:id="2104764377">
          <w:marLeft w:val="0"/>
          <w:marRight w:val="0"/>
          <w:marTop w:val="0"/>
          <w:marBottom w:val="0"/>
          <w:divBdr>
            <w:top w:val="none" w:sz="0" w:space="0" w:color="auto"/>
            <w:left w:val="none" w:sz="0" w:space="0" w:color="auto"/>
            <w:bottom w:val="none" w:sz="0" w:space="0" w:color="auto"/>
            <w:right w:val="none" w:sz="0" w:space="0" w:color="auto"/>
          </w:divBdr>
        </w:div>
        <w:div w:id="2104764497">
          <w:marLeft w:val="0"/>
          <w:marRight w:val="0"/>
          <w:marTop w:val="0"/>
          <w:marBottom w:val="0"/>
          <w:divBdr>
            <w:top w:val="none" w:sz="0" w:space="0" w:color="auto"/>
            <w:left w:val="none" w:sz="0" w:space="0" w:color="auto"/>
            <w:bottom w:val="none" w:sz="0" w:space="0" w:color="auto"/>
            <w:right w:val="none" w:sz="0" w:space="0" w:color="auto"/>
          </w:divBdr>
        </w:div>
        <w:div w:id="2104764529">
          <w:marLeft w:val="0"/>
          <w:marRight w:val="0"/>
          <w:marTop w:val="0"/>
          <w:marBottom w:val="0"/>
          <w:divBdr>
            <w:top w:val="none" w:sz="0" w:space="0" w:color="auto"/>
            <w:left w:val="none" w:sz="0" w:space="0" w:color="auto"/>
            <w:bottom w:val="none" w:sz="0" w:space="0" w:color="auto"/>
            <w:right w:val="none" w:sz="0" w:space="0" w:color="auto"/>
          </w:divBdr>
        </w:div>
        <w:div w:id="2104764664">
          <w:marLeft w:val="0"/>
          <w:marRight w:val="0"/>
          <w:marTop w:val="0"/>
          <w:marBottom w:val="0"/>
          <w:divBdr>
            <w:top w:val="none" w:sz="0" w:space="0" w:color="auto"/>
            <w:left w:val="none" w:sz="0" w:space="0" w:color="auto"/>
            <w:bottom w:val="none" w:sz="0" w:space="0" w:color="auto"/>
            <w:right w:val="none" w:sz="0" w:space="0" w:color="auto"/>
          </w:divBdr>
        </w:div>
        <w:div w:id="2104764695">
          <w:marLeft w:val="0"/>
          <w:marRight w:val="0"/>
          <w:marTop w:val="0"/>
          <w:marBottom w:val="0"/>
          <w:divBdr>
            <w:top w:val="none" w:sz="0" w:space="0" w:color="auto"/>
            <w:left w:val="none" w:sz="0" w:space="0" w:color="auto"/>
            <w:bottom w:val="none" w:sz="0" w:space="0" w:color="auto"/>
            <w:right w:val="none" w:sz="0" w:space="0" w:color="auto"/>
          </w:divBdr>
        </w:div>
      </w:divsChild>
    </w:div>
    <w:div w:id="2104764599">
      <w:marLeft w:val="390"/>
      <w:marRight w:val="390"/>
      <w:marTop w:val="0"/>
      <w:marBottom w:val="0"/>
      <w:divBdr>
        <w:top w:val="none" w:sz="0" w:space="0" w:color="auto"/>
        <w:left w:val="none" w:sz="0" w:space="0" w:color="auto"/>
        <w:bottom w:val="none" w:sz="0" w:space="0" w:color="auto"/>
        <w:right w:val="none" w:sz="0" w:space="0" w:color="auto"/>
      </w:divBdr>
    </w:div>
    <w:div w:id="2104764601">
      <w:marLeft w:val="390"/>
      <w:marRight w:val="390"/>
      <w:marTop w:val="0"/>
      <w:marBottom w:val="0"/>
      <w:divBdr>
        <w:top w:val="none" w:sz="0" w:space="0" w:color="auto"/>
        <w:left w:val="none" w:sz="0" w:space="0" w:color="auto"/>
        <w:bottom w:val="none" w:sz="0" w:space="0" w:color="auto"/>
        <w:right w:val="none" w:sz="0" w:space="0" w:color="auto"/>
      </w:divBdr>
    </w:div>
    <w:div w:id="2104764612">
      <w:marLeft w:val="390"/>
      <w:marRight w:val="390"/>
      <w:marTop w:val="0"/>
      <w:marBottom w:val="0"/>
      <w:divBdr>
        <w:top w:val="none" w:sz="0" w:space="0" w:color="auto"/>
        <w:left w:val="none" w:sz="0" w:space="0" w:color="auto"/>
        <w:bottom w:val="none" w:sz="0" w:space="0" w:color="auto"/>
        <w:right w:val="none" w:sz="0" w:space="0" w:color="auto"/>
      </w:divBdr>
    </w:div>
    <w:div w:id="2104764617">
      <w:marLeft w:val="0"/>
      <w:marRight w:val="0"/>
      <w:marTop w:val="0"/>
      <w:marBottom w:val="0"/>
      <w:divBdr>
        <w:top w:val="none" w:sz="0" w:space="0" w:color="auto"/>
        <w:left w:val="none" w:sz="0" w:space="0" w:color="auto"/>
        <w:bottom w:val="none" w:sz="0" w:space="0" w:color="auto"/>
        <w:right w:val="none" w:sz="0" w:space="0" w:color="auto"/>
      </w:divBdr>
      <w:divsChild>
        <w:div w:id="2104764319">
          <w:marLeft w:val="0"/>
          <w:marRight w:val="0"/>
          <w:marTop w:val="0"/>
          <w:marBottom w:val="0"/>
          <w:divBdr>
            <w:top w:val="none" w:sz="0" w:space="0" w:color="auto"/>
            <w:left w:val="none" w:sz="0" w:space="0" w:color="auto"/>
            <w:bottom w:val="none" w:sz="0" w:space="0" w:color="auto"/>
            <w:right w:val="none" w:sz="0" w:space="0" w:color="auto"/>
          </w:divBdr>
        </w:div>
        <w:div w:id="2104764384">
          <w:marLeft w:val="0"/>
          <w:marRight w:val="0"/>
          <w:marTop w:val="0"/>
          <w:marBottom w:val="0"/>
          <w:divBdr>
            <w:top w:val="none" w:sz="0" w:space="0" w:color="auto"/>
            <w:left w:val="none" w:sz="0" w:space="0" w:color="auto"/>
            <w:bottom w:val="none" w:sz="0" w:space="0" w:color="auto"/>
            <w:right w:val="none" w:sz="0" w:space="0" w:color="auto"/>
          </w:divBdr>
        </w:div>
        <w:div w:id="2104764406">
          <w:marLeft w:val="0"/>
          <w:marRight w:val="0"/>
          <w:marTop w:val="0"/>
          <w:marBottom w:val="0"/>
          <w:divBdr>
            <w:top w:val="none" w:sz="0" w:space="0" w:color="auto"/>
            <w:left w:val="none" w:sz="0" w:space="0" w:color="auto"/>
            <w:bottom w:val="none" w:sz="0" w:space="0" w:color="auto"/>
            <w:right w:val="none" w:sz="0" w:space="0" w:color="auto"/>
          </w:divBdr>
        </w:div>
        <w:div w:id="2104764412">
          <w:marLeft w:val="0"/>
          <w:marRight w:val="0"/>
          <w:marTop w:val="0"/>
          <w:marBottom w:val="0"/>
          <w:divBdr>
            <w:top w:val="none" w:sz="0" w:space="0" w:color="auto"/>
            <w:left w:val="none" w:sz="0" w:space="0" w:color="auto"/>
            <w:bottom w:val="none" w:sz="0" w:space="0" w:color="auto"/>
            <w:right w:val="none" w:sz="0" w:space="0" w:color="auto"/>
          </w:divBdr>
        </w:div>
        <w:div w:id="2104764422">
          <w:marLeft w:val="0"/>
          <w:marRight w:val="0"/>
          <w:marTop w:val="0"/>
          <w:marBottom w:val="0"/>
          <w:divBdr>
            <w:top w:val="none" w:sz="0" w:space="0" w:color="auto"/>
            <w:left w:val="none" w:sz="0" w:space="0" w:color="auto"/>
            <w:bottom w:val="none" w:sz="0" w:space="0" w:color="auto"/>
            <w:right w:val="none" w:sz="0" w:space="0" w:color="auto"/>
          </w:divBdr>
        </w:div>
        <w:div w:id="2104764445">
          <w:marLeft w:val="0"/>
          <w:marRight w:val="0"/>
          <w:marTop w:val="0"/>
          <w:marBottom w:val="0"/>
          <w:divBdr>
            <w:top w:val="none" w:sz="0" w:space="0" w:color="auto"/>
            <w:left w:val="none" w:sz="0" w:space="0" w:color="auto"/>
            <w:bottom w:val="none" w:sz="0" w:space="0" w:color="auto"/>
            <w:right w:val="none" w:sz="0" w:space="0" w:color="auto"/>
          </w:divBdr>
        </w:div>
        <w:div w:id="2104764502">
          <w:marLeft w:val="0"/>
          <w:marRight w:val="0"/>
          <w:marTop w:val="0"/>
          <w:marBottom w:val="0"/>
          <w:divBdr>
            <w:top w:val="none" w:sz="0" w:space="0" w:color="auto"/>
            <w:left w:val="none" w:sz="0" w:space="0" w:color="auto"/>
            <w:bottom w:val="none" w:sz="0" w:space="0" w:color="auto"/>
            <w:right w:val="none" w:sz="0" w:space="0" w:color="auto"/>
          </w:divBdr>
        </w:div>
        <w:div w:id="2104764674">
          <w:marLeft w:val="0"/>
          <w:marRight w:val="0"/>
          <w:marTop w:val="0"/>
          <w:marBottom w:val="0"/>
          <w:divBdr>
            <w:top w:val="none" w:sz="0" w:space="0" w:color="auto"/>
            <w:left w:val="none" w:sz="0" w:space="0" w:color="auto"/>
            <w:bottom w:val="none" w:sz="0" w:space="0" w:color="auto"/>
            <w:right w:val="none" w:sz="0" w:space="0" w:color="auto"/>
          </w:divBdr>
        </w:div>
        <w:div w:id="2104764696">
          <w:marLeft w:val="0"/>
          <w:marRight w:val="0"/>
          <w:marTop w:val="0"/>
          <w:marBottom w:val="0"/>
          <w:divBdr>
            <w:top w:val="none" w:sz="0" w:space="0" w:color="auto"/>
            <w:left w:val="none" w:sz="0" w:space="0" w:color="auto"/>
            <w:bottom w:val="none" w:sz="0" w:space="0" w:color="auto"/>
            <w:right w:val="none" w:sz="0" w:space="0" w:color="auto"/>
          </w:divBdr>
        </w:div>
        <w:div w:id="2104764734">
          <w:marLeft w:val="0"/>
          <w:marRight w:val="0"/>
          <w:marTop w:val="0"/>
          <w:marBottom w:val="0"/>
          <w:divBdr>
            <w:top w:val="none" w:sz="0" w:space="0" w:color="auto"/>
            <w:left w:val="none" w:sz="0" w:space="0" w:color="auto"/>
            <w:bottom w:val="none" w:sz="0" w:space="0" w:color="auto"/>
            <w:right w:val="none" w:sz="0" w:space="0" w:color="auto"/>
          </w:divBdr>
        </w:div>
      </w:divsChild>
    </w:div>
    <w:div w:id="2104764619">
      <w:marLeft w:val="390"/>
      <w:marRight w:val="390"/>
      <w:marTop w:val="0"/>
      <w:marBottom w:val="0"/>
      <w:divBdr>
        <w:top w:val="none" w:sz="0" w:space="0" w:color="auto"/>
        <w:left w:val="none" w:sz="0" w:space="0" w:color="auto"/>
        <w:bottom w:val="none" w:sz="0" w:space="0" w:color="auto"/>
        <w:right w:val="none" w:sz="0" w:space="0" w:color="auto"/>
      </w:divBdr>
    </w:div>
    <w:div w:id="2104764627">
      <w:marLeft w:val="390"/>
      <w:marRight w:val="390"/>
      <w:marTop w:val="0"/>
      <w:marBottom w:val="0"/>
      <w:divBdr>
        <w:top w:val="none" w:sz="0" w:space="0" w:color="auto"/>
        <w:left w:val="none" w:sz="0" w:space="0" w:color="auto"/>
        <w:bottom w:val="none" w:sz="0" w:space="0" w:color="auto"/>
        <w:right w:val="none" w:sz="0" w:space="0" w:color="auto"/>
      </w:divBdr>
    </w:div>
    <w:div w:id="2104764643">
      <w:marLeft w:val="390"/>
      <w:marRight w:val="390"/>
      <w:marTop w:val="0"/>
      <w:marBottom w:val="0"/>
      <w:divBdr>
        <w:top w:val="none" w:sz="0" w:space="0" w:color="auto"/>
        <w:left w:val="none" w:sz="0" w:space="0" w:color="auto"/>
        <w:bottom w:val="none" w:sz="0" w:space="0" w:color="auto"/>
        <w:right w:val="none" w:sz="0" w:space="0" w:color="auto"/>
      </w:divBdr>
    </w:div>
    <w:div w:id="2104764666">
      <w:marLeft w:val="390"/>
      <w:marRight w:val="390"/>
      <w:marTop w:val="0"/>
      <w:marBottom w:val="0"/>
      <w:divBdr>
        <w:top w:val="none" w:sz="0" w:space="0" w:color="auto"/>
        <w:left w:val="none" w:sz="0" w:space="0" w:color="auto"/>
        <w:bottom w:val="none" w:sz="0" w:space="0" w:color="auto"/>
        <w:right w:val="none" w:sz="0" w:space="0" w:color="auto"/>
      </w:divBdr>
    </w:div>
    <w:div w:id="2104764680">
      <w:marLeft w:val="390"/>
      <w:marRight w:val="390"/>
      <w:marTop w:val="0"/>
      <w:marBottom w:val="0"/>
      <w:divBdr>
        <w:top w:val="none" w:sz="0" w:space="0" w:color="auto"/>
        <w:left w:val="none" w:sz="0" w:space="0" w:color="auto"/>
        <w:bottom w:val="none" w:sz="0" w:space="0" w:color="auto"/>
        <w:right w:val="none" w:sz="0" w:space="0" w:color="auto"/>
      </w:divBdr>
    </w:div>
    <w:div w:id="2104764689">
      <w:marLeft w:val="390"/>
      <w:marRight w:val="390"/>
      <w:marTop w:val="0"/>
      <w:marBottom w:val="0"/>
      <w:divBdr>
        <w:top w:val="none" w:sz="0" w:space="0" w:color="auto"/>
        <w:left w:val="none" w:sz="0" w:space="0" w:color="auto"/>
        <w:bottom w:val="none" w:sz="0" w:space="0" w:color="auto"/>
        <w:right w:val="none" w:sz="0" w:space="0" w:color="auto"/>
      </w:divBdr>
    </w:div>
    <w:div w:id="2104764706">
      <w:marLeft w:val="0"/>
      <w:marRight w:val="0"/>
      <w:marTop w:val="0"/>
      <w:marBottom w:val="0"/>
      <w:divBdr>
        <w:top w:val="none" w:sz="0" w:space="0" w:color="auto"/>
        <w:left w:val="none" w:sz="0" w:space="0" w:color="auto"/>
        <w:bottom w:val="none" w:sz="0" w:space="0" w:color="auto"/>
        <w:right w:val="none" w:sz="0" w:space="0" w:color="auto"/>
      </w:divBdr>
      <w:divsChild>
        <w:div w:id="2104764386">
          <w:marLeft w:val="0"/>
          <w:marRight w:val="0"/>
          <w:marTop w:val="0"/>
          <w:marBottom w:val="0"/>
          <w:divBdr>
            <w:top w:val="none" w:sz="0" w:space="0" w:color="auto"/>
            <w:left w:val="none" w:sz="0" w:space="0" w:color="auto"/>
            <w:bottom w:val="none" w:sz="0" w:space="0" w:color="auto"/>
            <w:right w:val="none" w:sz="0" w:space="0" w:color="auto"/>
          </w:divBdr>
        </w:div>
        <w:div w:id="2104764488">
          <w:marLeft w:val="0"/>
          <w:marRight w:val="0"/>
          <w:marTop w:val="0"/>
          <w:marBottom w:val="0"/>
          <w:divBdr>
            <w:top w:val="none" w:sz="0" w:space="0" w:color="auto"/>
            <w:left w:val="none" w:sz="0" w:space="0" w:color="auto"/>
            <w:bottom w:val="none" w:sz="0" w:space="0" w:color="auto"/>
            <w:right w:val="none" w:sz="0" w:space="0" w:color="auto"/>
          </w:divBdr>
        </w:div>
        <w:div w:id="2104764504">
          <w:marLeft w:val="0"/>
          <w:marRight w:val="0"/>
          <w:marTop w:val="0"/>
          <w:marBottom w:val="0"/>
          <w:divBdr>
            <w:top w:val="none" w:sz="0" w:space="0" w:color="auto"/>
            <w:left w:val="none" w:sz="0" w:space="0" w:color="auto"/>
            <w:bottom w:val="none" w:sz="0" w:space="0" w:color="auto"/>
            <w:right w:val="none" w:sz="0" w:space="0" w:color="auto"/>
          </w:divBdr>
        </w:div>
        <w:div w:id="2104764592">
          <w:marLeft w:val="0"/>
          <w:marRight w:val="0"/>
          <w:marTop w:val="0"/>
          <w:marBottom w:val="0"/>
          <w:divBdr>
            <w:top w:val="none" w:sz="0" w:space="0" w:color="auto"/>
            <w:left w:val="none" w:sz="0" w:space="0" w:color="auto"/>
            <w:bottom w:val="none" w:sz="0" w:space="0" w:color="auto"/>
            <w:right w:val="none" w:sz="0" w:space="0" w:color="auto"/>
          </w:divBdr>
        </w:div>
        <w:div w:id="2104764663">
          <w:marLeft w:val="0"/>
          <w:marRight w:val="0"/>
          <w:marTop w:val="0"/>
          <w:marBottom w:val="0"/>
          <w:divBdr>
            <w:top w:val="none" w:sz="0" w:space="0" w:color="auto"/>
            <w:left w:val="none" w:sz="0" w:space="0" w:color="auto"/>
            <w:bottom w:val="none" w:sz="0" w:space="0" w:color="auto"/>
            <w:right w:val="none" w:sz="0" w:space="0" w:color="auto"/>
          </w:divBdr>
        </w:div>
      </w:divsChild>
    </w:div>
    <w:div w:id="2104764709">
      <w:marLeft w:val="0"/>
      <w:marRight w:val="0"/>
      <w:marTop w:val="0"/>
      <w:marBottom w:val="0"/>
      <w:divBdr>
        <w:top w:val="none" w:sz="0" w:space="0" w:color="auto"/>
        <w:left w:val="none" w:sz="0" w:space="0" w:color="auto"/>
        <w:bottom w:val="none" w:sz="0" w:space="0" w:color="auto"/>
        <w:right w:val="none" w:sz="0" w:space="0" w:color="auto"/>
      </w:divBdr>
      <w:divsChild>
        <w:div w:id="2104764299">
          <w:marLeft w:val="0"/>
          <w:marRight w:val="0"/>
          <w:marTop w:val="0"/>
          <w:marBottom w:val="0"/>
          <w:divBdr>
            <w:top w:val="none" w:sz="0" w:space="0" w:color="auto"/>
            <w:left w:val="none" w:sz="0" w:space="0" w:color="auto"/>
            <w:bottom w:val="none" w:sz="0" w:space="0" w:color="auto"/>
            <w:right w:val="none" w:sz="0" w:space="0" w:color="auto"/>
          </w:divBdr>
        </w:div>
        <w:div w:id="2104764309">
          <w:marLeft w:val="0"/>
          <w:marRight w:val="0"/>
          <w:marTop w:val="0"/>
          <w:marBottom w:val="0"/>
          <w:divBdr>
            <w:top w:val="none" w:sz="0" w:space="0" w:color="auto"/>
            <w:left w:val="none" w:sz="0" w:space="0" w:color="auto"/>
            <w:bottom w:val="none" w:sz="0" w:space="0" w:color="auto"/>
            <w:right w:val="none" w:sz="0" w:space="0" w:color="auto"/>
          </w:divBdr>
        </w:div>
        <w:div w:id="2104764314">
          <w:marLeft w:val="0"/>
          <w:marRight w:val="0"/>
          <w:marTop w:val="0"/>
          <w:marBottom w:val="0"/>
          <w:divBdr>
            <w:top w:val="none" w:sz="0" w:space="0" w:color="auto"/>
            <w:left w:val="none" w:sz="0" w:space="0" w:color="auto"/>
            <w:bottom w:val="none" w:sz="0" w:space="0" w:color="auto"/>
            <w:right w:val="none" w:sz="0" w:space="0" w:color="auto"/>
          </w:divBdr>
        </w:div>
        <w:div w:id="2104764322">
          <w:marLeft w:val="0"/>
          <w:marRight w:val="0"/>
          <w:marTop w:val="0"/>
          <w:marBottom w:val="0"/>
          <w:divBdr>
            <w:top w:val="none" w:sz="0" w:space="0" w:color="auto"/>
            <w:left w:val="none" w:sz="0" w:space="0" w:color="auto"/>
            <w:bottom w:val="none" w:sz="0" w:space="0" w:color="auto"/>
            <w:right w:val="none" w:sz="0" w:space="0" w:color="auto"/>
          </w:divBdr>
        </w:div>
        <w:div w:id="2104764343">
          <w:marLeft w:val="0"/>
          <w:marRight w:val="0"/>
          <w:marTop w:val="0"/>
          <w:marBottom w:val="0"/>
          <w:divBdr>
            <w:top w:val="none" w:sz="0" w:space="0" w:color="auto"/>
            <w:left w:val="none" w:sz="0" w:space="0" w:color="auto"/>
            <w:bottom w:val="none" w:sz="0" w:space="0" w:color="auto"/>
            <w:right w:val="none" w:sz="0" w:space="0" w:color="auto"/>
          </w:divBdr>
        </w:div>
        <w:div w:id="2104764415">
          <w:marLeft w:val="0"/>
          <w:marRight w:val="0"/>
          <w:marTop w:val="0"/>
          <w:marBottom w:val="0"/>
          <w:divBdr>
            <w:top w:val="none" w:sz="0" w:space="0" w:color="auto"/>
            <w:left w:val="none" w:sz="0" w:space="0" w:color="auto"/>
            <w:bottom w:val="none" w:sz="0" w:space="0" w:color="auto"/>
            <w:right w:val="none" w:sz="0" w:space="0" w:color="auto"/>
          </w:divBdr>
        </w:div>
        <w:div w:id="2104764433">
          <w:marLeft w:val="0"/>
          <w:marRight w:val="0"/>
          <w:marTop w:val="0"/>
          <w:marBottom w:val="0"/>
          <w:divBdr>
            <w:top w:val="none" w:sz="0" w:space="0" w:color="auto"/>
            <w:left w:val="none" w:sz="0" w:space="0" w:color="auto"/>
            <w:bottom w:val="none" w:sz="0" w:space="0" w:color="auto"/>
            <w:right w:val="none" w:sz="0" w:space="0" w:color="auto"/>
          </w:divBdr>
        </w:div>
        <w:div w:id="2104764492">
          <w:marLeft w:val="0"/>
          <w:marRight w:val="0"/>
          <w:marTop w:val="0"/>
          <w:marBottom w:val="0"/>
          <w:divBdr>
            <w:top w:val="none" w:sz="0" w:space="0" w:color="auto"/>
            <w:left w:val="none" w:sz="0" w:space="0" w:color="auto"/>
            <w:bottom w:val="none" w:sz="0" w:space="0" w:color="auto"/>
            <w:right w:val="none" w:sz="0" w:space="0" w:color="auto"/>
          </w:divBdr>
        </w:div>
        <w:div w:id="2104764493">
          <w:marLeft w:val="0"/>
          <w:marRight w:val="0"/>
          <w:marTop w:val="0"/>
          <w:marBottom w:val="0"/>
          <w:divBdr>
            <w:top w:val="none" w:sz="0" w:space="0" w:color="auto"/>
            <w:left w:val="none" w:sz="0" w:space="0" w:color="auto"/>
            <w:bottom w:val="none" w:sz="0" w:space="0" w:color="auto"/>
            <w:right w:val="none" w:sz="0" w:space="0" w:color="auto"/>
          </w:divBdr>
        </w:div>
        <w:div w:id="2104764585">
          <w:marLeft w:val="0"/>
          <w:marRight w:val="0"/>
          <w:marTop w:val="0"/>
          <w:marBottom w:val="0"/>
          <w:divBdr>
            <w:top w:val="none" w:sz="0" w:space="0" w:color="auto"/>
            <w:left w:val="none" w:sz="0" w:space="0" w:color="auto"/>
            <w:bottom w:val="none" w:sz="0" w:space="0" w:color="auto"/>
            <w:right w:val="none" w:sz="0" w:space="0" w:color="auto"/>
          </w:divBdr>
        </w:div>
        <w:div w:id="2104764597">
          <w:marLeft w:val="0"/>
          <w:marRight w:val="0"/>
          <w:marTop w:val="0"/>
          <w:marBottom w:val="0"/>
          <w:divBdr>
            <w:top w:val="none" w:sz="0" w:space="0" w:color="auto"/>
            <w:left w:val="none" w:sz="0" w:space="0" w:color="auto"/>
            <w:bottom w:val="none" w:sz="0" w:space="0" w:color="auto"/>
            <w:right w:val="none" w:sz="0" w:space="0" w:color="auto"/>
          </w:divBdr>
        </w:div>
        <w:div w:id="2104764711">
          <w:marLeft w:val="0"/>
          <w:marRight w:val="0"/>
          <w:marTop w:val="0"/>
          <w:marBottom w:val="0"/>
          <w:divBdr>
            <w:top w:val="none" w:sz="0" w:space="0" w:color="auto"/>
            <w:left w:val="none" w:sz="0" w:space="0" w:color="auto"/>
            <w:bottom w:val="none" w:sz="0" w:space="0" w:color="auto"/>
            <w:right w:val="none" w:sz="0" w:space="0" w:color="auto"/>
          </w:divBdr>
        </w:div>
      </w:divsChild>
    </w:div>
    <w:div w:id="2104764715">
      <w:marLeft w:val="0"/>
      <w:marRight w:val="0"/>
      <w:marTop w:val="0"/>
      <w:marBottom w:val="0"/>
      <w:divBdr>
        <w:top w:val="none" w:sz="0" w:space="0" w:color="auto"/>
        <w:left w:val="none" w:sz="0" w:space="0" w:color="auto"/>
        <w:bottom w:val="none" w:sz="0" w:space="0" w:color="auto"/>
        <w:right w:val="none" w:sz="0" w:space="0" w:color="auto"/>
      </w:divBdr>
      <w:divsChild>
        <w:div w:id="2104764317">
          <w:marLeft w:val="0"/>
          <w:marRight w:val="0"/>
          <w:marTop w:val="0"/>
          <w:marBottom w:val="0"/>
          <w:divBdr>
            <w:top w:val="none" w:sz="0" w:space="0" w:color="auto"/>
            <w:left w:val="none" w:sz="0" w:space="0" w:color="auto"/>
            <w:bottom w:val="none" w:sz="0" w:space="0" w:color="auto"/>
            <w:right w:val="none" w:sz="0" w:space="0" w:color="auto"/>
          </w:divBdr>
        </w:div>
        <w:div w:id="2104764419">
          <w:marLeft w:val="0"/>
          <w:marRight w:val="0"/>
          <w:marTop w:val="0"/>
          <w:marBottom w:val="0"/>
          <w:divBdr>
            <w:top w:val="none" w:sz="0" w:space="0" w:color="auto"/>
            <w:left w:val="none" w:sz="0" w:space="0" w:color="auto"/>
            <w:bottom w:val="none" w:sz="0" w:space="0" w:color="auto"/>
            <w:right w:val="none" w:sz="0" w:space="0" w:color="auto"/>
          </w:divBdr>
        </w:div>
        <w:div w:id="2104764424">
          <w:marLeft w:val="0"/>
          <w:marRight w:val="0"/>
          <w:marTop w:val="0"/>
          <w:marBottom w:val="0"/>
          <w:divBdr>
            <w:top w:val="none" w:sz="0" w:space="0" w:color="auto"/>
            <w:left w:val="none" w:sz="0" w:space="0" w:color="auto"/>
            <w:bottom w:val="none" w:sz="0" w:space="0" w:color="auto"/>
            <w:right w:val="none" w:sz="0" w:space="0" w:color="auto"/>
          </w:divBdr>
        </w:div>
        <w:div w:id="2104764509">
          <w:marLeft w:val="0"/>
          <w:marRight w:val="0"/>
          <w:marTop w:val="0"/>
          <w:marBottom w:val="0"/>
          <w:divBdr>
            <w:top w:val="none" w:sz="0" w:space="0" w:color="auto"/>
            <w:left w:val="none" w:sz="0" w:space="0" w:color="auto"/>
            <w:bottom w:val="none" w:sz="0" w:space="0" w:color="auto"/>
            <w:right w:val="none" w:sz="0" w:space="0" w:color="auto"/>
          </w:divBdr>
        </w:div>
        <w:div w:id="2104764584">
          <w:marLeft w:val="0"/>
          <w:marRight w:val="0"/>
          <w:marTop w:val="0"/>
          <w:marBottom w:val="0"/>
          <w:divBdr>
            <w:top w:val="none" w:sz="0" w:space="0" w:color="auto"/>
            <w:left w:val="none" w:sz="0" w:space="0" w:color="auto"/>
            <w:bottom w:val="none" w:sz="0" w:space="0" w:color="auto"/>
            <w:right w:val="none" w:sz="0" w:space="0" w:color="auto"/>
          </w:divBdr>
        </w:div>
        <w:div w:id="2104764639">
          <w:marLeft w:val="0"/>
          <w:marRight w:val="0"/>
          <w:marTop w:val="0"/>
          <w:marBottom w:val="0"/>
          <w:divBdr>
            <w:top w:val="none" w:sz="0" w:space="0" w:color="auto"/>
            <w:left w:val="none" w:sz="0" w:space="0" w:color="auto"/>
            <w:bottom w:val="none" w:sz="0" w:space="0" w:color="auto"/>
            <w:right w:val="none" w:sz="0" w:space="0" w:color="auto"/>
          </w:divBdr>
        </w:div>
        <w:div w:id="2104764678">
          <w:marLeft w:val="0"/>
          <w:marRight w:val="0"/>
          <w:marTop w:val="0"/>
          <w:marBottom w:val="0"/>
          <w:divBdr>
            <w:top w:val="none" w:sz="0" w:space="0" w:color="auto"/>
            <w:left w:val="none" w:sz="0" w:space="0" w:color="auto"/>
            <w:bottom w:val="none" w:sz="0" w:space="0" w:color="auto"/>
            <w:right w:val="none" w:sz="0" w:space="0" w:color="auto"/>
          </w:divBdr>
        </w:div>
        <w:div w:id="2104764716">
          <w:marLeft w:val="0"/>
          <w:marRight w:val="0"/>
          <w:marTop w:val="0"/>
          <w:marBottom w:val="0"/>
          <w:divBdr>
            <w:top w:val="none" w:sz="0" w:space="0" w:color="auto"/>
            <w:left w:val="none" w:sz="0" w:space="0" w:color="auto"/>
            <w:bottom w:val="none" w:sz="0" w:space="0" w:color="auto"/>
            <w:right w:val="none" w:sz="0" w:space="0" w:color="auto"/>
          </w:divBdr>
        </w:div>
      </w:divsChild>
    </w:div>
    <w:div w:id="2104764721">
      <w:marLeft w:val="390"/>
      <w:marRight w:val="390"/>
      <w:marTop w:val="0"/>
      <w:marBottom w:val="0"/>
      <w:divBdr>
        <w:top w:val="none" w:sz="0" w:space="0" w:color="auto"/>
        <w:left w:val="none" w:sz="0" w:space="0" w:color="auto"/>
        <w:bottom w:val="none" w:sz="0" w:space="0" w:color="auto"/>
        <w:right w:val="none" w:sz="0" w:space="0" w:color="auto"/>
      </w:divBdr>
    </w:div>
    <w:div w:id="2119712133">
      <w:bodyDiv w:val="1"/>
      <w:marLeft w:val="0"/>
      <w:marRight w:val="0"/>
      <w:marTop w:val="0"/>
      <w:marBottom w:val="0"/>
      <w:divBdr>
        <w:top w:val="none" w:sz="0" w:space="0" w:color="auto"/>
        <w:left w:val="none" w:sz="0" w:space="0" w:color="auto"/>
        <w:bottom w:val="none" w:sz="0" w:space="0" w:color="auto"/>
        <w:right w:val="none" w:sz="0" w:space="0" w:color="auto"/>
      </w:divBdr>
    </w:div>
    <w:div w:id="212757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SK/TXT/HTML/?uri=CELEX:32015L2193&amp;rid=1" TargetMode="External"/><Relationship Id="rId13" Type="http://schemas.openxmlformats.org/officeDocument/2006/relationships/hyperlink" Target="https://www.slov-lex.sk/pravne-predpisy/SK/ZZ/2012/410/20161001" TargetMode="External"/><Relationship Id="rId18" Type="http://schemas.openxmlformats.org/officeDocument/2006/relationships/hyperlink" Target="https://www.slov-lex.sk/pravne-predpisy/SK/ZZ/2012/410/20161001" TargetMode="Externa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https://www.slov-lex.sk/pravne-predpisy/SK/ZZ/2013/231/20130901" TargetMode="External"/><Relationship Id="rId7" Type="http://schemas.openxmlformats.org/officeDocument/2006/relationships/hyperlink" Target="http://eur-lex.europa.eu/legal-content/SK/TXT/HTML/?uri=CELEX:32015L2193&amp;rid=1" TargetMode="External"/><Relationship Id="rId12" Type="http://schemas.openxmlformats.org/officeDocument/2006/relationships/hyperlink" Target="https://www.slov-lex.sk/pravne-predpisy/SK/ZZ/2012/410/20161001" TargetMode="External"/><Relationship Id="rId17" Type="http://schemas.openxmlformats.org/officeDocument/2006/relationships/hyperlink" Target="https://www.slov-lex.sk/pravne-predpisy/SK/ZZ/2010/137/20160101" TargetMode="External"/><Relationship Id="rId25"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s://www.slov-lex.sk/pravne-predpisy/SK/ZZ/2010/137/20160101" TargetMode="External"/><Relationship Id="rId20" Type="http://schemas.openxmlformats.org/officeDocument/2006/relationships/hyperlink" Target="https://www.slov-lex.sk/pravne-predpisy/SK/ZZ/2013/231/20130901" TargetMode="External"/><Relationship Id="rId29" Type="http://schemas.openxmlformats.org/officeDocument/2006/relationships/hyperlink" Target="https://www.slov-lex.sk/pravne-predpisy/SK/ZZ/2012/410/20161001" TargetMode="External"/><Relationship Id="rId1" Type="http://schemas.openxmlformats.org/officeDocument/2006/relationships/customXml" Target="../customXml/item1.xml"/><Relationship Id="rId6" Type="http://schemas.openxmlformats.org/officeDocument/2006/relationships/hyperlink" Target="http://eur-lex.europa.eu/legal-content/SK/TXT/HTML/?uri=CELEX:32015L2193&amp;rid=1" TargetMode="External"/><Relationship Id="rId11" Type="http://schemas.openxmlformats.org/officeDocument/2006/relationships/hyperlink" Target="https://www.slov-lex.sk/pravne-predpisy/SK/ZZ/2012/410/20161001"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slov-lex.sk/pravne-predpisy/SK/ZZ/2010/137/20160101" TargetMode="External"/><Relationship Id="rId23" Type="http://schemas.openxmlformats.org/officeDocument/2006/relationships/image" Target="media/image1.emf"/><Relationship Id="rId28" Type="http://schemas.openxmlformats.org/officeDocument/2006/relationships/hyperlink" Target="https://www.slov-lex.sk/pravne-predpisy/SK/ZZ/2012/410/20161001" TargetMode="External"/><Relationship Id="rId10" Type="http://schemas.openxmlformats.org/officeDocument/2006/relationships/hyperlink" Target="https://www.slov-lex.sk/pravne-predpisy/SK/ZZ/2012/410/20161001" TargetMode="External"/><Relationship Id="rId19" Type="http://schemas.openxmlformats.org/officeDocument/2006/relationships/hyperlink" Target="https://www.slov-lex.sk/pravne-predpisy/SK/ZZ/2010/13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legal-content/SK/TXT/HTML/?uri=CELEX:32015L2193&amp;rid=1" TargetMode="External"/><Relationship Id="rId14" Type="http://schemas.openxmlformats.org/officeDocument/2006/relationships/hyperlink" Target="https://www.slov-lex.sk/pravne-predpisy/SK/ZZ/2010/137/20160101" TargetMode="External"/><Relationship Id="rId22" Type="http://schemas.openxmlformats.org/officeDocument/2006/relationships/hyperlink" Target="https://www.slov-lex.sk/pravne-predpisy/SK/ZZ/2013/231/20130901" TargetMode="External"/><Relationship Id="rId27" Type="http://schemas.openxmlformats.org/officeDocument/2006/relationships/image" Target="media/image5.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4F48D-9831-4A5A-AC9A-515005277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14135</Words>
  <Characters>80576</Characters>
  <Application>Microsoft Office Word</Application>
  <DocSecurity>0</DocSecurity>
  <Lines>671</Lines>
  <Paragraphs>189</Paragraphs>
  <ScaleCrop>false</ScaleCrop>
  <HeadingPairs>
    <vt:vector size="2" baseType="variant">
      <vt:variant>
        <vt:lpstr>Názov</vt:lpstr>
      </vt:variant>
      <vt:variant>
        <vt:i4>1</vt:i4>
      </vt:variant>
    </vt:vector>
  </HeadingPairs>
  <TitlesOfParts>
    <vt:vector size="1" baseType="lpstr">
      <vt:lpstr>Tabuľka zhody</vt:lpstr>
    </vt:vector>
  </TitlesOfParts>
  <Company>Hewlett-Packard Company</Company>
  <LinksUpToDate>false</LinksUpToDate>
  <CharactersWithSpaces>94522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Sládková Sabina</dc:creator>
  <cp:lastModifiedBy>Široký Vladimír</cp:lastModifiedBy>
  <cp:revision>2</cp:revision>
  <dcterms:created xsi:type="dcterms:W3CDTF">2017-08-03T11:23:00Z</dcterms:created>
  <dcterms:modified xsi:type="dcterms:W3CDTF">2017-08-03T11:23:00Z</dcterms:modified>
</cp:coreProperties>
</file>