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tcPr>
          <w:p w:rsidR="00CE634D" w:rsidRPr="005C4B9C" w:rsidRDefault="00CE634D" w:rsidP="007B71A4">
            <w:pPr>
              <w:jc w:val="center"/>
              <w:rPr>
                <w:b/>
                <w:sz w:val="22"/>
                <w:szCs w:val="22"/>
              </w:rPr>
            </w:pPr>
          </w:p>
        </w:tc>
        <w:tc>
          <w:tcPr>
            <w:tcW w:w="1560" w:type="dxa"/>
          </w:tcPr>
          <w:p w:rsidR="00CE634D" w:rsidRPr="005C4B9C" w:rsidRDefault="00CE634D" w:rsidP="007B71A4">
            <w:pPr>
              <w:jc w:val="center"/>
              <w:rPr>
                <w:b/>
                <w:sz w:val="22"/>
                <w:szCs w:val="22"/>
              </w:rPr>
            </w:pPr>
          </w:p>
        </w:tc>
        <w:tc>
          <w:tcPr>
            <w:tcW w:w="1701" w:type="dxa"/>
            <w:gridSpan w:val="2"/>
          </w:tcPr>
          <w:p w:rsidR="00CE634D" w:rsidRPr="005C4B9C" w:rsidRDefault="00CE634D" w:rsidP="007B71A4">
            <w:pPr>
              <w:jc w:val="both"/>
              <w:rPr>
                <w:b/>
                <w:sz w:val="22"/>
                <w:szCs w:val="22"/>
              </w:rPr>
            </w:pPr>
          </w:p>
        </w:tc>
        <w:tc>
          <w:tcPr>
            <w:tcW w:w="992" w:type="dxa"/>
          </w:tcPr>
          <w:p w:rsidR="00CE634D" w:rsidRPr="005C4B9C" w:rsidRDefault="00CE634D" w:rsidP="007B71A4">
            <w:pPr>
              <w:rPr>
                <w:b/>
                <w:i/>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tc>
        <w:tc>
          <w:tcPr>
            <w:tcW w:w="1162" w:type="dxa"/>
          </w:tcPr>
          <w:p w:rsidR="00CE634D" w:rsidRPr="005C4B9C" w:rsidRDefault="00CE634D" w:rsidP="007B71A4">
            <w:pPr>
              <w:rPr>
                <w:i/>
                <w:iCs/>
                <w:sz w:val="24"/>
                <w:szCs w:val="24"/>
              </w:rPr>
            </w:pPr>
          </w:p>
        </w:tc>
        <w:tc>
          <w:tcPr>
            <w:tcW w:w="1560" w:type="dxa"/>
          </w:tcPr>
          <w:p w:rsidR="00CE634D" w:rsidRPr="005C4B9C" w:rsidRDefault="00CE634D" w:rsidP="007B71A4">
            <w:pPr>
              <w:rPr>
                <w:i/>
                <w:iCs/>
                <w:sz w:val="24"/>
                <w:szCs w:val="24"/>
              </w:rPr>
            </w:pPr>
          </w:p>
        </w:tc>
        <w:tc>
          <w:tcPr>
            <w:tcW w:w="2693" w:type="dxa"/>
            <w:gridSpan w:val="3"/>
          </w:tcPr>
          <w:p w:rsidR="00CE634D" w:rsidRPr="005C4B9C" w:rsidRDefault="00CE634D" w:rsidP="007B71A4">
            <w:pPr>
              <w:rPr>
                <w:i/>
                <w:iCs/>
                <w:sz w:val="24"/>
                <w:szCs w:val="24"/>
              </w:rPr>
            </w:pP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tc>
        <w:tc>
          <w:tcPr>
            <w:tcW w:w="2268" w:type="dxa"/>
            <w:gridSpan w:val="2"/>
          </w:tcPr>
          <w:p w:rsidR="00CE634D" w:rsidRPr="005C4B9C" w:rsidRDefault="00CE634D" w:rsidP="007B71A4">
            <w:pPr>
              <w:rPr>
                <w:i/>
                <w:iCs/>
                <w:sz w:val="24"/>
                <w:szCs w:val="24"/>
              </w:rPr>
            </w:pPr>
          </w:p>
        </w:tc>
        <w:tc>
          <w:tcPr>
            <w:tcW w:w="1985" w:type="dxa"/>
            <w:gridSpan w:val="2"/>
          </w:tcPr>
          <w:p w:rsidR="00CE634D" w:rsidRPr="005C4B9C" w:rsidRDefault="00CE634D" w:rsidP="007B71A4">
            <w:pPr>
              <w:rPr>
                <w:i/>
                <w:iCs/>
                <w:sz w:val="24"/>
                <w:szCs w:val="24"/>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w:t>
      </w:r>
      <w:proofErr w:type="spellStart"/>
      <w:r w:rsidRPr="005C4B9C">
        <w:rPr>
          <w:rFonts w:eastAsia="Calibri"/>
          <w:color w:val="000000"/>
          <w:sz w:val="24"/>
          <w:szCs w:val="24"/>
          <w:lang w:eastAsia="en-US"/>
        </w:rPr>
        <w:t>metainformačného</w:t>
      </w:r>
      <w:proofErr w:type="spellEnd"/>
      <w:r w:rsidRPr="005C4B9C">
        <w:rPr>
          <w:rFonts w:eastAsia="Calibri"/>
          <w:color w:val="000000"/>
          <w:sz w:val="24"/>
          <w:szCs w:val="24"/>
          <w:lang w:eastAsia="en-US"/>
        </w:rPr>
        <w:t xml:space="preserve"> systému verejnej správy (ďalej len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reálne poskytované ale aj plánované služby. Potrebné informácie je možné nájsť na stránke MF SR </w:t>
      </w:r>
      <w:hyperlink r:id="rId8"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w:t>
      </w:r>
      <w:r w:rsidRPr="005C4B9C">
        <w:rPr>
          <w:rFonts w:eastAsia="Calibri"/>
          <w:color w:val="000000"/>
          <w:sz w:val="24"/>
          <w:szCs w:val="24"/>
          <w:lang w:eastAsia="en-US"/>
        </w:rPr>
        <w:lastRenderedPageBreak/>
        <w:t xml:space="preserve">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9"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xml:space="preserve">, označovaná aj ako úroveň </w:t>
      </w:r>
      <w:proofErr w:type="spellStart"/>
      <w:r w:rsidRPr="005C4B9C">
        <w:rPr>
          <w:rFonts w:eastAsia="Calibri"/>
          <w:sz w:val="24"/>
          <w:szCs w:val="24"/>
          <w:lang w:eastAsia="en-US"/>
        </w:rPr>
        <w:t>off-line</w:t>
      </w:r>
      <w:proofErr w:type="spellEnd"/>
      <w:r w:rsidRPr="005C4B9C">
        <w:rPr>
          <w:rFonts w:eastAsia="Calibri"/>
          <w:sz w:val="24"/>
          <w:szCs w:val="24"/>
          <w:lang w:eastAsia="en-US"/>
        </w:rPr>
        <w:t>,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xml:space="preserve">, označovaná aj ako </w:t>
      </w:r>
      <w:proofErr w:type="spellStart"/>
      <w:r w:rsidRPr="005C4B9C">
        <w:rPr>
          <w:rFonts w:eastAsia="Calibri"/>
          <w:sz w:val="24"/>
          <w:szCs w:val="24"/>
          <w:lang w:eastAsia="en-US"/>
        </w:rPr>
        <w:t>proaktívna</w:t>
      </w:r>
      <w:proofErr w:type="spellEnd"/>
      <w:r w:rsidRPr="005C4B9C">
        <w:rPr>
          <w:rFonts w:eastAsia="Calibri"/>
          <w:sz w:val="24"/>
          <w:szCs w:val="24"/>
          <w:lang w:eastAsia="en-US"/>
        </w:rPr>
        <w:t xml:space="preserve"> úroveň, ktorá obsahuje funkčnosť úrovne 3 alebo úrovne 4, a pri ktorej sa </w:t>
      </w:r>
      <w:proofErr w:type="spellStart"/>
      <w:r w:rsidRPr="005C4B9C">
        <w:rPr>
          <w:rFonts w:eastAsia="Calibri"/>
          <w:sz w:val="24"/>
          <w:szCs w:val="24"/>
          <w:lang w:eastAsia="en-US"/>
        </w:rPr>
        <w:t>naviac</w:t>
      </w:r>
      <w:proofErr w:type="spellEnd"/>
      <w:r w:rsidRPr="005C4B9C">
        <w:rPr>
          <w:rFonts w:eastAsia="Calibri"/>
          <w:sz w:val="24"/>
          <w:szCs w:val="24"/>
          <w:lang w:eastAsia="en-US"/>
        </w:rPr>
        <w:t xml:space="preserve"> využívajú </w:t>
      </w:r>
      <w:proofErr w:type="spellStart"/>
      <w:r w:rsidRPr="005C4B9C">
        <w:rPr>
          <w:rFonts w:eastAsia="Calibri"/>
          <w:sz w:val="24"/>
          <w:szCs w:val="24"/>
          <w:lang w:eastAsia="en-US"/>
        </w:rPr>
        <w:t>personalizované</w:t>
      </w:r>
      <w:proofErr w:type="spellEnd"/>
      <w:r w:rsidRPr="005C4B9C">
        <w:rPr>
          <w:rFonts w:eastAsia="Calibri"/>
          <w:sz w:val="24"/>
          <w:szCs w:val="24"/>
          <w:lang w:eastAsia="en-US"/>
        </w:rPr>
        <w:t xml:space="preserve"> nastavenia používateľa a možnosť </w:t>
      </w:r>
      <w:proofErr w:type="spellStart"/>
      <w:r w:rsidRPr="005C4B9C">
        <w:rPr>
          <w:rFonts w:eastAsia="Calibri"/>
          <w:sz w:val="24"/>
          <w:szCs w:val="24"/>
          <w:lang w:eastAsia="en-US"/>
        </w:rPr>
        <w:t>proaktívneho</w:t>
      </w:r>
      <w:proofErr w:type="spellEnd"/>
      <w:r w:rsidRPr="005C4B9C">
        <w:rPr>
          <w:rFonts w:eastAsia="Calibri"/>
          <w:sz w:val="24"/>
          <w:szCs w:val="24"/>
          <w:lang w:eastAsia="en-US"/>
        </w:rPr>
        <w:t xml:space="preserve">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bookmarkStart w:id="0" w:name="_GoBack"/>
      <w:bookmarkEnd w:id="0"/>
      <w:r w:rsidRPr="005C4B9C">
        <w:rPr>
          <w:rFonts w:eastAsia="Calibri"/>
          <w:color w:val="000000"/>
          <w:sz w:val="24"/>
          <w:szCs w:val="24"/>
          <w:lang w:eastAsia="en-US"/>
        </w:rPr>
        <w:t xml:space="preserve">z.) podľa katalógu </w:t>
      </w:r>
      <w:proofErr w:type="spellStart"/>
      <w:r w:rsidRPr="005C4B9C">
        <w:rPr>
          <w:rFonts w:eastAsia="Calibri"/>
          <w:color w:val="000000"/>
          <w:sz w:val="24"/>
          <w:szCs w:val="24"/>
          <w:lang w:eastAsia="en-US"/>
        </w:rPr>
        <w:t>eGovernment</w:t>
      </w:r>
      <w:proofErr w:type="spellEnd"/>
      <w:r w:rsidRPr="005C4B9C">
        <w:rPr>
          <w:rFonts w:eastAsia="Calibri"/>
          <w:color w:val="000000"/>
          <w:sz w:val="24"/>
          <w:szCs w:val="24"/>
          <w:lang w:eastAsia="en-US"/>
        </w:rPr>
        <w:t xml:space="preserve"> služieb, ktorý je vedený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musia byť zaevidované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 xml:space="preserve">(Ak áno, uveďte zmenu služby alebo vytvorenie novej služby, ďalej  jej kód, názov a úroveň elektronizácie podľa katalógu </w:t>
            </w:r>
            <w:proofErr w:type="spellStart"/>
            <w:r w:rsidRPr="005C4B9C">
              <w:rPr>
                <w:i/>
                <w:iCs/>
                <w:sz w:val="22"/>
                <w:szCs w:val="22"/>
              </w:rPr>
              <w:t>eGovernment</w:t>
            </w:r>
            <w:proofErr w:type="spellEnd"/>
            <w:r w:rsidRPr="005C4B9C">
              <w:rPr>
                <w:i/>
                <w:iCs/>
                <w:sz w:val="22"/>
                <w:szCs w:val="22"/>
              </w:rPr>
              <w:t xml:space="preserve"> služieb, ktorý je vedený v centrálnom </w:t>
            </w:r>
            <w:proofErr w:type="spellStart"/>
            <w:r w:rsidRPr="005C4B9C">
              <w:rPr>
                <w:i/>
                <w:iCs/>
                <w:sz w:val="22"/>
                <w:szCs w:val="22"/>
              </w:rPr>
              <w:t>metainformačnom</w:t>
            </w:r>
            <w:proofErr w:type="spellEnd"/>
            <w:r w:rsidRPr="005C4B9C">
              <w:rPr>
                <w:i/>
                <w:iCs/>
                <w:sz w:val="22"/>
                <w:szCs w:val="22"/>
              </w:rPr>
              <w:t xml:space="preserve">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elektronické podanie žiadosti a elektronické vydanie rozhodnutia o zápise zbierky do registra zbierok, z čoho vyplýva plánovaná zmena elektronickej služby na úroveň elektronizácie 4. (Pozn.: Táto plánovaná zmena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 xml:space="preserve">(Ak áno, uveďte zmenu služby alebo vytvorenie novej služby, ďalej  jej kód, názov a úroveň elektronizácie podľa katalógu </w:t>
            </w:r>
            <w:proofErr w:type="spellStart"/>
            <w:r w:rsidRPr="005C4B9C">
              <w:rPr>
                <w:i/>
                <w:iCs/>
                <w:sz w:val="22"/>
                <w:szCs w:val="22"/>
              </w:rPr>
              <w:t>eGovernment</w:t>
            </w:r>
            <w:proofErr w:type="spellEnd"/>
            <w:r w:rsidRPr="005C4B9C">
              <w:rPr>
                <w:i/>
                <w:iCs/>
                <w:sz w:val="22"/>
                <w:szCs w:val="22"/>
              </w:rPr>
              <w:t xml:space="preserve"> služieb, ktorý je vedený v centrálnom </w:t>
            </w:r>
            <w:proofErr w:type="spellStart"/>
            <w:r w:rsidRPr="005C4B9C">
              <w:rPr>
                <w:i/>
                <w:iCs/>
                <w:sz w:val="22"/>
                <w:szCs w:val="22"/>
              </w:rPr>
              <w:t>metainformačnom</w:t>
            </w:r>
            <w:proofErr w:type="spellEnd"/>
            <w:r w:rsidRPr="005C4B9C">
              <w:rPr>
                <w:i/>
                <w:iCs/>
                <w:sz w:val="22"/>
                <w:szCs w:val="22"/>
              </w:rPr>
              <w:t xml:space="preserve">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w:t>
      </w:r>
      <w:proofErr w:type="spellStart"/>
      <w:r w:rsidRPr="005C4B9C">
        <w:rPr>
          <w:rFonts w:eastAsia="Calibri"/>
          <w:color w:val="000000"/>
          <w:sz w:val="24"/>
          <w:szCs w:val="24"/>
          <w:lang w:eastAsia="en-US"/>
        </w:rPr>
        <w:t>interoperabilná</w:t>
      </w:r>
      <w:proofErr w:type="spellEnd"/>
      <w:r w:rsidRPr="005C4B9C">
        <w:rPr>
          <w:rFonts w:eastAsia="Calibri"/>
          <w:color w:val="000000"/>
          <w:sz w:val="24"/>
          <w:szCs w:val="24"/>
          <w:lang w:eastAsia="en-US"/>
        </w:rPr>
        <w:t xml:space="preserve">.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prevádzkované ale aj plánované informačné systémy verejnej správy. Potrebné informácie je možné nájsť na stránke MF SR </w:t>
      </w:r>
      <w:hyperlink r:id="rId10"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11"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Pod zmenou informačného systému sa chápe jeho rozšírenie alebo inovácia. Vo všeobecnosti je inovácia informačného systému chápaná ako proces obnovy, zmeny vizuálneho stavu (</w:t>
      </w:r>
      <w:proofErr w:type="spellStart"/>
      <w:r w:rsidRPr="005C4B9C">
        <w:rPr>
          <w:rFonts w:eastAsia="Calibri"/>
          <w:color w:val="000000"/>
          <w:sz w:val="24"/>
          <w:szCs w:val="24"/>
          <w:lang w:eastAsia="en-US"/>
        </w:rPr>
        <w:t>redizajnu</w:t>
      </w:r>
      <w:proofErr w:type="spellEnd"/>
      <w:r w:rsidRPr="005C4B9C">
        <w:rPr>
          <w:rFonts w:eastAsia="Calibri"/>
          <w:color w:val="000000"/>
          <w:sz w:val="24"/>
          <w:szCs w:val="24"/>
          <w:lang w:eastAsia="en-US"/>
        </w:rPr>
        <w:t xml:space="preserve">) alebo optimalizácie vytvoreného informačného systému, resp. jeho ktorejkoľvek </w:t>
      </w:r>
      <w:r w:rsidRPr="005C4B9C">
        <w:rPr>
          <w:rFonts w:eastAsia="Calibri"/>
          <w:color w:val="000000"/>
          <w:sz w:val="24"/>
          <w:szCs w:val="24"/>
          <w:lang w:eastAsia="en-US"/>
        </w:rPr>
        <w:lastRenderedPageBreak/>
        <w:t xml:space="preserve">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w:t>
      </w:r>
      <w:proofErr w:type="spellStart"/>
      <w:r w:rsidRPr="005C4B9C">
        <w:rPr>
          <w:rFonts w:eastAsia="Calibri"/>
          <w:color w:val="000000"/>
          <w:sz w:val="24"/>
          <w:szCs w:val="24"/>
          <w:lang w:eastAsia="en-US"/>
        </w:rPr>
        <w:t>interoperability</w:t>
      </w:r>
      <w:proofErr w:type="spellEnd"/>
      <w:r w:rsidRPr="005C4B9C">
        <w:rPr>
          <w:rFonts w:eastAsia="Calibri"/>
          <w:color w:val="000000"/>
          <w:sz w:val="24"/>
          <w:szCs w:val="24"/>
          <w:lang w:eastAsia="en-US"/>
        </w:rPr>
        <w:t xml:space="preserve">.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„popise cieľového stavu“ predmetného informačného systému, s výstižným popisom kľúčových vlastností,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 xml:space="preserve">A – nový </w:t>
            </w:r>
            <w:r w:rsidRPr="005C4B9C">
              <w:rPr>
                <w:b/>
                <w:sz w:val="24"/>
                <w:szCs w:val="24"/>
              </w:rPr>
              <w:lastRenderedPageBreak/>
              <w:t>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lastRenderedPageBreak/>
              <w:t xml:space="preserve">Kód </w:t>
            </w:r>
            <w:r w:rsidRPr="005C4B9C">
              <w:rPr>
                <w:b/>
                <w:sz w:val="24"/>
                <w:szCs w:val="24"/>
              </w:rPr>
              <w:lastRenderedPageBreak/>
              <w:t xml:space="preserve">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lastRenderedPageBreak/>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lastRenderedPageBreak/>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lastRenderedPageBreak/>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4D" w:rsidRDefault="00CE634D" w:rsidP="00CE634D">
      <w:r>
        <w:separator/>
      </w:r>
    </w:p>
  </w:endnote>
  <w:endnote w:type="continuationSeparator" w:id="0">
    <w:p w:rsidR="00CE634D" w:rsidRDefault="00CE634D"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044862360"/>
      <w:docPartObj>
        <w:docPartGallery w:val="Page Numbers (Bottom of Page)"/>
        <w:docPartUnique/>
      </w:docPartObj>
    </w:sdtPr>
    <w:sdtEndPr/>
    <w:sdtContent>
      <w:p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5C4B9C">
          <w:rPr>
            <w:noProof/>
            <w:sz w:val="22"/>
          </w:rPr>
          <w:t>1</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4D" w:rsidRDefault="00CE634D" w:rsidP="00CE634D">
      <w:r>
        <w:separator/>
      </w:r>
    </w:p>
  </w:footnote>
  <w:footnote w:type="continuationSeparator" w:id="0">
    <w:p w:rsidR="00CE634D" w:rsidRDefault="00CE634D" w:rsidP="00CE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4D" w:rsidRDefault="00CE634D" w:rsidP="00CE634D">
    <w:pPr>
      <w:pStyle w:val="Hlavika"/>
      <w:jc w:val="right"/>
      <w:rPr>
        <w:sz w:val="24"/>
        <w:szCs w:val="24"/>
      </w:rPr>
    </w:pPr>
    <w:r w:rsidRPr="000A15AE">
      <w:rPr>
        <w:sz w:val="24"/>
        <w:szCs w:val="24"/>
      </w:rPr>
      <w:t>Príloha č</w:t>
    </w:r>
    <w:r>
      <w:rPr>
        <w:sz w:val="24"/>
        <w:szCs w:val="24"/>
      </w:rPr>
      <w:t>. 6</w:t>
    </w:r>
  </w:p>
  <w:p w:rsidR="00CE634D" w:rsidRDefault="00CE63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5"/>
    <w:rsid w:val="005C4B9C"/>
    <w:rsid w:val="00CB3623"/>
    <w:rsid w:val="00CE634D"/>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centralny-metainformacny-system-verejnej-spravy/10346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zacia.sk/pristup-do-metais/16150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rmatizacia.sk/centralny-metainformacny-system-verejnej-spravy/10346s" TargetMode="External"/><Relationship Id="rId4" Type="http://schemas.openxmlformats.org/officeDocument/2006/relationships/settings" Target="settings.xml"/><Relationship Id="rId9" Type="http://schemas.openxmlformats.org/officeDocument/2006/relationships/hyperlink" Target="http://www.informatizacia.sk/pristup-do-metais/16150s"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14659</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Simoncicova Iveta</cp:lastModifiedBy>
  <cp:revision>3</cp:revision>
  <dcterms:created xsi:type="dcterms:W3CDTF">2014-11-13T15:48:00Z</dcterms:created>
  <dcterms:modified xsi:type="dcterms:W3CDTF">2014-12-18T10:31:00Z</dcterms:modified>
</cp:coreProperties>
</file>