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FF7DBF" w:rsidRDefault="00634B9C" w:rsidP="00E358A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F7DBF">
        <w:rPr>
          <w:rFonts w:ascii="Times New Roman" w:hAnsi="Times New Roman" w:cs="Times New Roman"/>
          <w:b/>
          <w:smallCaps/>
          <w:sz w:val="24"/>
          <w:szCs w:val="24"/>
        </w:rPr>
        <w:t>PREDKLADACIA SPRÁVA</w:t>
      </w:r>
    </w:p>
    <w:p w:rsidR="00E358AB" w:rsidRPr="00E358AB" w:rsidRDefault="00E358AB" w:rsidP="00E35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222/2004 Z. z. o dani z pridanej hodnoty v znení neskorších predpisov, sa predkladá na základe uznesenia vlády Slovenskej republiky č. 571 zo dňa  14. decembra 2016, ktorým vláda schválila Plán legislatívnych úloh vlády Slovenskej republiky na rok 2017.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dani z pridanej hodnoty je orientovaná </w:t>
      </w:r>
      <w:r w:rsidR="00012DA4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D6BF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oblasti</w:t>
      </w:r>
      <w:r w:rsidR="00012DA4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ktorých aplikačná prax ukazuje potrebu upraviť existujúce pravidlá uplatňovania dane z pridanej hodnoty a ktoré je potrebné zosúladiť s judikatúrou Súdneho dvora Európskej únie.</w:t>
      </w:r>
    </w:p>
    <w:p w:rsidR="00E358AB" w:rsidRDefault="00E358AB" w:rsidP="000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F7" w:rsidRPr="009976F7" w:rsidRDefault="009976F7" w:rsidP="00997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F7">
        <w:rPr>
          <w:rFonts w:ascii="Times New Roman" w:hAnsi="Times New Roman" w:cs="Times New Roman"/>
          <w:sz w:val="24"/>
          <w:szCs w:val="24"/>
        </w:rPr>
        <w:t xml:space="preserve">Navrhovanou novelou zákona </w:t>
      </w:r>
      <w:r w:rsidR="00012DA4">
        <w:rPr>
          <w:rFonts w:ascii="Times New Roman" w:hAnsi="Times New Roman" w:cs="Times New Roman"/>
          <w:sz w:val="24"/>
          <w:szCs w:val="24"/>
        </w:rPr>
        <w:t xml:space="preserve">o DPH </w:t>
      </w:r>
      <w:r w:rsidRPr="009976F7">
        <w:rPr>
          <w:rFonts w:ascii="Times New Roman" w:hAnsi="Times New Roman" w:cs="Times New Roman"/>
          <w:sz w:val="24"/>
          <w:szCs w:val="24"/>
        </w:rPr>
        <w:t>sa má zlepšiť podnikateľské prostredie zabezpečením rýchleho vrátenia časti nadmerného odpočtu, o ktorom nie sú pochybnosti o jeho oprávnenosti. Daňový úrad na základe údajov z kontrolného výkazu môže platiteľovi dane vrátiť časť nadmerného odpočtu už pred samotným začatím daňovej kontroly. Kontrola tak bude zameraná už len na sporné faktúry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76F7">
        <w:rPr>
          <w:rFonts w:ascii="Times New Roman" w:hAnsi="Times New Roman" w:cs="Times New Roman"/>
          <w:sz w:val="24"/>
          <w:szCs w:val="24"/>
        </w:rPr>
        <w:t xml:space="preserve">avšak naďalej ostáva zachovaná možnosť preveriť </w:t>
      </w:r>
      <w:r>
        <w:rPr>
          <w:rFonts w:ascii="Times New Roman" w:hAnsi="Times New Roman" w:cs="Times New Roman"/>
          <w:sz w:val="24"/>
          <w:szCs w:val="24"/>
        </w:rPr>
        <w:t xml:space="preserve">v rámci výkonu daňovej kontroly </w:t>
      </w:r>
      <w:r w:rsidRPr="009976F7">
        <w:rPr>
          <w:rFonts w:ascii="Times New Roman" w:hAnsi="Times New Roman" w:cs="Times New Roman"/>
          <w:sz w:val="24"/>
          <w:szCs w:val="24"/>
        </w:rPr>
        <w:t>aj vrátenú časť nadmerného odpočtu.</w:t>
      </w:r>
    </w:p>
    <w:p w:rsidR="00012DA4" w:rsidRDefault="00012DA4" w:rsidP="00012DA4">
      <w:pPr>
        <w:pStyle w:val="Ft"/>
        <w:spacing w:line="240" w:lineRule="auto"/>
        <w:ind w:firstLine="0"/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  <w:lang w:val="sk-SK" w:eastAsia="en-US"/>
        </w:rPr>
      </w:pPr>
    </w:p>
    <w:p w:rsidR="00012DA4" w:rsidRPr="00E358AB" w:rsidRDefault="00012DA4" w:rsidP="00012D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návrhu zákona sa v nadväznosti na judikatúru</w:t>
      </w:r>
      <w:r w:rsidRPr="00E358AB">
        <w:rPr>
          <w:rFonts w:ascii="Times New Roman" w:hAnsi="Times New Roman" w:cs="Times New Roman"/>
          <w:sz w:val="24"/>
          <w:szCs w:val="24"/>
        </w:rPr>
        <w:t xml:space="preserve"> Súdneho dvora EÚ </w:t>
      </w:r>
      <w:r>
        <w:rPr>
          <w:rFonts w:ascii="Times New Roman" w:hAnsi="Times New Roman" w:cs="Times New Roman"/>
          <w:sz w:val="24"/>
          <w:szCs w:val="24"/>
        </w:rPr>
        <w:t xml:space="preserve">mení </w:t>
      </w:r>
      <w:r w:rsidRPr="00E358AB">
        <w:rPr>
          <w:rFonts w:ascii="Times New Roman" w:hAnsi="Times New Roman" w:cs="Times New Roman"/>
          <w:sz w:val="24"/>
          <w:szCs w:val="24"/>
        </w:rPr>
        <w:t>úprava zdaňovania prirážky pri poskytovaní služieb cestovného ruchu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8AB">
        <w:rPr>
          <w:rFonts w:ascii="Times New Roman" w:hAnsi="Times New Roman" w:cs="Times New Roman"/>
          <w:sz w:val="24"/>
          <w:szCs w:val="24"/>
        </w:rPr>
        <w:t xml:space="preserve">Podľa súčasnej právnej úpravy zákona o dani z pridanej hodnoty sa osobitná úprava zdaňovania </w:t>
      </w:r>
      <w:r>
        <w:rPr>
          <w:rFonts w:ascii="Times New Roman" w:hAnsi="Times New Roman" w:cs="Times New Roman"/>
          <w:sz w:val="24"/>
          <w:szCs w:val="24"/>
        </w:rPr>
        <w:t>prirážky</w:t>
      </w:r>
      <w:r w:rsidRPr="00E358AB">
        <w:rPr>
          <w:rFonts w:ascii="Times New Roman" w:hAnsi="Times New Roman" w:cs="Times New Roman"/>
          <w:sz w:val="24"/>
          <w:szCs w:val="24"/>
        </w:rPr>
        <w:t xml:space="preserve"> môže uplatňovať len v prípade, ak je príjemcom služieb cestovného ruchu konečný spotrebiteľ - cestujúci. V zmysle judikatúry Súdneho dvora EÚ osobitnú úpravu zdaňovania prirážky musia členské štáty uplatňovať na každý predaj služieb cestovného ruchu bez ohľadu na to, kto je príjemcom týchto služieb.</w:t>
      </w:r>
      <w:r w:rsidRPr="0030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Navrhovaná právna úprava tak </w:t>
      </w:r>
      <w:r w:rsidRPr="00E358AB">
        <w:rPr>
          <w:rFonts w:ascii="Times New Roman" w:hAnsi="Times New Roman" w:cs="Times New Roman"/>
          <w:sz w:val="24"/>
          <w:szCs w:val="24"/>
        </w:rPr>
        <w:t xml:space="preserve">rozširuje </w:t>
      </w:r>
      <w:r>
        <w:rPr>
          <w:rFonts w:ascii="Times New Roman" w:hAnsi="Times New Roman" w:cs="Times New Roman"/>
          <w:sz w:val="24"/>
          <w:szCs w:val="24"/>
        </w:rPr>
        <w:t xml:space="preserve">uplatňovanie osobitnej úpravy </w:t>
      </w:r>
      <w:r w:rsidRPr="00E358AB">
        <w:rPr>
          <w:rFonts w:ascii="Times New Roman" w:hAnsi="Times New Roman" w:cs="Times New Roman"/>
          <w:sz w:val="24"/>
          <w:szCs w:val="24"/>
        </w:rPr>
        <w:t xml:space="preserve">aj na prípady, keď príjemcom služieb cestovného ruchu </w:t>
      </w:r>
      <w:r>
        <w:rPr>
          <w:rFonts w:ascii="Times New Roman" w:hAnsi="Times New Roman" w:cs="Times New Roman"/>
          <w:sz w:val="24"/>
          <w:szCs w:val="24"/>
        </w:rPr>
        <w:t>je podnikateľ, ktorý kupuje balík služieb cestovného ruchu na účely svojho podnikania, či už na účely jeho ďalšieho predaja alebo na účely pracovnej cesty.</w:t>
      </w:r>
    </w:p>
    <w:p w:rsidR="009976F7" w:rsidRDefault="009976F7" w:rsidP="00FA0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39C" w:rsidRDefault="00087158" w:rsidP="00FA039C">
      <w:pPr>
        <w:spacing w:after="0" w:line="240" w:lineRule="auto"/>
        <w:ind w:firstLine="720"/>
        <w:jc w:val="both"/>
        <w:rPr>
          <w:rStyle w:val="Zstupntext"/>
          <w:color w:val="000000"/>
        </w:rPr>
      </w:pPr>
      <w:r w:rsidRPr="00FA039C">
        <w:rPr>
          <w:rFonts w:ascii="Times New Roman" w:hAnsi="Times New Roman" w:cs="Times New Roman"/>
          <w:sz w:val="24"/>
          <w:szCs w:val="24"/>
        </w:rPr>
        <w:t xml:space="preserve">Ďalej účelom návrhu zákona je odstránenie aplikačných problémov plynúcich z nedostatočnej alebo chýbajúcej právnej úpravy ako napríklad zmena podmienky pri uplatňovaní trojstranného obchodu, vyriešenie vzniku daňovej povinnosti </w:t>
      </w:r>
      <w:r w:rsidR="00FA039C" w:rsidRPr="00FA039C">
        <w:rPr>
          <w:rFonts w:ascii="Times New Roman" w:hAnsi="Times New Roman" w:cs="Times New Roman"/>
          <w:sz w:val="24"/>
          <w:szCs w:val="24"/>
        </w:rPr>
        <w:t>a vzniku práva na odpočítanie dane pri postúpení pohľadávky v rámci uplatňovania osobitnej úpravy vzniku daňovej povinnosti na základe prijatej platby, rozšírenie povinnosti úpravy odpočítanej dane pri zmene účelu použitia na všetky stavby</w:t>
      </w:r>
      <w:r w:rsidR="00FA039C">
        <w:rPr>
          <w:rFonts w:ascii="Times New Roman" w:hAnsi="Times New Roman" w:cs="Times New Roman"/>
          <w:sz w:val="24"/>
          <w:szCs w:val="24"/>
        </w:rPr>
        <w:t>, zavedenie povinnosti pre zdaniteľné osoby, ktoré sú registrované podľa § 7 alebo § 7a zákona o</w:t>
      </w:r>
      <w:r w:rsidR="001E30AE">
        <w:rPr>
          <w:rFonts w:ascii="Times New Roman" w:hAnsi="Times New Roman" w:cs="Times New Roman"/>
          <w:sz w:val="24"/>
          <w:szCs w:val="24"/>
        </w:rPr>
        <w:t> </w:t>
      </w:r>
      <w:r w:rsidR="00FA039C">
        <w:rPr>
          <w:rFonts w:ascii="Times New Roman" w:hAnsi="Times New Roman" w:cs="Times New Roman"/>
          <w:sz w:val="24"/>
          <w:szCs w:val="24"/>
        </w:rPr>
        <w:t>DPH</w:t>
      </w:r>
      <w:r w:rsidR="001E30AE">
        <w:rPr>
          <w:rFonts w:ascii="Times New Roman" w:hAnsi="Times New Roman" w:cs="Times New Roman"/>
          <w:sz w:val="24"/>
          <w:szCs w:val="24"/>
        </w:rPr>
        <w:t>,</w:t>
      </w:r>
      <w:r w:rsidR="00FA039C">
        <w:rPr>
          <w:rFonts w:ascii="Times New Roman" w:hAnsi="Times New Roman" w:cs="Times New Roman"/>
          <w:sz w:val="24"/>
          <w:szCs w:val="24"/>
        </w:rPr>
        <w:t xml:space="preserve"> podávať súhrnné výkazy, ak sa tieto osoby zúčastňujú na trojstrannom obchode. </w:t>
      </w:r>
      <w:r w:rsidR="00FA039C">
        <w:rPr>
          <w:rStyle w:val="Zstupntext"/>
          <w:color w:val="000000"/>
        </w:rPr>
        <w:t xml:space="preserve"> </w:t>
      </w:r>
    </w:p>
    <w:p w:rsidR="00FA039C" w:rsidRDefault="00FA039C" w:rsidP="00087158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1F2" w:rsidRDefault="00FA039C" w:rsidP="00FF7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  <w:t xml:space="preserve">Návrh zákona </w:t>
      </w:r>
      <w:r w:rsidR="00FF71F2">
        <w:rPr>
          <w:rFonts w:ascii="Times New Roman" w:hAnsi="Times New Roman"/>
          <w:sz w:val="24"/>
          <w:szCs w:val="24"/>
        </w:rPr>
        <w:t xml:space="preserve">v súlade so </w:t>
      </w:r>
      <w:r w:rsidR="00FF71F2" w:rsidRPr="00097F3D">
        <w:rPr>
          <w:rFonts w:ascii="Times New Roman" w:hAnsi="Times New Roman"/>
          <w:sz w:val="24"/>
          <w:szCs w:val="24"/>
          <w:lang w:eastAsia="sk-SK"/>
        </w:rPr>
        <w:t>smernic</w:t>
      </w:r>
      <w:r w:rsidR="00FF71F2">
        <w:rPr>
          <w:rFonts w:ascii="Times New Roman" w:hAnsi="Times New Roman"/>
          <w:sz w:val="24"/>
          <w:szCs w:val="24"/>
          <w:lang w:eastAsia="sk-SK"/>
        </w:rPr>
        <w:t>ou</w:t>
      </w:r>
      <w:r w:rsidR="00FF71F2" w:rsidRPr="00097F3D">
        <w:rPr>
          <w:rFonts w:ascii="Times New Roman" w:hAnsi="Times New Roman"/>
          <w:sz w:val="24"/>
          <w:szCs w:val="24"/>
          <w:lang w:eastAsia="sk-SK"/>
        </w:rPr>
        <w:t xml:space="preserve"> 2006/112/ES o spoločnom systéme dane z pridanej hodnoty </w:t>
      </w:r>
      <w:r w:rsidR="00FF71F2">
        <w:rPr>
          <w:rFonts w:ascii="Times New Roman" w:hAnsi="Times New Roman"/>
          <w:sz w:val="24"/>
          <w:szCs w:val="24"/>
          <w:lang w:eastAsia="sk-SK"/>
        </w:rPr>
        <w:t>oslobodzuje od dane z pridanej hodnoty b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>ezodpl</w:t>
      </w:r>
      <w:r w:rsidR="00FF71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atné dodanie tovaru formou daru z dôvodu jeho následného vývozu do tretích štátov 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>ako súčasť humanitárnej a dobročinnej činnosti</w:t>
      </w:r>
      <w:r w:rsidR="00FF71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prostredníctvom Ministerstva vnútra Slovenskej republiky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FF71F2" w:rsidRDefault="00FF71F2" w:rsidP="00E35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8AB" w:rsidRPr="00E358AB" w:rsidRDefault="00FF71F2" w:rsidP="00FF71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8AB">
        <w:rPr>
          <w:rFonts w:ascii="Times New Roman" w:hAnsi="Times New Roman" w:cs="Times New Roman"/>
          <w:sz w:val="24"/>
          <w:szCs w:val="24"/>
        </w:rPr>
        <w:t xml:space="preserve">Zámerom </w:t>
      </w:r>
      <w:r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E358A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taktiež</w:t>
      </w:r>
      <w:r w:rsidRPr="00E358AB">
        <w:rPr>
          <w:rFonts w:ascii="Times New Roman" w:hAnsi="Times New Roman" w:cs="Times New Roman"/>
          <w:sz w:val="24"/>
          <w:szCs w:val="24"/>
        </w:rPr>
        <w:t xml:space="preserve"> umožniť vyhotovenie súhrnnej faktúry aj v prípadoch, ak príjemca je zahraničn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358AB">
        <w:rPr>
          <w:rFonts w:ascii="Times New Roman" w:hAnsi="Times New Roman" w:cs="Times New Roman"/>
          <w:sz w:val="24"/>
          <w:szCs w:val="24"/>
        </w:rPr>
        <w:t xml:space="preserve"> zdaniteľn</w:t>
      </w:r>
      <w:r>
        <w:rPr>
          <w:rFonts w:ascii="Times New Roman" w:hAnsi="Times New Roman" w:cs="Times New Roman"/>
          <w:sz w:val="24"/>
          <w:szCs w:val="24"/>
        </w:rPr>
        <w:t>ou osobou</w:t>
      </w:r>
      <w:r w:rsidRPr="00E35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358AB">
        <w:rPr>
          <w:rFonts w:ascii="Times New Roman" w:hAnsi="Times New Roman" w:cs="Times New Roman"/>
          <w:sz w:val="24"/>
          <w:szCs w:val="24"/>
        </w:rPr>
        <w:t>prava prispeje k zníženiu administratívnej záťaže platiteľov dane.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AB" w:rsidRPr="00E358AB">
        <w:rPr>
          <w:rFonts w:ascii="Times New Roman" w:hAnsi="Times New Roman" w:cs="Times New Roman"/>
          <w:sz w:val="24"/>
          <w:szCs w:val="24"/>
        </w:rPr>
        <w:t>Platný zákon o dani z pridanej hodnoty umožňuje vyhotovenie súhrnnej faktúry za nájom a dodávky elektriny, plynu, vody a tepla za obdobie 12 kalendárn</w:t>
      </w:r>
      <w:r w:rsidR="00C6087E">
        <w:rPr>
          <w:rFonts w:ascii="Times New Roman" w:hAnsi="Times New Roman" w:cs="Times New Roman"/>
          <w:sz w:val="24"/>
          <w:szCs w:val="24"/>
        </w:rPr>
        <w:t>ych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 mesiacov, </w:t>
      </w:r>
      <w:r>
        <w:rPr>
          <w:rFonts w:ascii="Times New Roman" w:hAnsi="Times New Roman" w:cs="Times New Roman"/>
          <w:sz w:val="24"/>
          <w:szCs w:val="24"/>
        </w:rPr>
        <w:t xml:space="preserve">len 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ak príjemca plnenia je </w:t>
      </w:r>
      <w:r w:rsidR="00E43EAF">
        <w:rPr>
          <w:rFonts w:ascii="Times New Roman" w:hAnsi="Times New Roman" w:cs="Times New Roman"/>
          <w:sz w:val="24"/>
          <w:szCs w:val="24"/>
        </w:rPr>
        <w:t>tuzemsk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43EAF">
        <w:rPr>
          <w:rFonts w:ascii="Times New Roman" w:hAnsi="Times New Roman" w:cs="Times New Roman"/>
          <w:sz w:val="24"/>
          <w:szCs w:val="24"/>
        </w:rPr>
        <w:t xml:space="preserve"> </w:t>
      </w:r>
      <w:r w:rsidR="00E358AB" w:rsidRPr="00E358AB">
        <w:rPr>
          <w:rFonts w:ascii="Times New Roman" w:hAnsi="Times New Roman" w:cs="Times New Roman"/>
          <w:sz w:val="24"/>
          <w:szCs w:val="24"/>
        </w:rPr>
        <w:t>zdaniteľn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 osob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8AB" w:rsidRPr="00E358AB" w:rsidRDefault="00E358AB" w:rsidP="00E3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lastRenderedPageBreak/>
        <w:t>Účinnosť zákona sa navrhuje od 1. januára 2018</w:t>
      </w:r>
      <w:r w:rsidR="001E30A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 cieľom zabezpečiť dostatočnú legisvakanciu  návrhu zákona a s ohľadom na skutočnosť, že zdaňovacie obdobia platiteľov dane sa začínajú prvým dňom kalendárneho mesiaca, resp. prvým dňom kalendárneho štvrťroka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je v súlade s Ústavou Slovenskej republiky</w:t>
      </w:r>
      <w:r w:rsidR="00E0102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ústavnými zákonmi, nálezmi Ú</w:t>
      </w:r>
      <w:r w:rsidR="001E30A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stavného súdu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02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Slovenskej republiky</w:t>
      </w:r>
      <w:r w:rsidR="00E0102D"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a inými právnymi predpismi, medzinárodnými zmluvami a dokumentmi, ktorými je Slovenská republika viazaná, ako aj v súlade s právom Európskej únie.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027471" w:rsidRDefault="00AE3FE0" w:rsidP="00AE3FE0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bol predmetom medzirezortného pripomienkového konania, ktorého vyhodnotenie tvorí prílohu materiálu. Návrh zákona sa predkladá na rokovanie </w:t>
      </w:r>
      <w:r w:rsidR="00027471">
        <w:t>vlády SR bez rozporov.</w:t>
      </w:r>
    </w:p>
    <w:p w:rsidR="00027471" w:rsidRDefault="00027471" w:rsidP="00AE3FE0">
      <w:pPr>
        <w:pStyle w:val="Normlnywebov"/>
        <w:spacing w:before="0" w:beforeAutospacing="0" w:after="0" w:afterAutospacing="0"/>
        <w:ind w:firstLine="720"/>
        <w:jc w:val="both"/>
      </w:pPr>
    </w:p>
    <w:p w:rsidR="00E076A2" w:rsidRPr="00E358AB" w:rsidRDefault="00E076A2" w:rsidP="00E3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6A2" w:rsidRPr="00E358AB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C6" w:rsidRDefault="000576C6" w:rsidP="000A67D5">
      <w:pPr>
        <w:spacing w:after="0" w:line="240" w:lineRule="auto"/>
      </w:pPr>
      <w:r>
        <w:separator/>
      </w:r>
    </w:p>
  </w:endnote>
  <w:endnote w:type="continuationSeparator" w:id="0">
    <w:p w:rsidR="000576C6" w:rsidRDefault="000576C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C6" w:rsidRDefault="000576C6" w:rsidP="000A67D5">
      <w:pPr>
        <w:spacing w:after="0" w:line="240" w:lineRule="auto"/>
      </w:pPr>
      <w:r>
        <w:separator/>
      </w:r>
    </w:p>
  </w:footnote>
  <w:footnote w:type="continuationSeparator" w:id="0">
    <w:p w:rsidR="000576C6" w:rsidRDefault="000576C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2DA4"/>
    <w:rsid w:val="00025017"/>
    <w:rsid w:val="00027471"/>
    <w:rsid w:val="000576C6"/>
    <w:rsid w:val="000603AB"/>
    <w:rsid w:val="0006543E"/>
    <w:rsid w:val="00087158"/>
    <w:rsid w:val="00092DD6"/>
    <w:rsid w:val="000A56CF"/>
    <w:rsid w:val="000A67D5"/>
    <w:rsid w:val="000C30FD"/>
    <w:rsid w:val="000E25CA"/>
    <w:rsid w:val="000F349C"/>
    <w:rsid w:val="001034F7"/>
    <w:rsid w:val="00146547"/>
    <w:rsid w:val="00146B48"/>
    <w:rsid w:val="00150388"/>
    <w:rsid w:val="001778D1"/>
    <w:rsid w:val="001A3641"/>
    <w:rsid w:val="001C36AC"/>
    <w:rsid w:val="001C7172"/>
    <w:rsid w:val="001E30AE"/>
    <w:rsid w:val="002109B0"/>
    <w:rsid w:val="0021228E"/>
    <w:rsid w:val="00230F3C"/>
    <w:rsid w:val="002421AE"/>
    <w:rsid w:val="00262E6C"/>
    <w:rsid w:val="0026610F"/>
    <w:rsid w:val="002702D6"/>
    <w:rsid w:val="00297886"/>
    <w:rsid w:val="002A5577"/>
    <w:rsid w:val="002C28E3"/>
    <w:rsid w:val="00304B2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2F03"/>
    <w:rsid w:val="004C2A55"/>
    <w:rsid w:val="004E70BA"/>
    <w:rsid w:val="00532574"/>
    <w:rsid w:val="0053385C"/>
    <w:rsid w:val="00535F7A"/>
    <w:rsid w:val="00570601"/>
    <w:rsid w:val="00581D58"/>
    <w:rsid w:val="00586B89"/>
    <w:rsid w:val="0059081C"/>
    <w:rsid w:val="005D6BFB"/>
    <w:rsid w:val="00634B9C"/>
    <w:rsid w:val="00642FB8"/>
    <w:rsid w:val="00654D9E"/>
    <w:rsid w:val="00657226"/>
    <w:rsid w:val="00697DF2"/>
    <w:rsid w:val="006A3681"/>
    <w:rsid w:val="007055C1"/>
    <w:rsid w:val="00764FAC"/>
    <w:rsid w:val="00766598"/>
    <w:rsid w:val="007746DD"/>
    <w:rsid w:val="00777739"/>
    <w:rsid w:val="00777C34"/>
    <w:rsid w:val="00797612"/>
    <w:rsid w:val="007A1010"/>
    <w:rsid w:val="007D7AE6"/>
    <w:rsid w:val="007F7FBE"/>
    <w:rsid w:val="00812769"/>
    <w:rsid w:val="0081645A"/>
    <w:rsid w:val="0082665C"/>
    <w:rsid w:val="00831499"/>
    <w:rsid w:val="008354BD"/>
    <w:rsid w:val="0084052F"/>
    <w:rsid w:val="00842E13"/>
    <w:rsid w:val="008648C8"/>
    <w:rsid w:val="00880BB5"/>
    <w:rsid w:val="00884BE4"/>
    <w:rsid w:val="008A1964"/>
    <w:rsid w:val="008D2B72"/>
    <w:rsid w:val="008E2844"/>
    <w:rsid w:val="008E3D2E"/>
    <w:rsid w:val="0090100E"/>
    <w:rsid w:val="009079E9"/>
    <w:rsid w:val="009239D9"/>
    <w:rsid w:val="009976F7"/>
    <w:rsid w:val="009B2526"/>
    <w:rsid w:val="009C6C5C"/>
    <w:rsid w:val="009D6F8B"/>
    <w:rsid w:val="009E111B"/>
    <w:rsid w:val="00A05DD1"/>
    <w:rsid w:val="00A1569A"/>
    <w:rsid w:val="00A54A16"/>
    <w:rsid w:val="00A95700"/>
    <w:rsid w:val="00AE3FE0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087E"/>
    <w:rsid w:val="00C65A4A"/>
    <w:rsid w:val="00C920E8"/>
    <w:rsid w:val="00CA4563"/>
    <w:rsid w:val="00CC68EB"/>
    <w:rsid w:val="00CE47A6"/>
    <w:rsid w:val="00D13869"/>
    <w:rsid w:val="00D261C9"/>
    <w:rsid w:val="00D50146"/>
    <w:rsid w:val="00D7179C"/>
    <w:rsid w:val="00D85172"/>
    <w:rsid w:val="00D969AC"/>
    <w:rsid w:val="00DA34D9"/>
    <w:rsid w:val="00DC05FF"/>
    <w:rsid w:val="00DC0BD9"/>
    <w:rsid w:val="00DD58E1"/>
    <w:rsid w:val="00E0102D"/>
    <w:rsid w:val="00E076A2"/>
    <w:rsid w:val="00E144F2"/>
    <w:rsid w:val="00E14E7F"/>
    <w:rsid w:val="00E32491"/>
    <w:rsid w:val="00E337AE"/>
    <w:rsid w:val="00E358AB"/>
    <w:rsid w:val="00E43EAF"/>
    <w:rsid w:val="00E5284A"/>
    <w:rsid w:val="00E5476B"/>
    <w:rsid w:val="00E840B3"/>
    <w:rsid w:val="00EA7C00"/>
    <w:rsid w:val="00EC027B"/>
    <w:rsid w:val="00EE0D4A"/>
    <w:rsid w:val="00EF1425"/>
    <w:rsid w:val="00F256C4"/>
    <w:rsid w:val="00F2656B"/>
    <w:rsid w:val="00F26A4A"/>
    <w:rsid w:val="00F35816"/>
    <w:rsid w:val="00F46B1B"/>
    <w:rsid w:val="00FA039C"/>
    <w:rsid w:val="00FA0ABD"/>
    <w:rsid w:val="00FB12C1"/>
    <w:rsid w:val="00FE144E"/>
    <w:rsid w:val="00FF71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Ft">
    <w:name w:val="F_t"/>
    <w:uiPriority w:val="99"/>
    <w:rsid w:val="00012DA4"/>
    <w:pPr>
      <w:tabs>
        <w:tab w:val="left" w:pos="283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T*Toronto" w:eastAsia="Times New Roman" w:hAnsi="AT*Toronto" w:cs="Times New Roman"/>
      <w:i/>
      <w:iCs/>
      <w:color w:val="000000"/>
      <w:spacing w:val="15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6 17:13:21"/>
    <f:field ref="objchangedby" par="" text="Administrator, System"/>
    <f:field ref="objmodifiedat" par="" text="11.7.2016 17:13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6D5724-E7E4-4F02-96AE-40EC1950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2017-08-08T11:27:00Z</dcterms:created>
  <dcterms:modified xsi:type="dcterms:W3CDTF">2017-08-08T11:33:00Z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Ľudovít Rybánsky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2016</vt:lpwstr>
  </property>
  <property fmtid="{D5CDD505-2E9C-101B-9397-08002B2CF9AE}" pid="16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7" name="FSC#SKEDITIONSLOVLEX@103.510:rezortcislopredpis">
    <vt:lpwstr>MF/014204/2016-731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LP/2016/714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>27. 6. 2016</vt:lpwstr>
  </property>
  <property fmtid="{D5CDD505-2E9C-101B-9397-08002B2CF9AE}" pid="49" name="FSC#SKEDITIONSLOVLEX@103.510:AttrDateDocPropUkonceniePKK">
    <vt:lpwstr>29. 6. 2016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0" name="FSC#COOSYSTEM@1.1:Container">
    <vt:lpwstr>COO.2145.1000.3.1498897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nov a ktorým sa menia a dopĺňajú niektoré zákony v znení neskorších predpisov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zákonov a ktorým sa menia a dopĺňajú niektoré zákony v znení neskorších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referentovi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ministra financií Slovenskej republiky</vt:lpwstr>
  </property>
  <property fmtid="{D5CDD505-2E9C-101B-9397-08002B2CF9AE}" pid="146" name="FSC#SKEDITIONSLOVLEX@103.510:funkciaZodpPredDativ">
    <vt:lpwstr>ministrovi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2016</vt:lpwstr>
  </property>
</Properties>
</file>