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24E30">
        <w:rPr>
          <w:rFonts w:ascii="Times New Roman" w:hAnsi="Times New Roman"/>
          <w:b/>
          <w:sz w:val="24"/>
          <w:szCs w:val="24"/>
        </w:rPr>
        <w:t>Príloha č. 6 Vyhláška</w:t>
      </w:r>
      <w:r w:rsidRPr="00C24E3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o spôsobe určenia maximálnej výšky úhrady zdravotnej poisťovne za jednotku referenčnej dávky dietetickej potraviny</w:t>
      </w:r>
    </w:p>
    <w:p w:rsidR="00051227" w:rsidRPr="009C73B3" w:rsidRDefault="00051227" w:rsidP="00051227">
      <w:pPr>
        <w:pStyle w:val="1podsek"/>
        <w:numPr>
          <w:ilvl w:val="0"/>
          <w:numId w:val="0"/>
        </w:numPr>
        <w:jc w:val="left"/>
        <w:rPr>
          <w:b/>
        </w:rPr>
      </w:pPr>
    </w:p>
    <w:p w:rsidR="00051227" w:rsidRPr="009C73B3" w:rsidRDefault="00051227" w:rsidP="00051227">
      <w:pPr>
        <w:pStyle w:val="1podsek"/>
        <w:numPr>
          <w:ilvl w:val="0"/>
          <w:numId w:val="0"/>
        </w:numPr>
      </w:pP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VYHLÁŠKA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Ministerstva zdravotníctva Slovenskej republiky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o spôsobe určenia maximálnej výšky úhrady zdravotnej poisťovne za jednotku referenčnej dávky dietetickej potraviny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Ministerstvo zdravotníctva Slovenskej republiky podľa </w:t>
      </w:r>
      <w:hyperlink r:id="rId5" w:history="1">
        <w:r w:rsidRPr="00C24E30">
          <w:rPr>
            <w:rFonts w:ascii="Times New Roman" w:eastAsia="Times New Roman" w:hAnsi="Times New Roman"/>
            <w:sz w:val="24"/>
            <w:szCs w:val="24"/>
            <w:lang w:eastAsia="sk-SK"/>
          </w:rPr>
          <w:t>§ 57 ods. 5 zákona č. 363/2011 Z. z.</w:t>
        </w:r>
      </w:hyperlink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o rozsahu a podmienkach úhrady liekov, zdravotníckych pomôcok a dietetických potravín na základe verejného zdravotného poistenia a o zmene a doplnení niektorých zákonov (ďalej len "zákon") ustanovuje: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§ 1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Predmet úpravy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Predmetom tejto vyhlášky je ustanoviť spôsob určenia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a) jednotky referenčnej dávky dietetickej potraviny,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b) maximálnej výšky úhrady zdravotnej poisťovne za jednotku referenčnej dávky dietetickej potraviny (ďalej len "úhrada poisťovne").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§ 2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Vymedzenie pojmov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Na účely tejto vyhlášky sa rozumie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a) referenčnou dietetickou potravinou dietetická potravina, ktorá má v podskupine dietetických potravín najnižšiu maximálnu cenu dietetickej potraviny vo verejnej lekárni prepočítanú na počet jednotiek referenčnej dávky dietetickej potraviny (ďalej len "referenčná cena dietetickej potraviny"),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b) úhradovou skupinou jedna alebo viac podskupín dietetických potravín podľa rozdelenia uvedeného v </w:t>
      </w:r>
      <w:hyperlink r:id="rId6" w:history="1">
        <w:r w:rsidRPr="00C24E30">
          <w:rPr>
            <w:rFonts w:ascii="Times New Roman" w:eastAsia="Times New Roman" w:hAnsi="Times New Roman"/>
            <w:sz w:val="24"/>
            <w:szCs w:val="24"/>
            <w:lang w:eastAsia="sk-SK"/>
          </w:rPr>
          <w:t>prílohe</w:t>
        </w:r>
      </w:hyperlink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c) referenčnou dietetickou potravinou úhradovej skupiny dietetická potravina, ktorá má v úhradovej skupine najnižšiu maximálnu cenu dietetickej potraviny vo verejnej lekárni prepočítanú na počet jednotiek referenčnej dávky dietetickej potraviny (ďalej len "referenčná cena úhradovej skupiny").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§ 3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ab/>
        <w:t xml:space="preserve">(1) Jednotka referenčnej dávky dietetickej potraviny sa určuje ako primeraná jednotka hmotnosti alebo objemu dietetickej potraviny alebo jej zložky vyjadrujúca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a) energetickú hodnotu dietetickej potraviny alebo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b) množstvo živiny v dietetickej potravine.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§ 4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(1) Úhrada poisťovne pre podskupinu dietetických potravín sa určuje v rovnakej výške pre všetky indikácie, pri ktorých je liečba dietetickými potravinami zaradenými v tejto podskupine uhrádzaná na základe verejného zdravotného poistenia.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(2) V odôvodnených prípadoch možno pre indikáciu osobitne vymedzenú v indikačnom obmedzení určiť aj inú úhradu poisťovne.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(3) Úhrada poisťovne sa určuje v eurách s presnosťou na dve desatinné miesta.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§ 5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(1) Pre všetky podskupiny dietetických potravín, ktoré tvoria úhradovú skupinu, sa úhrada poisťovne určuje v rovnakej výške (ďalej len "skupinová úhrada").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(2) Skupinová úhrada sa určuje vo výške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a) násobku referenčnej ceny úhradovej skupiny a koeficientu uvedeného v </w:t>
      </w:r>
      <w:hyperlink r:id="rId7" w:history="1">
        <w:r w:rsidRPr="00C24E30">
          <w:rPr>
            <w:rFonts w:ascii="Times New Roman" w:eastAsia="Times New Roman" w:hAnsi="Times New Roman"/>
            <w:sz w:val="24"/>
            <w:szCs w:val="24"/>
            <w:lang w:eastAsia="sk-SK"/>
          </w:rPr>
          <w:t>prílohe</w:t>
        </w:r>
      </w:hyperlink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alebo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b) podľa § 6, ak ide o úhradovú skupinu, ktorá v </w:t>
      </w:r>
      <w:hyperlink r:id="rId8" w:history="1">
        <w:r w:rsidRPr="00C24E30">
          <w:rPr>
            <w:rFonts w:ascii="Times New Roman" w:eastAsia="Times New Roman" w:hAnsi="Times New Roman"/>
            <w:sz w:val="24"/>
            <w:szCs w:val="24"/>
            <w:lang w:eastAsia="sk-SK"/>
          </w:rPr>
          <w:t>prílohe</w:t>
        </w:r>
      </w:hyperlink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nemá uvedený koeficient.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§ 6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(1) Úhrada poisťovne alebo skupinová úhrada sa vypočíta zo základu vo výške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a) úhrady poisťovne pre podskupinu dietetických potravín, ktorá zodpovedá porovnateľnej terapeutickej intervencii,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>b) primerane prepočítaných nákladov zdravotnej poisťovne na liečbu inými dostupnými medicínskymi intervenciami.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(2) Pri výpočte základu podľa </w:t>
      </w:r>
      <w:hyperlink r:id="rId9" w:history="1">
        <w:r w:rsidRPr="00C24E30">
          <w:rPr>
            <w:rFonts w:ascii="Times New Roman" w:eastAsia="Times New Roman" w:hAnsi="Times New Roman"/>
            <w:sz w:val="24"/>
            <w:szCs w:val="24"/>
            <w:lang w:eastAsia="sk-SK"/>
          </w:rPr>
          <w:t>odseku 1</w:t>
        </w:r>
      </w:hyperlink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sa zohľadňujú porovnateľné medicínske intervencie, ktoré sú štandardne používané v podmienkach bežnej terapeutickej praxe, pričom môžu byť plne alebo čiastočne nahradené použitím dietetických potravín zaradených v posudzovanej podskupine dietetických potravín alebo úhradovej skupine. Na mechanizmus účinku sa neprihliada. Ak to vyplýva z charakteru porovnávaných intervencií, rozdiely v dĺžke liečby sa zohľadnia primerane.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(3) Základ podľa </w:t>
      </w:r>
      <w:hyperlink r:id="rId10" w:history="1">
        <w:r w:rsidRPr="00C24E30">
          <w:rPr>
            <w:rFonts w:ascii="Times New Roman" w:eastAsia="Times New Roman" w:hAnsi="Times New Roman"/>
            <w:sz w:val="24"/>
            <w:szCs w:val="24"/>
            <w:lang w:eastAsia="sk-SK"/>
          </w:rPr>
          <w:t>odseku 1</w:t>
        </w:r>
      </w:hyperlink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zvýšiť alebo znížiť maximálne o 20% podľa týchto </w:t>
      </w: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kritérií: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a) v klinických štúdiách preukázané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1. zníženie výskytu závažných komplikácií choroby najmenej o 20%,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2. významné upravenie merateľných parametrov, ktoré majú vzťah k patogenéze choroby,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3. významné zvýšenie kvality života,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b) zníženie celkového počtu podávaných dietetických potravín pacientovi.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(4) Pri určovaní skupinovej úhrady sa posúdenie kritérií podľa </w:t>
      </w:r>
      <w:hyperlink r:id="rId11" w:history="1">
        <w:r w:rsidRPr="00C24E30">
          <w:rPr>
            <w:rFonts w:ascii="Times New Roman" w:eastAsia="Times New Roman" w:hAnsi="Times New Roman"/>
            <w:sz w:val="24"/>
            <w:szCs w:val="24"/>
            <w:lang w:eastAsia="sk-SK"/>
          </w:rPr>
          <w:t>odseku 3</w:t>
        </w:r>
      </w:hyperlink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vykonáva pre podskupinu dietetických potravín</w:t>
      </w:r>
      <w:r w:rsidR="007B4987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v ktorej je zaradená referenčná dietetická potravina úhradovej skupiny.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§ 7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Úhrada poisťovne pre špecifickú podskupinu dietetických potravín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(1) Špecifickou podskupinou sa na účely tejto vyhlášky rozumie podskupina dietetických potravín, v ktorej sú zaradené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a) dietetické potraviny určené na liečbu choroby, ktorej </w:t>
      </w:r>
      <w:proofErr w:type="spellStart"/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>prevalencia</w:t>
      </w:r>
      <w:proofErr w:type="spellEnd"/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v Slovenskej republike je nižšia ako 1:100 000,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>b) dietetické potraviny, ktoré sú indikované na nutričné ovplyvnenie patologického procesu pre definovanú skupinu pacientov nezávisle na stave výživy pacienta.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(2) Úhrada poisťovne pre špecifickú podskupinu dietetických potravín sa podľa </w:t>
      </w:r>
      <w:hyperlink r:id="rId12" w:history="1">
        <w:r w:rsidRPr="00C24E30">
          <w:rPr>
            <w:rFonts w:ascii="Times New Roman" w:eastAsia="Times New Roman" w:hAnsi="Times New Roman"/>
            <w:sz w:val="24"/>
            <w:szCs w:val="24"/>
            <w:lang w:eastAsia="sk-SK"/>
          </w:rPr>
          <w:t>odseku 1 písm. a) a b)</w:t>
        </w:r>
      </w:hyperlink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, určí tak, aby maximálny doplatok poistenca prepočítaný na mesiac liečby alebo cyklus liečby kratší ako jeden mesiac referenčnou dietetickou potravinou neprevýšil 5% z priemernej mesačnej mzdy zamestnanca v hospodárstve Slovenskej republiky zistenej Štatistickým úradom Slovenskej republiky za kalendárny rok, ktorý dva roky predchádza kalendárnemu roku, v ktorom sa určuje úhrada. 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(3) Na určovanie úhrady poisťovne pre špecifickú podskupinu dietetických potravín sa primerane vzťahujú ustanovenia </w:t>
      </w:r>
      <w:hyperlink r:id="rId13" w:history="1">
        <w:r w:rsidRPr="00C24E30">
          <w:rPr>
            <w:rFonts w:ascii="Times New Roman" w:eastAsia="Times New Roman" w:hAnsi="Times New Roman"/>
            <w:sz w:val="24"/>
            <w:szCs w:val="24"/>
            <w:lang w:eastAsia="sk-SK"/>
          </w:rPr>
          <w:t xml:space="preserve">§ 5 až </w:t>
        </w:r>
      </w:hyperlink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6.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§ 8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Prehodnotenie úhrad poisťovne a skupinových úhrad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(1) Prehodnotenie úhrad poisťovne a skupinových úhrad (ďalej len "prehodnotenie úhrad") sa vykonáva tak, aby rozhodnutia nadobudli vykonateľnosť k prvému dňu kalendárneho štvrťroka.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(2) Prehodnotenie úhrad sa vykonáva podľa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a) </w:t>
      </w:r>
      <w:hyperlink r:id="rId14" w:history="1">
        <w:r w:rsidRPr="00C24E30">
          <w:rPr>
            <w:rFonts w:ascii="Times New Roman" w:eastAsia="Times New Roman" w:hAnsi="Times New Roman"/>
            <w:sz w:val="24"/>
            <w:szCs w:val="24"/>
            <w:lang w:eastAsia="sk-SK"/>
          </w:rPr>
          <w:t xml:space="preserve">§ 5 až </w:t>
        </w:r>
      </w:hyperlink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7 primerane,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b) </w:t>
      </w:r>
      <w:hyperlink r:id="rId15" w:history="1">
        <w:r w:rsidRPr="00C24E30">
          <w:rPr>
            <w:rFonts w:ascii="Times New Roman" w:eastAsia="Times New Roman" w:hAnsi="Times New Roman"/>
            <w:sz w:val="24"/>
            <w:szCs w:val="24"/>
            <w:lang w:eastAsia="sk-SK"/>
          </w:rPr>
          <w:t>odseku 3</w:t>
        </w:r>
      </w:hyperlink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, ak ide o podskupinu dietetických potravín, alebo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c) </w:t>
      </w:r>
      <w:hyperlink r:id="rId16" w:history="1">
        <w:r w:rsidRPr="00C24E30">
          <w:rPr>
            <w:rFonts w:ascii="Times New Roman" w:eastAsia="Times New Roman" w:hAnsi="Times New Roman"/>
            <w:sz w:val="24"/>
            <w:szCs w:val="24"/>
            <w:lang w:eastAsia="sk-SK"/>
          </w:rPr>
          <w:t>odseku 4</w:t>
        </w:r>
      </w:hyperlink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, ak ide o podskupiny dietetických potravín, ktoré tvoria úhradovú skupinu.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(3) Ak sa zmenila referenčná cena dietetickej potraviny, úhrada poisťovne pre podskupinu sa určí tak, aby podiel maximálnej výšky doplatku poistenca za referenčnú dietetickú potravinu a maximálnej ceny referenčnej dietetickej potraviny vo verejnej lekárni zostal nezmenený.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(4) Ak sa zmenila referenčná cena úhradovej skupiny, skupinová úhrada sa určí tak, aby podiel maximálnej výšky doplatku poistenca za referenčnú dietetickú potravinu úhradovej skupiny a maximálnej ceny referenčnej dietetickej potraviny úhradovej skupiny vo verejnej lekárni zostal nezmenený.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(5) Pri prehodnotení úhrad podľa </w:t>
      </w:r>
      <w:hyperlink r:id="rId17" w:history="1">
        <w:r w:rsidRPr="00C24E30">
          <w:rPr>
            <w:rFonts w:ascii="Times New Roman" w:eastAsia="Times New Roman" w:hAnsi="Times New Roman"/>
            <w:sz w:val="24"/>
            <w:szCs w:val="24"/>
            <w:lang w:eastAsia="sk-SK"/>
          </w:rPr>
          <w:t>odsekov 3</w:t>
        </w:r>
      </w:hyperlink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a </w:t>
      </w:r>
      <w:hyperlink r:id="rId18" w:history="1">
        <w:r w:rsidRPr="00C24E30">
          <w:rPr>
            <w:rFonts w:ascii="Times New Roman" w:eastAsia="Times New Roman" w:hAnsi="Times New Roman"/>
            <w:sz w:val="24"/>
            <w:szCs w:val="24"/>
            <w:lang w:eastAsia="sk-SK"/>
          </w:rPr>
          <w:t>4</w:t>
        </w:r>
      </w:hyperlink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sa prihliada na podiel maximálnej výšky doplatku poistenca za dietetickú potravinu a maximálnu cenu dietetickej potraviny vo verejnej lekárni určených k prvému dňu prechádzajúceho kalendárneho štvrťroka.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§ 9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Spoločné ustanovenia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(1) Úhrada poisťovne pre podskupinu dietetických potravín sa určí tak, aby neprevýšila referenčnú cenu dietetickej potraviny.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(2) Skupinová úhrada pre úhradovú skupinu sa určí tak, aby neprevýšila referenčnú cenu úhradovej skupiny.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§ 10 </w:t>
      </w:r>
    </w:p>
    <w:p w:rsidR="00051227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246F4" w:rsidRDefault="00D246F4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0" w:name="_GoBack"/>
      <w:bookmarkEnd w:id="0"/>
    </w:p>
    <w:p w:rsidR="00D246F4" w:rsidRPr="00C24E30" w:rsidRDefault="00D246F4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246F4">
        <w:rPr>
          <w:rFonts w:ascii="Times New Roman" w:eastAsia="Times New Roman" w:hAnsi="Times New Roman"/>
          <w:sz w:val="24"/>
          <w:szCs w:val="24"/>
          <w:lang w:eastAsia="sk-SK"/>
        </w:rPr>
        <w:t>Táto vyhláška nadobúda účinnosť 1. januára 2018.</w:t>
      </w:r>
    </w:p>
    <w:p w:rsidR="00051227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229F7" w:rsidRDefault="00B229F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229F7" w:rsidRDefault="00B229F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229F7" w:rsidRDefault="00B229F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229F7" w:rsidRDefault="00B229F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229F7" w:rsidRPr="00C24E30" w:rsidRDefault="00B229F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Tomáš Drucker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minister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B229F7" w:rsidRDefault="00B229F7">
      <w:pPr>
        <w:rPr>
          <w:rFonts w:ascii="Times New Roman" w:eastAsia="Times New Roman" w:hAnsi="Times New Roman"/>
          <w:b/>
          <w:bCs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sk-SK"/>
        </w:rPr>
        <w:br w:type="page"/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sk-SK"/>
        </w:rPr>
      </w:pPr>
      <w:r w:rsidRPr="00C24E30">
        <w:rPr>
          <w:rFonts w:ascii="Times New Roman" w:eastAsia="Times New Roman" w:hAnsi="Times New Roman"/>
          <w:b/>
          <w:bCs/>
          <w:sz w:val="18"/>
          <w:szCs w:val="18"/>
          <w:lang w:eastAsia="sk-SK"/>
        </w:rPr>
        <w:lastRenderedPageBreak/>
        <w:t xml:space="preserve">Príloha 1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sk-SK"/>
        </w:rPr>
      </w:pP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43"/>
        <w:gridCol w:w="5576"/>
        <w:gridCol w:w="813"/>
        <w:gridCol w:w="842"/>
      </w:tblGrid>
      <w:tr w:rsidR="00051227" w:rsidRPr="00C24E30" w:rsidTr="002B4B7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Úhradová skupina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7" w:rsidRPr="00C24E30" w:rsidRDefault="00051227" w:rsidP="002B4B7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Podskupina dietetických</w:t>
            </w:r>
          </w:p>
          <w:p w:rsidR="00051227" w:rsidRPr="00C24E30" w:rsidRDefault="00051227" w:rsidP="002B4B7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potravín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Koeficient</w:t>
            </w: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V06CAA0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Štandardná 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do jedného roku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V06CAB0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Tekutá štandardná 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do jedného roku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p.o.sol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V06CAA1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Štandardná 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od jedného roku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V06CAA3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Štandardná 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od troch rokov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V06CAA6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Štandardná 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od ôsmich rokov veku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V06CAA7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Štandardná 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od deviatich rokov veku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V06CAA8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Štandardná 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od pätnástich rokov veku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V06CAA9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Štandardná 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v gravidite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V06CAC0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Doplnková 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v prášku od pol roka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V06CAC1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Doplnková 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v prášku od jedného roku veku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V06CAC3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Doplnková 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v prášku od troch  rokov veku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V06CAC4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Doplnková 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v prášku od štyroch  rokov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V06CAC8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Doplnková 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v prášku od  pätnástich rokov veku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V06CAD0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Tekutá doplnková 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od pol roka 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V06CAD3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Tekutá doplnková 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od troch rokov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sol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V06CAD4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Tekutá doplnková 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od štyroch rokov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sol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V06CAD6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Tekutá doplnková 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od ôsmich rokov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sol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 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V06CBA0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a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tyrozínu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do jedného roku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V06CBA1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a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tyrozínu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od jedného roku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V06CBA5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a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tyrozínu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od šiestich rokov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V06CBA6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a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tyrozínu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od ôsmich rokov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V06CBA8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a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tyrozínu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od pätnástich rokov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V06CBB0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leucínu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izoleucínu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valínu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do jedného roku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V06CBB1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leucínu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izoleucínu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valínu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od jedného roku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V06CBB5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leucínu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izoleucínu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valínu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od šiestich rokov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V06CBB7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leucínu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izoleucínu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valínu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od deviatich  rokov veku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V06CBB8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leucínu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izoleucínu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valínu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od pätnástich  rokov veku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V06CBC0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metionínu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do jedného roku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V06CBC1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metionínu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od jedného roku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V06CBC5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metionínu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od šiestich rokov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V06CBC6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metionínu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od ôsmich  rokov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V06CBC8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metionínu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od pätnástich  rokov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V06CBD0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lyzínu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a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tryptofánu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do jedného roku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V06CBD1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lyzínu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a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tryptofánu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od jedného roku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V06CBE0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leucínu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do jedného roku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V06CBE1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leucínu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od jedného roku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V06CBE5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leucínu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od šiestich rokov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V06CBF0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izoleucínu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metionínu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treonínu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valínu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do jedného roku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V06CBF1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izoleucínu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metionínu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treonínu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valínu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od jedného roku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V06CBF5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izoleucínu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metionínu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treonínu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valínu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od šiestich rokov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V06CBF6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Výživa bez 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izoleucínu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metionínu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treonínu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valínu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 od ôsmich  rokov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V06CBF8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izoleucínu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metionínu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treonínu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valínu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 od pätnástich  rokov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V06CCA0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Esenciálne AK, stopové prvky, vitamíny do jedného roku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V06CCA1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Esenciálne AK, stopové prvky, vitamíny od jedného roku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V06CCA5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Esenciálne AK, stopové prvky, vitamíny od šiestich rokov veku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V06CCA6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Esenciálne AK, stopové prvky, vitamíny od ôsmich rokov veku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V06CCA8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Esenciálne AK, stopové prvky, vitamíny od pätnástich rokov veku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V06CDA2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Nízkoproteínové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suroviny so zníženým obsahom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0,9</w:t>
            </w: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V06CDA3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Nízkoproteínové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nápoje v prášku so zníženým obsahom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V06CDA4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Nízkoproteínové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nápoje so zníženým obsahom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sol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V06CDB2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Nízkoproteínové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 potraviny so zníženým obsahom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 do 150 g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0,70</w:t>
            </w: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V06CDB3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Nízkoproteínové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 potraviny so zníženým obsahom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 nad 150 g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V06CDB4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Nízkoproteínové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potraviny so zníženým obsahom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 nad 200 g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V06CDB5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Nízkoproteínové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 potraviny so zníženým obsahom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 nad 400 g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V06CEA1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Bezlepkové potravinové suroviny - základné múky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0,9</w:t>
            </w: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V06CEA2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Bezlepkové potravinové suroviny - špeciálne múky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V06CEA3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Bezlepkové potravinové suroviny - špeciálne, iné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V06CEB1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Bezlepkové potraviny - chlieb, pečivo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0,70</w:t>
            </w: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V06CEB2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Bezlepkové potraviny - cestoviny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V06CEA4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Bezlepkové potravinové suroviny - doplnkové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0,30</w:t>
            </w: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V06CEB3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Bezlepkové potraviny - doplnkové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V06CEB4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Bezlepkové potraviny - doplnkové, polotovar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V06DFB1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Oligomérne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mliečne prípravky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0,70</w:t>
            </w: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V06DFB2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Oligomérne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mliečne prípravky s MCT tukmi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V06DFC1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Výživa na báze aminokyselín pre dojčatá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0,70</w:t>
            </w: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V06DFC2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Výživa, na báze aminokyselín pre deti do troch rokov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V06DXA1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Ženské materské mlieko bez nákladov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sol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0,90</w:t>
            </w: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V06DXA2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Ženské materské mlieko s nákladmi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sol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V06EAA2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Polymérne diéty do 100 kcal/100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sol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V06EAA3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Polymérne diéty do 150 kcal/100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sol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 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V06EAA4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Polymérne diéty do 200 kcal/100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sol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 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V06EAA5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Polymérne diéty do 240 kcal/100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sol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 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V06EAB2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Polymérne diéty s vlákninou do 100 kcal/100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sol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V06EAB3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Polymérne diéty s vlákninou do 150 kcal/100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sol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V06EAB4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Polymérne diéty s vlákninou do 200 kcal/100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sol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V06EBA2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Polymérne diéty pre deti do 100 kcal/100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sol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V06EBA3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Polymérne diéty pre deti do 150 kcal/100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sol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V06EBB3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Polymérne diéty s vlákninou pre deti do 150 kcal/100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sol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V06EFB2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Diéty pre diabetikov s vlákninou do 100 kcal/100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sol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V06EFB3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Diéty pre diabetikov s vlákninou do 150 kcal/100 ml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sol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V06EGA4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Diéty pri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renálnej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insuficiencii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bez vlákniny do 200 kcal/100 ml a obsahom bielkovín ≥ 7 g na 100 ml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sol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V06EGB4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Diéty pri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renálnej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insuficiencii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s vlákninou do 200 kcal/100 ml a  obsahom bielkovín ≥ 7 g na 100 ml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sol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V06EGC4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Diéty pri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renálnej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insuficiencii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s vlákninou do 200 kcal/100 ml a  obsahom bielkovín ≤ 5 g na 100 ml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sol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5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V06EIA3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Imunomodulačné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diéty s omega 3 MK, MUFA, MCT   do 150kcal/100 ml s vlákninou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sol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V06EIA4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Imunomodulačné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diéty s omega 3 MK, MUFA, MCT  do 200kcal/100 ml s vlákninou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sol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</w:tbl>
    <w:p w:rsidR="00FC4BCF" w:rsidRDefault="00FC4BCF"/>
    <w:sectPr w:rsidR="00FC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5483D"/>
    <w:multiLevelType w:val="hybridMultilevel"/>
    <w:tmpl w:val="EBC0A338"/>
    <w:lvl w:ilvl="0" w:tplc="224C4258">
      <w:start w:val="1"/>
      <w:numFmt w:val="lowerLetter"/>
      <w:pStyle w:val="1podsek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D1"/>
    <w:rsid w:val="00051227"/>
    <w:rsid w:val="004A41D1"/>
    <w:rsid w:val="007B4987"/>
    <w:rsid w:val="00B229F7"/>
    <w:rsid w:val="00D246F4"/>
    <w:rsid w:val="00FC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D053"/>
  <w15:docId w15:val="{57503239-E019-4DF8-AE9A-142F4BC9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122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podsek">
    <w:name w:val="1podsek"/>
    <w:basedOn w:val="Odsekzoznamu"/>
    <w:qFormat/>
    <w:rsid w:val="00051227"/>
    <w:pPr>
      <w:numPr>
        <w:numId w:val="1"/>
      </w:numPr>
      <w:tabs>
        <w:tab w:val="num" w:pos="360"/>
      </w:tabs>
      <w:autoSpaceDE w:val="0"/>
      <w:autoSpaceDN w:val="0"/>
      <w:adjustRightInd w:val="0"/>
      <w:spacing w:after="0" w:line="240" w:lineRule="auto"/>
      <w:ind w:left="720" w:firstLine="0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51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435/2011%20Z.z.'&amp;ucin-k-dni='30.12.9999'" TargetMode="External"/><Relationship Id="rId13" Type="http://schemas.openxmlformats.org/officeDocument/2006/relationships/hyperlink" Target="aspi://module='ASPI'&amp;link='435/2011%20Z.z.%25235-7'&amp;ucin-k-dni='30.12.9999'" TargetMode="External"/><Relationship Id="rId18" Type="http://schemas.openxmlformats.org/officeDocument/2006/relationships/hyperlink" Target="aspi://module='ASPI'&amp;link='435/2011%20Z.z.%25239'&amp;ucin-k-dni='30.12.9999'" TargetMode="Externa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435/2011%20Z.z.'&amp;ucin-k-dni='30.12.9999'" TargetMode="External"/><Relationship Id="rId12" Type="http://schemas.openxmlformats.org/officeDocument/2006/relationships/hyperlink" Target="aspi://module='ASPI'&amp;link='435/2011%20Z.z.%25238'&amp;ucin-k-dni='30.12.9999'" TargetMode="External"/><Relationship Id="rId17" Type="http://schemas.openxmlformats.org/officeDocument/2006/relationships/hyperlink" Target="aspi://module='ASPI'&amp;link='435/2011%20Z.z.%25239'&amp;ucin-k-dni='30.12.9999'" TargetMode="External"/><Relationship Id="rId2" Type="http://schemas.openxmlformats.org/officeDocument/2006/relationships/styles" Target="styles.xml"/><Relationship Id="rId16" Type="http://schemas.openxmlformats.org/officeDocument/2006/relationships/hyperlink" Target="aspi://module='ASPI'&amp;link='435/2011%20Z.z.%25239'&amp;ucin-k-dni='30.12.9999'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aspi://module='ASPI'&amp;link='435/2011%20Z.z.'&amp;ucin-k-dni='30.12.9999'" TargetMode="External"/><Relationship Id="rId11" Type="http://schemas.openxmlformats.org/officeDocument/2006/relationships/hyperlink" Target="aspi://module='ASPI'&amp;link='435/2011%20Z.z.%25237'&amp;ucin-k-dni='30.12.9999'" TargetMode="External"/><Relationship Id="rId5" Type="http://schemas.openxmlformats.org/officeDocument/2006/relationships/hyperlink" Target="aspi://module='ASPI'&amp;link='363/2011%20Z.z.%25236'&amp;ucin-k-dni='30.12.9999'" TargetMode="External"/><Relationship Id="rId15" Type="http://schemas.openxmlformats.org/officeDocument/2006/relationships/hyperlink" Target="aspi://module='ASPI'&amp;link='435/2011%20Z.z.%25239'&amp;ucin-k-dni='30.12.9999'" TargetMode="External"/><Relationship Id="rId10" Type="http://schemas.openxmlformats.org/officeDocument/2006/relationships/hyperlink" Target="aspi://module='ASPI'&amp;link='435/2011%20Z.z.%25237'&amp;ucin-k-dni='30.12.9999'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spi://module='ASPI'&amp;link='435/2011%20Z.z.%25237'&amp;ucin-k-dni='30.12.9999'" TargetMode="External"/><Relationship Id="rId14" Type="http://schemas.openxmlformats.org/officeDocument/2006/relationships/hyperlink" Target="aspi://module='ASPI'&amp;link='435/2011%20Z.z.%25235-8'&amp;ucin-k-dni='30.12.9999'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Vincová Veronika</dc:creator>
  <cp:keywords/>
  <dc:description/>
  <cp:lastModifiedBy>Vincová Veronika</cp:lastModifiedBy>
  <cp:revision>2</cp:revision>
  <dcterms:created xsi:type="dcterms:W3CDTF">2017-08-08T18:09:00Z</dcterms:created>
  <dcterms:modified xsi:type="dcterms:W3CDTF">2017-08-08T18:09:00Z</dcterms:modified>
</cp:coreProperties>
</file>