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06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9575A7" w:rsidP="007B71A4">
                      <w:pPr>
                        <w:jc w:val="center"/>
                      </w:pPr>
                      <w:r>
                        <w:rPr>
                          <w:rFonts w:ascii="MS Gothic" w:eastAsia="MS Gothic" w:hAnsi="MS Gothic" w:hint="eastAsia"/>
                        </w:rPr>
                        <w:t>☒</w:t>
                      </w:r>
                    </w:p>
                  </w:tc>
                </w:sdtContent>
              </w:sdt>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Borders>
              <w:bottom w:val="single" w:sz="4" w:space="0" w:color="auto"/>
            </w:tcBorders>
          </w:tcPr>
          <w:p w:rsidR="009F2DFA" w:rsidRPr="00B13551" w:rsidRDefault="009575A7" w:rsidP="007B71A4">
            <w:pPr>
              <w:rPr>
                <w:b/>
              </w:rPr>
            </w:pPr>
            <w:r w:rsidRPr="00B13551">
              <w:rPr>
                <w:b/>
              </w:rPr>
              <w:t>Predpokladá sa, že návrh zákona ovplyvní:</w:t>
            </w:r>
          </w:p>
          <w:p w:rsidR="000021E6" w:rsidRPr="000021E6" w:rsidRDefault="009575A7" w:rsidP="00F742C6">
            <w:pPr>
              <w:pStyle w:val="Odsekzoznamu"/>
              <w:numPr>
                <w:ilvl w:val="0"/>
                <w:numId w:val="13"/>
              </w:numPr>
              <w:rPr>
                <w:b/>
                <w:sz w:val="20"/>
                <w:szCs w:val="20"/>
              </w:rPr>
            </w:pPr>
            <w:r w:rsidRPr="000021E6">
              <w:rPr>
                <w:rFonts w:ascii="Times New Roman" w:hAnsi="Times New Roman" w:cs="Times New Roman"/>
                <w:b/>
                <w:sz w:val="20"/>
                <w:szCs w:val="20"/>
              </w:rPr>
              <w:t>právnické osoby</w:t>
            </w:r>
            <w:r w:rsidR="000021E6" w:rsidRPr="000021E6">
              <w:rPr>
                <w:rFonts w:ascii="Times New Roman" w:hAnsi="Times New Roman" w:cs="Times New Roman"/>
                <w:b/>
                <w:sz w:val="20"/>
                <w:szCs w:val="20"/>
              </w:rPr>
              <w:t>, ktoré prevádzkujú kúpele na základe povolenia</w:t>
            </w:r>
          </w:p>
          <w:p w:rsidR="000021E6" w:rsidRPr="000021E6" w:rsidRDefault="000021E6" w:rsidP="00F742C6">
            <w:pPr>
              <w:pStyle w:val="Odsekzoznamu"/>
              <w:numPr>
                <w:ilvl w:val="0"/>
                <w:numId w:val="13"/>
              </w:numPr>
              <w:rPr>
                <w:rFonts w:ascii="Times New Roman" w:hAnsi="Times New Roman" w:cs="Times New Roman"/>
                <w:b/>
                <w:sz w:val="20"/>
                <w:szCs w:val="20"/>
              </w:rPr>
            </w:pPr>
            <w:r w:rsidRPr="000021E6">
              <w:rPr>
                <w:rFonts w:ascii="Times New Roman" w:hAnsi="Times New Roman" w:cs="Times New Roman"/>
                <w:b/>
                <w:sz w:val="20"/>
                <w:szCs w:val="20"/>
              </w:rPr>
              <w:t>podnikateľské subjekty vykonávajúce podnikový výskum a vývoj</w:t>
            </w:r>
          </w:p>
          <w:p w:rsidR="000021E6" w:rsidRPr="000021E6" w:rsidRDefault="000021E6" w:rsidP="00F742C6">
            <w:pPr>
              <w:pStyle w:val="Odsekzoznamu"/>
              <w:numPr>
                <w:ilvl w:val="0"/>
                <w:numId w:val="13"/>
              </w:numPr>
              <w:rPr>
                <w:rFonts w:ascii="Times New Roman" w:hAnsi="Times New Roman" w:cs="Times New Roman"/>
                <w:b/>
                <w:sz w:val="20"/>
                <w:szCs w:val="20"/>
              </w:rPr>
            </w:pPr>
            <w:r w:rsidRPr="000021E6">
              <w:rPr>
                <w:rFonts w:ascii="Times New Roman" w:hAnsi="Times New Roman" w:cs="Times New Roman"/>
                <w:b/>
                <w:sz w:val="20"/>
                <w:szCs w:val="20"/>
              </w:rPr>
              <w:t>právnické osoby poberajúce príjmy z poskytnutia práv k vybraným nehmotným aktívam</w:t>
            </w:r>
          </w:p>
          <w:p w:rsidR="000021E6" w:rsidRPr="000021E6" w:rsidRDefault="000021E6" w:rsidP="00F742C6">
            <w:pPr>
              <w:pStyle w:val="Odsekzoznamu"/>
              <w:numPr>
                <w:ilvl w:val="0"/>
                <w:numId w:val="13"/>
              </w:numPr>
              <w:rPr>
                <w:rFonts w:ascii="Times New Roman" w:hAnsi="Times New Roman" w:cs="Times New Roman"/>
                <w:b/>
                <w:sz w:val="20"/>
                <w:szCs w:val="20"/>
              </w:rPr>
            </w:pPr>
            <w:r w:rsidRPr="000021E6">
              <w:rPr>
                <w:rFonts w:ascii="Times New Roman" w:hAnsi="Times New Roman" w:cs="Times New Roman"/>
                <w:b/>
                <w:sz w:val="20"/>
                <w:szCs w:val="20"/>
              </w:rPr>
              <w:t>právnické osoby presúvajúce majetok mimo územia SR</w:t>
            </w:r>
          </w:p>
          <w:p w:rsidR="000021E6" w:rsidRPr="000021E6" w:rsidRDefault="000021E6" w:rsidP="00F742C6">
            <w:pPr>
              <w:pStyle w:val="Odsekzoznamu"/>
              <w:numPr>
                <w:ilvl w:val="0"/>
                <w:numId w:val="13"/>
              </w:numPr>
              <w:rPr>
                <w:rFonts w:ascii="Times New Roman" w:hAnsi="Times New Roman" w:cs="Times New Roman"/>
                <w:b/>
                <w:sz w:val="20"/>
                <w:szCs w:val="20"/>
              </w:rPr>
            </w:pPr>
            <w:r w:rsidRPr="000021E6">
              <w:rPr>
                <w:rFonts w:ascii="Times New Roman" w:hAnsi="Times New Roman" w:cs="Times New Roman"/>
                <w:b/>
                <w:sz w:val="20"/>
                <w:szCs w:val="20"/>
              </w:rPr>
              <w:t xml:space="preserve">podnikateľské subjekty – lekárov, </w:t>
            </w:r>
            <w:r>
              <w:rPr>
                <w:rFonts w:ascii="Times New Roman" w:hAnsi="Times New Roman" w:cs="Times New Roman"/>
                <w:b/>
                <w:sz w:val="20"/>
                <w:szCs w:val="20"/>
              </w:rPr>
              <w:t>ktorí sa zúčastnia vzdelávacieho podujatia</w:t>
            </w:r>
          </w:p>
          <w:p w:rsidR="009575A7" w:rsidRPr="009575A7" w:rsidRDefault="00E45D0B" w:rsidP="00E45D0B">
            <w:pPr>
              <w:rPr>
                <w:i/>
              </w:rPr>
            </w:pPr>
            <w:r w:rsidRPr="00B13551">
              <w:rPr>
                <w:b/>
              </w:rPr>
              <w:t>Počet dotknutých subjektov nie je možné presne určiť.</w:t>
            </w: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Borders>
              <w:bottom w:val="single" w:sz="4" w:space="0" w:color="auto"/>
            </w:tcBorders>
          </w:tcPr>
          <w:p w:rsidR="006930F2" w:rsidRDefault="006930F2" w:rsidP="006930F2">
            <w:pPr>
              <w:jc w:val="both"/>
            </w:pPr>
            <w:r w:rsidRPr="00304E8C">
              <w:t xml:space="preserve">Konzultácie sa uskutočnili formou osobných stretnutí. </w:t>
            </w:r>
            <w:r w:rsidR="000021E6">
              <w:t xml:space="preserve"> Konzultácie trvali 4 týždne.</w:t>
            </w:r>
          </w:p>
          <w:p w:rsidR="000021E6" w:rsidRPr="00304E8C" w:rsidRDefault="000021E6" w:rsidP="006930F2">
            <w:pPr>
              <w:jc w:val="both"/>
            </w:pPr>
          </w:p>
          <w:p w:rsidR="006930F2" w:rsidRPr="00304E8C" w:rsidRDefault="006930F2" w:rsidP="006930F2">
            <w:pPr>
              <w:jc w:val="both"/>
            </w:pPr>
            <w:r w:rsidRPr="00304E8C">
              <w:t>Konzultácií sa zúčastnili:</w:t>
            </w:r>
          </w:p>
          <w:p w:rsidR="000021E6" w:rsidRPr="000021E6" w:rsidRDefault="000021E6" w:rsidP="001D270B">
            <w:pPr>
              <w:pStyle w:val="Odsekzoznamu"/>
              <w:numPr>
                <w:ilvl w:val="0"/>
                <w:numId w:val="14"/>
              </w:numPr>
              <w:ind w:left="426"/>
              <w:jc w:val="both"/>
              <w:rPr>
                <w:rFonts w:ascii="Times New Roman" w:hAnsi="Times New Roman" w:cs="Times New Roman"/>
                <w:sz w:val="20"/>
                <w:szCs w:val="20"/>
              </w:rPr>
            </w:pPr>
            <w:r w:rsidRPr="000021E6">
              <w:rPr>
                <w:rFonts w:ascii="Times New Roman" w:hAnsi="Times New Roman" w:cs="Times New Roman"/>
                <w:b/>
                <w:sz w:val="20"/>
                <w:szCs w:val="20"/>
              </w:rPr>
              <w:t>Asociácia zamestnávateľských zväzov a združení SR, Republiková únia zamestnávateľov, Klub 500</w:t>
            </w:r>
            <w:r w:rsidR="00986BB3">
              <w:rPr>
                <w:rFonts w:ascii="Times New Roman" w:hAnsi="Times New Roman" w:cs="Times New Roman"/>
                <w:b/>
                <w:sz w:val="20"/>
                <w:szCs w:val="20"/>
              </w:rPr>
              <w:t>, AMCHAM</w:t>
            </w:r>
          </w:p>
          <w:p w:rsidR="00F17EAF" w:rsidRPr="00F17EAF" w:rsidRDefault="000021E6" w:rsidP="001D270B">
            <w:pPr>
              <w:pStyle w:val="Odsekzoznamu"/>
              <w:numPr>
                <w:ilvl w:val="0"/>
                <w:numId w:val="14"/>
              </w:numPr>
              <w:ind w:left="426"/>
              <w:jc w:val="both"/>
              <w:rPr>
                <w:rFonts w:ascii="Times New Roman" w:hAnsi="Times New Roman" w:cs="Times New Roman"/>
                <w:sz w:val="20"/>
                <w:szCs w:val="20"/>
              </w:rPr>
            </w:pPr>
            <w:r>
              <w:rPr>
                <w:rFonts w:ascii="Times New Roman" w:hAnsi="Times New Roman" w:cs="Times New Roman"/>
                <w:b/>
                <w:sz w:val="20"/>
                <w:szCs w:val="20"/>
              </w:rPr>
              <w:t>Podnikateľská aliancia Slovenska a</w:t>
            </w:r>
            <w:r w:rsidR="00F17EAF">
              <w:rPr>
                <w:rFonts w:ascii="Times New Roman" w:hAnsi="Times New Roman" w:cs="Times New Roman"/>
                <w:b/>
                <w:sz w:val="20"/>
                <w:szCs w:val="20"/>
              </w:rPr>
              <w:t> Združenie podnikateľov Slovenska</w:t>
            </w:r>
          </w:p>
          <w:p w:rsidR="00F17EAF" w:rsidRPr="00F17EAF" w:rsidRDefault="00F17EAF" w:rsidP="001D270B">
            <w:pPr>
              <w:pStyle w:val="Odsekzoznamu"/>
              <w:numPr>
                <w:ilvl w:val="0"/>
                <w:numId w:val="14"/>
              </w:numPr>
              <w:ind w:left="426"/>
              <w:jc w:val="both"/>
              <w:rPr>
                <w:rFonts w:ascii="Times New Roman" w:hAnsi="Times New Roman" w:cs="Times New Roman"/>
                <w:b/>
                <w:sz w:val="20"/>
                <w:szCs w:val="20"/>
              </w:rPr>
            </w:pPr>
            <w:r w:rsidRPr="00F17EAF">
              <w:rPr>
                <w:rFonts w:ascii="Times New Roman" w:hAnsi="Times New Roman" w:cs="Times New Roman"/>
                <w:b/>
                <w:sz w:val="20"/>
                <w:szCs w:val="20"/>
              </w:rPr>
              <w:t>Slovenská banková asociácia</w:t>
            </w:r>
          </w:p>
          <w:p w:rsidR="00F17EAF" w:rsidRPr="00F17EAF" w:rsidRDefault="00F17EAF" w:rsidP="001D270B">
            <w:pPr>
              <w:pStyle w:val="Odsekzoznamu"/>
              <w:numPr>
                <w:ilvl w:val="0"/>
                <w:numId w:val="14"/>
              </w:numPr>
              <w:ind w:left="426"/>
              <w:jc w:val="both"/>
              <w:rPr>
                <w:rFonts w:ascii="Times New Roman" w:hAnsi="Times New Roman" w:cs="Times New Roman"/>
                <w:b/>
                <w:sz w:val="20"/>
                <w:szCs w:val="20"/>
              </w:rPr>
            </w:pPr>
            <w:r w:rsidRPr="00F17EAF">
              <w:rPr>
                <w:rFonts w:ascii="Times New Roman" w:hAnsi="Times New Roman" w:cs="Times New Roman"/>
                <w:b/>
                <w:sz w:val="20"/>
                <w:szCs w:val="20"/>
              </w:rPr>
              <w:t>Slovenská komora daňových poradcov</w:t>
            </w:r>
          </w:p>
          <w:p w:rsidR="00F17EAF" w:rsidRPr="00F17EAF" w:rsidRDefault="00F17EAF" w:rsidP="001D270B">
            <w:pPr>
              <w:pStyle w:val="Odsekzoznamu"/>
              <w:numPr>
                <w:ilvl w:val="0"/>
                <w:numId w:val="14"/>
              </w:numPr>
              <w:ind w:left="426"/>
              <w:jc w:val="both"/>
              <w:rPr>
                <w:rFonts w:ascii="Times New Roman" w:hAnsi="Times New Roman" w:cs="Times New Roman"/>
                <w:b/>
                <w:sz w:val="20"/>
                <w:szCs w:val="20"/>
              </w:rPr>
            </w:pPr>
            <w:r w:rsidRPr="00F17EAF">
              <w:rPr>
                <w:rFonts w:ascii="Times New Roman" w:hAnsi="Times New Roman" w:cs="Times New Roman"/>
                <w:b/>
                <w:sz w:val="20"/>
                <w:szCs w:val="20"/>
              </w:rPr>
              <w:t>Slovenská asociácia poisťovní</w:t>
            </w:r>
          </w:p>
          <w:p w:rsidR="00F17EAF" w:rsidRPr="00F17EAF" w:rsidRDefault="00F17EAF" w:rsidP="001D270B">
            <w:pPr>
              <w:pStyle w:val="Odsekzoznamu"/>
              <w:numPr>
                <w:ilvl w:val="0"/>
                <w:numId w:val="14"/>
              </w:numPr>
              <w:ind w:left="426"/>
              <w:jc w:val="both"/>
              <w:rPr>
                <w:rFonts w:ascii="Times New Roman" w:hAnsi="Times New Roman" w:cs="Times New Roman"/>
                <w:b/>
                <w:sz w:val="20"/>
                <w:szCs w:val="20"/>
              </w:rPr>
            </w:pPr>
            <w:r w:rsidRPr="00F17EAF">
              <w:rPr>
                <w:rFonts w:ascii="Times New Roman" w:hAnsi="Times New Roman" w:cs="Times New Roman"/>
                <w:b/>
                <w:sz w:val="20"/>
                <w:szCs w:val="20"/>
              </w:rPr>
              <w:t>Slovenská lekárska komora a slovenská lekárska spoločnosť</w:t>
            </w:r>
          </w:p>
          <w:p w:rsidR="00F17EAF" w:rsidRPr="00F17EAF" w:rsidRDefault="00F17EAF" w:rsidP="001D270B">
            <w:pPr>
              <w:pStyle w:val="Odsekzoznamu"/>
              <w:numPr>
                <w:ilvl w:val="0"/>
                <w:numId w:val="14"/>
              </w:numPr>
              <w:ind w:left="426"/>
              <w:jc w:val="both"/>
              <w:rPr>
                <w:rFonts w:ascii="Times New Roman" w:hAnsi="Times New Roman" w:cs="Times New Roman"/>
                <w:b/>
                <w:sz w:val="20"/>
                <w:szCs w:val="20"/>
              </w:rPr>
            </w:pPr>
            <w:r w:rsidRPr="00F17EAF">
              <w:rPr>
                <w:rFonts w:ascii="Times New Roman" w:hAnsi="Times New Roman" w:cs="Times New Roman"/>
                <w:b/>
                <w:sz w:val="20"/>
                <w:szCs w:val="20"/>
              </w:rPr>
              <w:t>Slovak business agency</w:t>
            </w:r>
          </w:p>
          <w:p w:rsidR="00F17EAF" w:rsidRPr="00F17EAF" w:rsidRDefault="00F17EAF" w:rsidP="001D270B">
            <w:pPr>
              <w:pStyle w:val="Odsekzoznamu"/>
              <w:numPr>
                <w:ilvl w:val="0"/>
                <w:numId w:val="14"/>
              </w:numPr>
              <w:ind w:left="426"/>
              <w:jc w:val="both"/>
              <w:rPr>
                <w:rFonts w:ascii="Times New Roman" w:hAnsi="Times New Roman" w:cs="Times New Roman"/>
                <w:b/>
                <w:sz w:val="20"/>
                <w:szCs w:val="20"/>
              </w:rPr>
            </w:pPr>
            <w:r w:rsidRPr="00F17EAF">
              <w:rPr>
                <w:rFonts w:ascii="Times New Roman" w:hAnsi="Times New Roman" w:cs="Times New Roman"/>
                <w:b/>
                <w:sz w:val="20"/>
                <w:szCs w:val="20"/>
              </w:rPr>
              <w:t>Združenie miest a obcí Slovenska, Zväz cestovného ruchu a Asociácia slovenských kúpeľov</w:t>
            </w:r>
          </w:p>
          <w:p w:rsidR="006930F2" w:rsidRPr="00304E8C" w:rsidRDefault="006930F2" w:rsidP="00F17EAF">
            <w:pPr>
              <w:pStyle w:val="Odsekzoznamu"/>
              <w:ind w:left="426"/>
              <w:jc w:val="both"/>
              <w:rPr>
                <w:rFonts w:ascii="Times New Roman" w:hAnsi="Times New Roman" w:cs="Times New Roman"/>
                <w:sz w:val="20"/>
                <w:szCs w:val="20"/>
              </w:rPr>
            </w:pPr>
          </w:p>
          <w:p w:rsidR="00F17EAF" w:rsidRPr="00F17EAF" w:rsidRDefault="00F17EAF" w:rsidP="00F17EAF">
            <w:pPr>
              <w:jc w:val="both"/>
            </w:pPr>
            <w:r w:rsidRPr="00F17EAF">
              <w:t>Zástupcom predstaviteľov jednotlivých subjektov zúčastnených na konzultáciách  bol prednesený obsah návrhu a to:</w:t>
            </w:r>
          </w:p>
          <w:p w:rsidR="00F17EAF" w:rsidRPr="00F17EAF" w:rsidRDefault="00F17EAF" w:rsidP="00F17EAF">
            <w:pPr>
              <w:pStyle w:val="Odsekzoznamu"/>
              <w:numPr>
                <w:ilvl w:val="0"/>
                <w:numId w:val="20"/>
              </w:numPr>
              <w:jc w:val="both"/>
              <w:rPr>
                <w:rFonts w:ascii="Times New Roman" w:hAnsi="Times New Roman" w:cs="Times New Roman"/>
                <w:sz w:val="20"/>
                <w:szCs w:val="20"/>
              </w:rPr>
            </w:pPr>
            <w:r w:rsidRPr="00F17EAF">
              <w:rPr>
                <w:rFonts w:ascii="Times New Roman" w:hAnsi="Times New Roman" w:cs="Times New Roman"/>
                <w:i/>
                <w:sz w:val="20"/>
                <w:szCs w:val="20"/>
              </w:rPr>
              <w:t xml:space="preserve"> </w:t>
            </w:r>
            <w:r w:rsidRPr="00F17EAF">
              <w:rPr>
                <w:rFonts w:ascii="Times New Roman" w:hAnsi="Times New Roman" w:cs="Times New Roman"/>
                <w:sz w:val="20"/>
                <w:szCs w:val="20"/>
              </w:rPr>
              <w:t xml:space="preserve">Transpozícia smernice Rady EÚ 2016/1164 z 12. júla 2016, ktorou sa ustanovujú pravidlá proti praktikám vyhýbania sa daňovým povinnostiam, ktoré majú priamy vplyv na fungovanie vnútorného trhu (smernica ATAD) </w:t>
            </w:r>
          </w:p>
          <w:p w:rsidR="00F17EAF" w:rsidRPr="00F17EAF" w:rsidRDefault="00F17EAF" w:rsidP="00F17EAF">
            <w:pPr>
              <w:pStyle w:val="Odsekzoznamu"/>
              <w:numPr>
                <w:ilvl w:val="0"/>
                <w:numId w:val="19"/>
              </w:numPr>
              <w:spacing w:after="0" w:line="240" w:lineRule="auto"/>
              <w:ind w:left="1134"/>
              <w:rPr>
                <w:rFonts w:ascii="Times New Roman" w:hAnsi="Times New Roman" w:cs="Times New Roman"/>
                <w:sz w:val="20"/>
                <w:szCs w:val="20"/>
              </w:rPr>
            </w:pPr>
            <w:r w:rsidRPr="00F17EAF">
              <w:rPr>
                <w:rFonts w:ascii="Times New Roman" w:hAnsi="Times New Roman" w:cs="Times New Roman"/>
                <w:sz w:val="20"/>
                <w:szCs w:val="20"/>
              </w:rPr>
              <w:t>pravidlo o limitovaní úrokov</w:t>
            </w:r>
          </w:p>
          <w:p w:rsidR="00F17EAF" w:rsidRPr="00F17EAF" w:rsidRDefault="00F17EAF" w:rsidP="00F17EAF">
            <w:pPr>
              <w:pStyle w:val="Odsekzoznamu"/>
              <w:numPr>
                <w:ilvl w:val="0"/>
                <w:numId w:val="19"/>
              </w:numPr>
              <w:spacing w:after="0" w:line="240" w:lineRule="auto"/>
              <w:ind w:left="1134"/>
              <w:rPr>
                <w:rFonts w:ascii="Times New Roman" w:hAnsi="Times New Roman" w:cs="Times New Roman"/>
                <w:sz w:val="20"/>
                <w:szCs w:val="20"/>
              </w:rPr>
            </w:pPr>
            <w:r w:rsidRPr="00F17EAF">
              <w:rPr>
                <w:rFonts w:ascii="Times New Roman" w:hAnsi="Times New Roman" w:cs="Times New Roman"/>
                <w:sz w:val="20"/>
                <w:szCs w:val="20"/>
              </w:rPr>
              <w:t>zdaňovanie pri odchode – exit tax</w:t>
            </w:r>
          </w:p>
          <w:p w:rsidR="00F17EAF" w:rsidRPr="00F17EAF" w:rsidRDefault="00F17EAF" w:rsidP="00F17EAF">
            <w:pPr>
              <w:pStyle w:val="Odsekzoznamu"/>
              <w:numPr>
                <w:ilvl w:val="0"/>
                <w:numId w:val="19"/>
              </w:numPr>
              <w:spacing w:after="0" w:line="240" w:lineRule="auto"/>
              <w:ind w:left="1134"/>
              <w:rPr>
                <w:rFonts w:ascii="Times New Roman" w:hAnsi="Times New Roman" w:cs="Times New Roman"/>
                <w:sz w:val="20"/>
                <w:szCs w:val="20"/>
              </w:rPr>
            </w:pPr>
            <w:r w:rsidRPr="00F17EAF">
              <w:rPr>
                <w:rFonts w:ascii="Times New Roman" w:hAnsi="Times New Roman" w:cs="Times New Roman"/>
                <w:sz w:val="20"/>
                <w:szCs w:val="20"/>
              </w:rPr>
              <w:t>všeobecné pravidlo proti zneužívaniu</w:t>
            </w:r>
          </w:p>
          <w:p w:rsidR="00F17EAF" w:rsidRPr="00F17EAF" w:rsidRDefault="00F17EAF" w:rsidP="00F17EAF">
            <w:pPr>
              <w:pStyle w:val="Odsekzoznamu"/>
              <w:numPr>
                <w:ilvl w:val="0"/>
                <w:numId w:val="19"/>
              </w:numPr>
              <w:spacing w:after="0" w:line="240" w:lineRule="auto"/>
              <w:ind w:left="1134"/>
              <w:rPr>
                <w:rFonts w:ascii="Times New Roman" w:hAnsi="Times New Roman" w:cs="Times New Roman"/>
                <w:sz w:val="20"/>
                <w:szCs w:val="20"/>
              </w:rPr>
            </w:pPr>
            <w:r w:rsidRPr="00F17EAF">
              <w:rPr>
                <w:rFonts w:ascii="Times New Roman" w:hAnsi="Times New Roman" w:cs="Times New Roman"/>
                <w:sz w:val="20"/>
                <w:szCs w:val="20"/>
              </w:rPr>
              <w:t>pravidlá pre kontrolované zahraničné spoločnosti</w:t>
            </w:r>
          </w:p>
          <w:p w:rsidR="00F17EAF" w:rsidRPr="00F17EAF" w:rsidRDefault="00F17EAF" w:rsidP="00F17EAF">
            <w:pPr>
              <w:pStyle w:val="Odsekzoznamu"/>
              <w:numPr>
                <w:ilvl w:val="0"/>
                <w:numId w:val="19"/>
              </w:numPr>
              <w:spacing w:after="0" w:line="240" w:lineRule="auto"/>
              <w:ind w:left="1134"/>
              <w:rPr>
                <w:rFonts w:ascii="Times New Roman" w:hAnsi="Times New Roman" w:cs="Times New Roman"/>
                <w:sz w:val="20"/>
                <w:szCs w:val="20"/>
              </w:rPr>
            </w:pPr>
            <w:r w:rsidRPr="00F17EAF">
              <w:rPr>
                <w:rFonts w:ascii="Times New Roman" w:hAnsi="Times New Roman" w:cs="Times New Roman"/>
                <w:sz w:val="20"/>
                <w:szCs w:val="20"/>
              </w:rPr>
              <w:t xml:space="preserve">hybridné nesúlady </w:t>
            </w:r>
          </w:p>
          <w:p w:rsidR="00F17EAF" w:rsidRPr="00F17EAF" w:rsidRDefault="00F17EAF" w:rsidP="00F17EAF">
            <w:pPr>
              <w:pStyle w:val="Odsekzoznamu"/>
              <w:numPr>
                <w:ilvl w:val="0"/>
                <w:numId w:val="20"/>
              </w:numPr>
              <w:jc w:val="both"/>
              <w:rPr>
                <w:rFonts w:ascii="Times New Roman" w:hAnsi="Times New Roman" w:cs="Times New Roman"/>
                <w:sz w:val="20"/>
                <w:szCs w:val="20"/>
              </w:rPr>
            </w:pPr>
            <w:r w:rsidRPr="00F17EAF">
              <w:rPr>
                <w:rFonts w:ascii="Times New Roman" w:hAnsi="Times New Roman" w:cs="Times New Roman"/>
                <w:sz w:val="20"/>
                <w:szCs w:val="20"/>
              </w:rPr>
              <w:t>Daňová podpora kúpeľníctva</w:t>
            </w:r>
          </w:p>
          <w:p w:rsidR="00F17EAF" w:rsidRPr="00F17EAF" w:rsidRDefault="00F17EAF" w:rsidP="00F17EAF">
            <w:pPr>
              <w:pStyle w:val="Odsekzoznamu"/>
              <w:numPr>
                <w:ilvl w:val="0"/>
                <w:numId w:val="20"/>
              </w:numPr>
              <w:jc w:val="both"/>
              <w:rPr>
                <w:rFonts w:ascii="Times New Roman" w:hAnsi="Times New Roman" w:cs="Times New Roman"/>
                <w:sz w:val="20"/>
                <w:szCs w:val="20"/>
              </w:rPr>
            </w:pPr>
            <w:r w:rsidRPr="00F17EAF">
              <w:rPr>
                <w:rFonts w:ascii="Times New Roman" w:hAnsi="Times New Roman" w:cs="Times New Roman"/>
                <w:sz w:val="20"/>
                <w:szCs w:val="20"/>
              </w:rPr>
              <w:t>Daňová podpora hypoték pre mladých</w:t>
            </w:r>
          </w:p>
          <w:p w:rsidR="00F17EAF" w:rsidRPr="00F17EAF" w:rsidRDefault="00F17EAF" w:rsidP="00F17EAF">
            <w:pPr>
              <w:pStyle w:val="Odsekzoznamu"/>
              <w:numPr>
                <w:ilvl w:val="0"/>
                <w:numId w:val="20"/>
              </w:numPr>
              <w:jc w:val="both"/>
              <w:rPr>
                <w:rFonts w:ascii="Times New Roman" w:hAnsi="Times New Roman" w:cs="Times New Roman"/>
                <w:sz w:val="20"/>
                <w:szCs w:val="20"/>
              </w:rPr>
            </w:pPr>
            <w:r w:rsidRPr="00F17EAF">
              <w:rPr>
                <w:rFonts w:ascii="Times New Roman" w:hAnsi="Times New Roman" w:cs="Times New Roman"/>
                <w:sz w:val="20"/>
                <w:szCs w:val="20"/>
              </w:rPr>
              <w:t>Transferové oceňovanie</w:t>
            </w:r>
          </w:p>
          <w:p w:rsidR="00F17EAF" w:rsidRDefault="00F17EAF" w:rsidP="006930F2">
            <w:pPr>
              <w:pStyle w:val="Odsekzoznamu"/>
              <w:ind w:left="426"/>
              <w:jc w:val="both"/>
              <w:rPr>
                <w:rFonts w:ascii="Times New Roman" w:hAnsi="Times New Roman" w:cs="Times New Roman"/>
                <w:i/>
                <w:sz w:val="20"/>
                <w:szCs w:val="20"/>
              </w:rPr>
            </w:pPr>
          </w:p>
          <w:p w:rsidR="00F17EAF" w:rsidRPr="000021E6" w:rsidRDefault="00F17EAF" w:rsidP="00F17EAF">
            <w:pPr>
              <w:pStyle w:val="Odsekzoznamu"/>
              <w:numPr>
                <w:ilvl w:val="0"/>
                <w:numId w:val="17"/>
              </w:numPr>
              <w:ind w:left="454" w:hanging="283"/>
              <w:jc w:val="both"/>
              <w:rPr>
                <w:rFonts w:ascii="Times New Roman" w:hAnsi="Times New Roman" w:cs="Times New Roman"/>
                <w:sz w:val="20"/>
                <w:szCs w:val="20"/>
              </w:rPr>
            </w:pPr>
            <w:r w:rsidRPr="000021E6">
              <w:rPr>
                <w:rFonts w:ascii="Times New Roman" w:hAnsi="Times New Roman" w:cs="Times New Roman"/>
                <w:b/>
                <w:sz w:val="20"/>
                <w:szCs w:val="20"/>
              </w:rPr>
              <w:lastRenderedPageBreak/>
              <w:t>Asociácia zamestnávateľských zväzov a združení SR, Republiková únia zamestnávateľov, Klub 500</w:t>
            </w:r>
            <w:r w:rsidR="00986BB3">
              <w:rPr>
                <w:rFonts w:ascii="Times New Roman" w:hAnsi="Times New Roman" w:cs="Times New Roman"/>
                <w:b/>
                <w:sz w:val="20"/>
                <w:szCs w:val="20"/>
              </w:rPr>
              <w:t>, AMCHAM</w:t>
            </w:r>
          </w:p>
          <w:p w:rsidR="002717EE" w:rsidRPr="002717EE" w:rsidRDefault="002717EE" w:rsidP="002717EE">
            <w:pPr>
              <w:rPr>
                <w:b/>
              </w:rPr>
            </w:pPr>
            <w:r w:rsidRPr="002717EE">
              <w:rPr>
                <w:b/>
              </w:rPr>
              <w:t>K bodu 1</w:t>
            </w:r>
          </w:p>
          <w:p w:rsidR="002717EE" w:rsidRDefault="002717EE" w:rsidP="002717EE">
            <w:pPr>
              <w:jc w:val="both"/>
            </w:pPr>
            <w:r>
              <w:t>-</w:t>
            </w:r>
            <w:r w:rsidRPr="002717EE">
              <w:t xml:space="preserve"> časov</w:t>
            </w:r>
            <w:r>
              <w:t>ý</w:t>
            </w:r>
            <w:r w:rsidRPr="002717EE">
              <w:t xml:space="preserve"> harmonogram implementácie ATAD </w:t>
            </w:r>
            <w:r>
              <w:t xml:space="preserve">- </w:t>
            </w:r>
            <w:r w:rsidRPr="002717EE">
              <w:t xml:space="preserve"> MF SR informovalo, že implementácia závisí od jednotlivých pravidiel, t. j. niektoré budú zapracované s účinnosťou od 1.1.2018</w:t>
            </w:r>
            <w:r>
              <w:t xml:space="preserve"> a</w:t>
            </w:r>
            <w:r w:rsidRPr="002717EE">
              <w:t xml:space="preserve"> iné neskôr. </w:t>
            </w:r>
          </w:p>
          <w:p w:rsidR="002717EE" w:rsidRPr="002717EE" w:rsidRDefault="002717EE" w:rsidP="002717EE">
            <w:pPr>
              <w:jc w:val="both"/>
            </w:pPr>
            <w:r>
              <w:t>-v</w:t>
            </w:r>
            <w:r w:rsidRPr="002717EE">
              <w:t>zhľadom na zložitosť a novosť problematiky bola položená otázka možného spracovania podzákonných noriem (usmernení, vysvetlení) k danej téme. MF SR v súčasnosti pracuje na legislatívnom znení jednotlivých článkov smernice, pričom spracovanie podzákonných noriem prípadne iných usmernení bude závisieť od požiadaviek verejnosti.</w:t>
            </w:r>
          </w:p>
          <w:p w:rsidR="002717EE" w:rsidRPr="002717EE" w:rsidRDefault="002717EE" w:rsidP="002717EE">
            <w:pPr>
              <w:jc w:val="both"/>
            </w:pPr>
          </w:p>
          <w:p w:rsidR="002717EE" w:rsidRPr="002717EE" w:rsidRDefault="002717EE" w:rsidP="002717EE">
            <w:pPr>
              <w:rPr>
                <w:b/>
              </w:rPr>
            </w:pPr>
            <w:r w:rsidRPr="002717EE">
              <w:rPr>
                <w:b/>
              </w:rPr>
              <w:t>K bodu 2</w:t>
            </w:r>
          </w:p>
          <w:p w:rsidR="002717EE" w:rsidRDefault="002717EE" w:rsidP="002717EE">
            <w:pPr>
              <w:jc w:val="both"/>
            </w:pPr>
            <w:r w:rsidRPr="002717EE">
              <w:t xml:space="preserve"> – </w:t>
            </w:r>
            <w:r>
              <w:t xml:space="preserve">návrh </w:t>
            </w:r>
            <w:r w:rsidRPr="002717EE">
              <w:t>zavedeni</w:t>
            </w:r>
            <w:r>
              <w:t>a</w:t>
            </w:r>
            <w:r w:rsidRPr="002717EE">
              <w:t xml:space="preserve"> rekreačných poukážok  (obdobne ako v Maďarsku a Francúzsku).  </w:t>
            </w:r>
          </w:p>
          <w:p w:rsidR="002717EE" w:rsidRPr="002717EE" w:rsidRDefault="002717EE" w:rsidP="002717EE">
            <w:pPr>
              <w:jc w:val="both"/>
            </w:pPr>
          </w:p>
          <w:p w:rsidR="002717EE" w:rsidRPr="002717EE" w:rsidRDefault="002717EE" w:rsidP="002717EE">
            <w:pPr>
              <w:rPr>
                <w:b/>
              </w:rPr>
            </w:pPr>
            <w:r w:rsidRPr="002717EE">
              <w:rPr>
                <w:b/>
              </w:rPr>
              <w:t>K bodu 3</w:t>
            </w:r>
          </w:p>
          <w:p w:rsidR="002717EE" w:rsidRPr="002717EE" w:rsidRDefault="002717EE" w:rsidP="002717EE">
            <w:r w:rsidRPr="002717EE">
              <w:t>Neboli vznesené žiadne pripomienky.</w:t>
            </w:r>
          </w:p>
          <w:p w:rsidR="002717EE" w:rsidRPr="002717EE" w:rsidRDefault="002717EE" w:rsidP="002717EE">
            <w:pPr>
              <w:rPr>
                <w:b/>
              </w:rPr>
            </w:pPr>
          </w:p>
          <w:p w:rsidR="002717EE" w:rsidRPr="002717EE" w:rsidRDefault="002717EE" w:rsidP="002717EE">
            <w:pPr>
              <w:rPr>
                <w:b/>
              </w:rPr>
            </w:pPr>
            <w:r w:rsidRPr="002717EE">
              <w:rPr>
                <w:b/>
              </w:rPr>
              <w:t>K bodu 4</w:t>
            </w:r>
          </w:p>
          <w:p w:rsidR="00986BB3" w:rsidRPr="00986BB3" w:rsidRDefault="00986BB3" w:rsidP="00986BB3">
            <w:pPr>
              <w:pStyle w:val="Odsekzoznamu"/>
              <w:numPr>
                <w:ilvl w:val="0"/>
                <w:numId w:val="21"/>
              </w:numPr>
              <w:ind w:left="171" w:hanging="171"/>
              <w:jc w:val="both"/>
              <w:rPr>
                <w:sz w:val="20"/>
                <w:szCs w:val="20"/>
              </w:rPr>
            </w:pPr>
            <w:r w:rsidRPr="00986BB3">
              <w:rPr>
                <w:sz w:val="20"/>
                <w:szCs w:val="20"/>
              </w:rPr>
              <w:t>obsah úpravy v oblasti transferového oceňovania</w:t>
            </w:r>
          </w:p>
          <w:p w:rsidR="0032080C" w:rsidRPr="00986BB3" w:rsidRDefault="00986BB3" w:rsidP="00986BB3">
            <w:pPr>
              <w:pStyle w:val="Odsekzoznamu"/>
              <w:numPr>
                <w:ilvl w:val="0"/>
                <w:numId w:val="21"/>
              </w:numPr>
              <w:ind w:left="171" w:hanging="171"/>
              <w:jc w:val="both"/>
              <w:rPr>
                <w:sz w:val="20"/>
                <w:szCs w:val="20"/>
              </w:rPr>
            </w:pPr>
            <w:r w:rsidRPr="00986BB3">
              <w:rPr>
                <w:rFonts w:ascii="Times New Roman" w:eastAsia="Times New Roman" w:hAnsi="Times New Roman" w:cs="Times New Roman"/>
                <w:sz w:val="20"/>
                <w:szCs w:val="20"/>
                <w:lang w:eastAsia="sk-SK"/>
              </w:rPr>
              <w:t xml:space="preserve">návrh na </w:t>
            </w:r>
            <w:r w:rsidRPr="00986BB3">
              <w:rPr>
                <w:sz w:val="20"/>
                <w:szCs w:val="20"/>
              </w:rPr>
              <w:t>zjednodušenie</w:t>
            </w:r>
            <w:r w:rsidRPr="00986BB3">
              <w:rPr>
                <w:rFonts w:ascii="Times New Roman" w:eastAsia="Times New Roman" w:hAnsi="Times New Roman" w:cs="Times New Roman"/>
                <w:sz w:val="20"/>
                <w:szCs w:val="20"/>
                <w:lang w:eastAsia="sk-SK"/>
              </w:rPr>
              <w:t xml:space="preserve"> povinnosti v oblasti transferového oceňovania</w:t>
            </w:r>
            <w:r w:rsidR="002717EE" w:rsidRPr="00986BB3">
              <w:rPr>
                <w:rFonts w:ascii="Times New Roman" w:eastAsia="Times New Roman" w:hAnsi="Times New Roman" w:cs="Times New Roman"/>
                <w:sz w:val="20"/>
                <w:szCs w:val="20"/>
                <w:lang w:eastAsia="sk-SK"/>
              </w:rPr>
              <w:t xml:space="preserve">. </w:t>
            </w:r>
          </w:p>
          <w:p w:rsidR="00986BB3" w:rsidRDefault="00986BB3" w:rsidP="00986BB3">
            <w:pPr>
              <w:jc w:val="both"/>
            </w:pPr>
          </w:p>
          <w:p w:rsidR="00986BB3" w:rsidRPr="00986BB3" w:rsidRDefault="00986BB3" w:rsidP="00986BB3">
            <w:pPr>
              <w:pStyle w:val="Odsekzoznamu"/>
              <w:numPr>
                <w:ilvl w:val="0"/>
                <w:numId w:val="17"/>
              </w:numPr>
              <w:ind w:left="454" w:hanging="283"/>
              <w:jc w:val="both"/>
              <w:rPr>
                <w:rFonts w:ascii="Times New Roman" w:hAnsi="Times New Roman" w:cs="Times New Roman"/>
                <w:b/>
                <w:sz w:val="20"/>
                <w:szCs w:val="20"/>
              </w:rPr>
            </w:pPr>
            <w:r w:rsidRPr="00986BB3">
              <w:rPr>
                <w:rFonts w:ascii="Times New Roman" w:hAnsi="Times New Roman" w:cs="Times New Roman"/>
                <w:b/>
                <w:sz w:val="20"/>
                <w:szCs w:val="20"/>
              </w:rPr>
              <w:t>Podnikateľská aliancia Slovenska a Združenie podnikateľov Slovenska</w:t>
            </w:r>
          </w:p>
          <w:p w:rsidR="00986BB3" w:rsidRPr="00986BB3" w:rsidRDefault="00986BB3" w:rsidP="00986BB3">
            <w:pPr>
              <w:rPr>
                <w:b/>
              </w:rPr>
            </w:pPr>
            <w:r w:rsidRPr="00986BB3">
              <w:rPr>
                <w:b/>
              </w:rPr>
              <w:t>K bodu 1</w:t>
            </w:r>
          </w:p>
          <w:p w:rsidR="00986BB3" w:rsidRPr="002717EE" w:rsidRDefault="00986BB3" w:rsidP="00986BB3">
            <w:r w:rsidRPr="002717EE">
              <w:t>Neboli vznesené žiadne pripomienky.</w:t>
            </w:r>
          </w:p>
          <w:p w:rsidR="00986BB3" w:rsidRPr="00986BB3" w:rsidRDefault="00986BB3" w:rsidP="00986BB3">
            <w:pPr>
              <w:rPr>
                <w:b/>
              </w:rPr>
            </w:pPr>
          </w:p>
          <w:p w:rsidR="00986BB3" w:rsidRPr="00986BB3" w:rsidRDefault="00986BB3" w:rsidP="00986BB3">
            <w:pPr>
              <w:rPr>
                <w:b/>
              </w:rPr>
            </w:pPr>
            <w:r w:rsidRPr="00986BB3">
              <w:rPr>
                <w:b/>
              </w:rPr>
              <w:t>K bodu 2</w:t>
            </w:r>
          </w:p>
          <w:p w:rsidR="00986BB3" w:rsidRPr="00986BB3" w:rsidRDefault="00986BB3" w:rsidP="00986BB3">
            <w:pPr>
              <w:jc w:val="both"/>
            </w:pPr>
            <w:r w:rsidRPr="00986BB3">
              <w:t xml:space="preserve"> – </w:t>
            </w:r>
            <w:r>
              <w:t>potreba</w:t>
            </w:r>
            <w:r w:rsidRPr="00986BB3">
              <w:t xml:space="preserve"> dodržať princíp transparentnosti, nárokovateľnosti a rovnakého prístupu k tejto odpočítateľnej položke. Za vhodnú formu podpory nepovažujú  formu dotácií a stimulov. Cieľom by malo byť stimulovať ľudí ekonomicky, aby sa zvýšila návštevnosť kúpeľov. Štát by mal prostredníctvom zdravotných poisťovní zvýšiť platby pre kúpeľnú starostlivosť. Za vhodné považujú aj možnosť prepojiť zvýšenie návštevnosti kúpeľov (a tým investovania do zdravia obyvateľstva) s možnosťou zníženia odvodov na zdravotné poistenie. Ďalšou možnosťou by bolo zníženie DPH na kúpeľné pobyty. Vhodné by bolo zamerať sa aj na marketingovú stránku podpory kúpeľníctva. Upozornili na možnosť kritiky zo strany verejnosti ohľadom uprednostňovania kúpeľníctva pred inými formami podnikania. Štát by mohol vydávať ako podporu kúpeľníctva aj  poukážky na kúpeľné pobyty.</w:t>
            </w:r>
          </w:p>
          <w:p w:rsidR="00986BB3" w:rsidRPr="00986BB3" w:rsidRDefault="00986BB3" w:rsidP="00986BB3">
            <w:r w:rsidRPr="00986BB3">
              <w:t>– možno by bolo vhodné zvážiť formu stimulu obdobne ako je nastavený superodpočet na výskum a vývoj, čím by došlo aj k priamemu zainteresovaniu kúpeľov na zlepšovaní ich súčasnej situácie.</w:t>
            </w:r>
          </w:p>
          <w:p w:rsidR="00986BB3" w:rsidRPr="00986BB3" w:rsidRDefault="00986BB3" w:rsidP="00986BB3"/>
          <w:p w:rsidR="00986BB3" w:rsidRPr="00986BB3" w:rsidRDefault="00986BB3" w:rsidP="00986BB3">
            <w:pPr>
              <w:rPr>
                <w:b/>
              </w:rPr>
            </w:pPr>
            <w:r w:rsidRPr="00986BB3">
              <w:rPr>
                <w:b/>
              </w:rPr>
              <w:t>K bodu 3</w:t>
            </w:r>
          </w:p>
          <w:p w:rsidR="00986BB3" w:rsidRPr="00986BB3" w:rsidRDefault="00986BB3" w:rsidP="00986BB3">
            <w:pPr>
              <w:jc w:val="both"/>
            </w:pPr>
            <w:r w:rsidRPr="00986BB3">
              <w:t xml:space="preserve">Otázky smerovali k praktickému uplatňovaniu podpory hypoték pre mladých. </w:t>
            </w:r>
          </w:p>
          <w:p w:rsidR="00986BB3" w:rsidRPr="00986BB3" w:rsidRDefault="00986BB3" w:rsidP="00986BB3">
            <w:r w:rsidRPr="00986BB3">
              <w:t xml:space="preserve"> </w:t>
            </w:r>
          </w:p>
          <w:p w:rsidR="00986BB3" w:rsidRPr="00986BB3" w:rsidRDefault="00986BB3" w:rsidP="00986BB3">
            <w:pPr>
              <w:rPr>
                <w:b/>
              </w:rPr>
            </w:pPr>
            <w:r w:rsidRPr="00986BB3">
              <w:rPr>
                <w:b/>
              </w:rPr>
              <w:t>K bodu 4</w:t>
            </w:r>
          </w:p>
          <w:p w:rsidR="00986BB3" w:rsidRPr="00986BB3" w:rsidRDefault="00986BB3" w:rsidP="00986BB3">
            <w:pPr>
              <w:jc w:val="both"/>
            </w:pPr>
            <w:r w:rsidRPr="00986BB3">
              <w:t xml:space="preserve"> - problémy pri uplatňovaní domáceho transferového oceňovania hlavne pri malých podnikoch alebo v závislých vzťahoch medzi manželmi.</w:t>
            </w:r>
          </w:p>
          <w:p w:rsidR="00986BB3" w:rsidRDefault="00986BB3" w:rsidP="00986BB3">
            <w:pPr>
              <w:jc w:val="both"/>
            </w:pPr>
          </w:p>
          <w:p w:rsidR="00986BB3" w:rsidRDefault="00986BB3" w:rsidP="00986BB3">
            <w:pPr>
              <w:pStyle w:val="Odsekzoznamu"/>
              <w:numPr>
                <w:ilvl w:val="0"/>
                <w:numId w:val="17"/>
              </w:numPr>
              <w:ind w:left="454" w:hanging="283"/>
              <w:jc w:val="both"/>
              <w:rPr>
                <w:rFonts w:ascii="Times New Roman" w:hAnsi="Times New Roman" w:cs="Times New Roman"/>
                <w:b/>
                <w:sz w:val="20"/>
                <w:szCs w:val="20"/>
              </w:rPr>
            </w:pPr>
            <w:r w:rsidRPr="00F17EAF">
              <w:rPr>
                <w:rFonts w:ascii="Times New Roman" w:hAnsi="Times New Roman" w:cs="Times New Roman"/>
                <w:b/>
                <w:sz w:val="20"/>
                <w:szCs w:val="20"/>
              </w:rPr>
              <w:t>Slovenská banková asociácia</w:t>
            </w:r>
          </w:p>
          <w:p w:rsidR="005E32D2" w:rsidRPr="005E32D2" w:rsidRDefault="005E32D2" w:rsidP="005E32D2">
            <w:pPr>
              <w:rPr>
                <w:b/>
              </w:rPr>
            </w:pPr>
            <w:r w:rsidRPr="005E32D2">
              <w:rPr>
                <w:b/>
              </w:rPr>
              <w:t>K bodu 1</w:t>
            </w:r>
          </w:p>
          <w:p w:rsidR="005E32D2" w:rsidRPr="005E32D2" w:rsidRDefault="005E32D2" w:rsidP="005E32D2">
            <w:pPr>
              <w:jc w:val="both"/>
            </w:pPr>
            <w:r>
              <w:t>-</w:t>
            </w:r>
            <w:r w:rsidRPr="005E32D2">
              <w:t xml:space="preserve"> otázky ohľadne rozsahu úrokových nákladov a možnosti ponechania výnimky z pravidla pre finančné inštitúcie.</w:t>
            </w:r>
          </w:p>
          <w:p w:rsidR="005E32D2" w:rsidRPr="005E32D2" w:rsidRDefault="005E32D2" w:rsidP="005E32D2">
            <w:pPr>
              <w:jc w:val="both"/>
            </w:pPr>
            <w:r w:rsidRPr="005E32D2">
              <w:t xml:space="preserve"> </w:t>
            </w:r>
          </w:p>
          <w:p w:rsidR="005E32D2" w:rsidRPr="005E32D2" w:rsidRDefault="005E32D2" w:rsidP="005E32D2">
            <w:pPr>
              <w:rPr>
                <w:b/>
              </w:rPr>
            </w:pPr>
            <w:r w:rsidRPr="005E32D2">
              <w:rPr>
                <w:b/>
              </w:rPr>
              <w:t>K bodu 2</w:t>
            </w:r>
          </w:p>
          <w:p w:rsidR="005E32D2" w:rsidRPr="002717EE" w:rsidRDefault="005E32D2" w:rsidP="005E32D2">
            <w:r w:rsidRPr="002717EE">
              <w:t>Neboli vznesené žiadne pripomienky.</w:t>
            </w:r>
          </w:p>
          <w:p w:rsidR="005E32D2" w:rsidRPr="005E32D2" w:rsidRDefault="005E32D2" w:rsidP="005E32D2">
            <w:pPr>
              <w:tabs>
                <w:tab w:val="left" w:pos="7485"/>
              </w:tabs>
              <w:jc w:val="both"/>
            </w:pPr>
          </w:p>
          <w:p w:rsidR="005E32D2" w:rsidRPr="005E32D2" w:rsidRDefault="005E32D2" w:rsidP="005E32D2">
            <w:pPr>
              <w:tabs>
                <w:tab w:val="left" w:pos="7485"/>
              </w:tabs>
              <w:jc w:val="both"/>
              <w:rPr>
                <w:b/>
              </w:rPr>
            </w:pPr>
            <w:r w:rsidRPr="005E32D2">
              <w:rPr>
                <w:b/>
              </w:rPr>
              <w:t>K bodu 3</w:t>
            </w:r>
          </w:p>
          <w:p w:rsidR="005E32D2" w:rsidRPr="002717EE" w:rsidRDefault="005E32D2" w:rsidP="005E32D2">
            <w:r w:rsidRPr="002717EE">
              <w:t>Neboli vznesené žiadne pripomienky.</w:t>
            </w:r>
          </w:p>
          <w:p w:rsidR="005E32D2" w:rsidRPr="005E32D2" w:rsidRDefault="005E32D2" w:rsidP="005E32D2">
            <w:pPr>
              <w:jc w:val="both"/>
            </w:pPr>
          </w:p>
          <w:p w:rsidR="005E32D2" w:rsidRPr="005E32D2" w:rsidRDefault="005E32D2" w:rsidP="005E32D2">
            <w:pPr>
              <w:rPr>
                <w:b/>
              </w:rPr>
            </w:pPr>
            <w:r w:rsidRPr="005E32D2">
              <w:rPr>
                <w:b/>
              </w:rPr>
              <w:t>K bodu 4</w:t>
            </w:r>
          </w:p>
          <w:p w:rsidR="005E32D2" w:rsidRPr="002717EE" w:rsidRDefault="005E32D2" w:rsidP="005E32D2">
            <w:r w:rsidRPr="002717EE">
              <w:lastRenderedPageBreak/>
              <w:t>Neboli vznesené žiadne pripomienky.</w:t>
            </w:r>
          </w:p>
          <w:p w:rsidR="00986BB3" w:rsidRPr="00986BB3" w:rsidRDefault="00986BB3" w:rsidP="00986BB3">
            <w:pPr>
              <w:jc w:val="both"/>
              <w:rPr>
                <w:b/>
              </w:rPr>
            </w:pPr>
          </w:p>
          <w:p w:rsidR="00986BB3" w:rsidRDefault="00986BB3" w:rsidP="005E32D2">
            <w:pPr>
              <w:pStyle w:val="Odsekzoznamu"/>
              <w:numPr>
                <w:ilvl w:val="0"/>
                <w:numId w:val="17"/>
              </w:numPr>
              <w:ind w:left="454" w:hanging="283"/>
              <w:jc w:val="both"/>
              <w:rPr>
                <w:rFonts w:ascii="Times New Roman" w:hAnsi="Times New Roman" w:cs="Times New Roman"/>
                <w:b/>
                <w:sz w:val="20"/>
                <w:szCs w:val="20"/>
              </w:rPr>
            </w:pPr>
            <w:r w:rsidRPr="00F17EAF">
              <w:rPr>
                <w:rFonts w:ascii="Times New Roman" w:hAnsi="Times New Roman" w:cs="Times New Roman"/>
                <w:b/>
                <w:sz w:val="20"/>
                <w:szCs w:val="20"/>
              </w:rPr>
              <w:t>Slovenská komora daňových poradcov</w:t>
            </w:r>
          </w:p>
          <w:p w:rsidR="005E32D2" w:rsidRPr="005E32D2" w:rsidRDefault="005E32D2" w:rsidP="005E32D2">
            <w:pPr>
              <w:rPr>
                <w:b/>
              </w:rPr>
            </w:pPr>
            <w:r w:rsidRPr="005E32D2">
              <w:rPr>
                <w:b/>
              </w:rPr>
              <w:t>K bodu 1</w:t>
            </w:r>
          </w:p>
          <w:p w:rsidR="005E32D2" w:rsidRPr="005E32D2" w:rsidRDefault="005E32D2" w:rsidP="005E32D2">
            <w:pPr>
              <w:pStyle w:val="Odsekzoznamu"/>
              <w:numPr>
                <w:ilvl w:val="0"/>
                <w:numId w:val="13"/>
              </w:numPr>
              <w:spacing w:after="0" w:line="240" w:lineRule="auto"/>
              <w:jc w:val="both"/>
              <w:rPr>
                <w:rFonts w:ascii="Times New Roman" w:hAnsi="Times New Roman" w:cs="Times New Roman"/>
                <w:sz w:val="20"/>
                <w:szCs w:val="20"/>
              </w:rPr>
            </w:pPr>
            <w:r w:rsidRPr="005E32D2">
              <w:rPr>
                <w:rFonts w:ascii="Times New Roman" w:hAnsi="Times New Roman" w:cs="Times New Roman"/>
                <w:sz w:val="20"/>
                <w:szCs w:val="20"/>
              </w:rPr>
              <w:t>k zdaňovaniu pri odchode vzniesl</w:t>
            </w:r>
            <w:r>
              <w:rPr>
                <w:rFonts w:ascii="Times New Roman" w:hAnsi="Times New Roman" w:cs="Times New Roman"/>
                <w:sz w:val="20"/>
                <w:szCs w:val="20"/>
              </w:rPr>
              <w:t>a</w:t>
            </w:r>
            <w:r w:rsidRPr="005E32D2">
              <w:rPr>
                <w:rFonts w:ascii="Times New Roman" w:hAnsi="Times New Roman" w:cs="Times New Roman"/>
                <w:sz w:val="20"/>
                <w:szCs w:val="20"/>
              </w:rPr>
              <w:t xml:space="preserve"> SKDP otázku, akým spôsobom sa bude počítať reálna hodnota, čo sa bude vlastne zdaňovať a či sa bude v čase odchodu platiť daň alebo „zábezpeka na daň“,</w:t>
            </w:r>
          </w:p>
          <w:p w:rsidR="005E32D2" w:rsidRPr="005E32D2" w:rsidRDefault="005E32D2" w:rsidP="005E32D2">
            <w:pPr>
              <w:pStyle w:val="Odsekzoznamu"/>
              <w:numPr>
                <w:ilvl w:val="0"/>
                <w:numId w:val="13"/>
              </w:numPr>
              <w:spacing w:after="0" w:line="240" w:lineRule="auto"/>
              <w:jc w:val="both"/>
              <w:rPr>
                <w:rFonts w:ascii="Times New Roman" w:hAnsi="Times New Roman" w:cs="Times New Roman"/>
                <w:sz w:val="20"/>
                <w:szCs w:val="20"/>
              </w:rPr>
            </w:pPr>
            <w:r w:rsidRPr="005E32D2">
              <w:rPr>
                <w:rFonts w:ascii="Times New Roman" w:hAnsi="Times New Roman" w:cs="Times New Roman"/>
                <w:sz w:val="20"/>
                <w:szCs w:val="20"/>
              </w:rPr>
              <w:t>pre GAAR navrhujú len jedno komplexné ustanovenie (zohľadňujúce aj § 6 ods.3 DP),</w:t>
            </w:r>
          </w:p>
          <w:p w:rsidR="005E32D2" w:rsidRPr="005E32D2" w:rsidRDefault="005E32D2" w:rsidP="005E32D2">
            <w:pPr>
              <w:pStyle w:val="Odsekzoznamu"/>
              <w:numPr>
                <w:ilvl w:val="0"/>
                <w:numId w:val="13"/>
              </w:numPr>
              <w:spacing w:after="0" w:line="240" w:lineRule="auto"/>
              <w:jc w:val="both"/>
              <w:rPr>
                <w:rFonts w:ascii="Times New Roman" w:hAnsi="Times New Roman" w:cs="Times New Roman"/>
                <w:sz w:val="20"/>
                <w:szCs w:val="20"/>
              </w:rPr>
            </w:pPr>
            <w:r w:rsidRPr="005E32D2">
              <w:rPr>
                <w:rFonts w:ascii="Times New Roman" w:hAnsi="Times New Roman" w:cs="Times New Roman"/>
                <w:sz w:val="20"/>
                <w:szCs w:val="20"/>
              </w:rPr>
              <w:t>k CFC pravidlám sa zástupcovia SKDP vyjadrili, že ide o „zbytočný“ nástroj v podmienkach Slovenska, bude záležať na nastavení pravidiel, aby neboli príliš prísne,</w:t>
            </w:r>
          </w:p>
          <w:p w:rsidR="005E32D2" w:rsidRPr="005E32D2" w:rsidRDefault="005E32D2" w:rsidP="005E32D2">
            <w:pPr>
              <w:pStyle w:val="Odsekzoznamu"/>
              <w:numPr>
                <w:ilvl w:val="0"/>
                <w:numId w:val="13"/>
              </w:numPr>
              <w:spacing w:after="0" w:line="240" w:lineRule="auto"/>
              <w:jc w:val="both"/>
              <w:rPr>
                <w:rFonts w:ascii="Times New Roman" w:hAnsi="Times New Roman" w:cs="Times New Roman"/>
                <w:sz w:val="20"/>
                <w:szCs w:val="20"/>
              </w:rPr>
            </w:pPr>
            <w:r w:rsidRPr="005E32D2">
              <w:rPr>
                <w:rFonts w:ascii="Times New Roman" w:hAnsi="Times New Roman" w:cs="Times New Roman"/>
                <w:sz w:val="20"/>
                <w:szCs w:val="20"/>
              </w:rPr>
              <w:t>hybridné nesúlady; podľa SKDP je potrebné upraviť definíciu daňovníka, v opačnom prípade môže byť ťažké na uchopenie.</w:t>
            </w:r>
          </w:p>
          <w:p w:rsidR="005E32D2" w:rsidRPr="005E32D2" w:rsidRDefault="005E32D2" w:rsidP="005E32D2">
            <w:pPr>
              <w:rPr>
                <w:b/>
              </w:rPr>
            </w:pPr>
          </w:p>
          <w:p w:rsidR="005E32D2" w:rsidRPr="005E32D2" w:rsidRDefault="005E32D2" w:rsidP="005E32D2">
            <w:pPr>
              <w:rPr>
                <w:b/>
              </w:rPr>
            </w:pPr>
            <w:r w:rsidRPr="005E32D2">
              <w:rPr>
                <w:b/>
              </w:rPr>
              <w:t>K bodu 2</w:t>
            </w:r>
          </w:p>
          <w:p w:rsidR="005E32D2" w:rsidRPr="002717EE" w:rsidRDefault="005E32D2" w:rsidP="005E32D2">
            <w:r w:rsidRPr="002717EE">
              <w:t>Neboli vznesené žiadne pripomienky.</w:t>
            </w:r>
          </w:p>
          <w:p w:rsidR="005E32D2" w:rsidRPr="005E32D2" w:rsidRDefault="005E32D2" w:rsidP="005E32D2"/>
          <w:p w:rsidR="005E32D2" w:rsidRPr="005E32D2" w:rsidRDefault="005E32D2" w:rsidP="005E32D2">
            <w:pPr>
              <w:rPr>
                <w:b/>
              </w:rPr>
            </w:pPr>
            <w:r w:rsidRPr="005E32D2">
              <w:rPr>
                <w:b/>
              </w:rPr>
              <w:t>K bodu 3</w:t>
            </w:r>
          </w:p>
          <w:p w:rsidR="005E32D2" w:rsidRDefault="005E32D2" w:rsidP="005E32D2">
            <w:pPr>
              <w:pStyle w:val="Odsekzoznamu"/>
              <w:numPr>
                <w:ilvl w:val="0"/>
                <w:numId w:val="13"/>
              </w:numPr>
              <w:spacing w:after="0" w:line="240" w:lineRule="auto"/>
              <w:jc w:val="both"/>
              <w:rPr>
                <w:rFonts w:ascii="Times New Roman" w:hAnsi="Times New Roman" w:cs="Times New Roman"/>
                <w:sz w:val="20"/>
                <w:szCs w:val="20"/>
              </w:rPr>
            </w:pPr>
            <w:r w:rsidRPr="005E32D2">
              <w:rPr>
                <w:rFonts w:ascii="Times New Roman" w:hAnsi="Times New Roman" w:cs="Times New Roman"/>
                <w:sz w:val="20"/>
                <w:szCs w:val="20"/>
              </w:rPr>
              <w:t>otázky smerovali k praktickému uplatňovaniu podpory hypoték pre mladý</w:t>
            </w:r>
            <w:r>
              <w:rPr>
                <w:rFonts w:ascii="Times New Roman" w:hAnsi="Times New Roman" w:cs="Times New Roman"/>
                <w:sz w:val="20"/>
                <w:szCs w:val="20"/>
              </w:rPr>
              <w:t>ch,</w:t>
            </w:r>
          </w:p>
          <w:p w:rsidR="005E32D2" w:rsidRPr="005E32D2" w:rsidRDefault="005E32D2" w:rsidP="005E32D2">
            <w:pPr>
              <w:pStyle w:val="Odsekzoznamu"/>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Pr="002717EE">
              <w:rPr>
                <w:rFonts w:ascii="Times New Roman" w:hAnsi="Times New Roman" w:cs="Times New Roman"/>
                <w:sz w:val="20"/>
                <w:szCs w:val="20"/>
              </w:rPr>
              <w:t>eboli vznesené žiadne pripomienky</w:t>
            </w:r>
            <w:r>
              <w:rPr>
                <w:rFonts w:ascii="Times New Roman" w:hAnsi="Times New Roman" w:cs="Times New Roman"/>
                <w:sz w:val="20"/>
                <w:szCs w:val="20"/>
              </w:rPr>
              <w:t>.</w:t>
            </w:r>
          </w:p>
          <w:p w:rsidR="005E32D2" w:rsidRPr="005E32D2" w:rsidRDefault="005E32D2" w:rsidP="005E32D2">
            <w:pPr>
              <w:jc w:val="both"/>
            </w:pPr>
          </w:p>
          <w:p w:rsidR="005E32D2" w:rsidRPr="005E32D2" w:rsidRDefault="005E32D2" w:rsidP="005E32D2">
            <w:pPr>
              <w:rPr>
                <w:b/>
              </w:rPr>
            </w:pPr>
            <w:r w:rsidRPr="005E32D2">
              <w:rPr>
                <w:b/>
              </w:rPr>
              <w:t>K bodu 4</w:t>
            </w:r>
          </w:p>
          <w:p w:rsidR="005E32D2" w:rsidRPr="005E32D2" w:rsidRDefault="005E32D2" w:rsidP="005E32D2">
            <w:pPr>
              <w:pStyle w:val="Odsekzoznamu"/>
              <w:numPr>
                <w:ilvl w:val="0"/>
                <w:numId w:val="13"/>
              </w:numPr>
              <w:spacing w:after="0" w:line="240" w:lineRule="auto"/>
              <w:jc w:val="both"/>
              <w:rPr>
                <w:rFonts w:ascii="Times New Roman" w:hAnsi="Times New Roman" w:cs="Times New Roman"/>
                <w:sz w:val="20"/>
                <w:szCs w:val="20"/>
              </w:rPr>
            </w:pPr>
            <w:r w:rsidRPr="005E32D2">
              <w:rPr>
                <w:rFonts w:ascii="Times New Roman" w:hAnsi="Times New Roman" w:cs="Times New Roman"/>
                <w:sz w:val="20"/>
                <w:szCs w:val="20"/>
              </w:rPr>
              <w:t>u služieb s nízkou pridanou hodnotou odporúčajú posunúť hranicu kontrolovanej transakcie na úroveň min. 10 000 eur</w:t>
            </w:r>
            <w:r>
              <w:rPr>
                <w:rFonts w:ascii="Times New Roman" w:hAnsi="Times New Roman" w:cs="Times New Roman"/>
                <w:sz w:val="20"/>
                <w:szCs w:val="20"/>
              </w:rPr>
              <w:t>.</w:t>
            </w:r>
            <w:r w:rsidRPr="005E32D2">
              <w:rPr>
                <w:rFonts w:ascii="Times New Roman" w:hAnsi="Times New Roman" w:cs="Times New Roman"/>
                <w:sz w:val="20"/>
                <w:szCs w:val="20"/>
              </w:rPr>
              <w:t xml:space="preserve"> </w:t>
            </w:r>
          </w:p>
          <w:p w:rsidR="005E32D2" w:rsidRPr="005E32D2" w:rsidRDefault="005E32D2" w:rsidP="005E32D2">
            <w:pPr>
              <w:jc w:val="both"/>
              <w:rPr>
                <w:b/>
              </w:rPr>
            </w:pPr>
          </w:p>
          <w:p w:rsidR="00986BB3" w:rsidRDefault="00986BB3" w:rsidP="005E32D2">
            <w:pPr>
              <w:pStyle w:val="Odsekzoznamu"/>
              <w:numPr>
                <w:ilvl w:val="0"/>
                <w:numId w:val="17"/>
              </w:numPr>
              <w:ind w:left="454" w:hanging="283"/>
              <w:jc w:val="both"/>
              <w:rPr>
                <w:rFonts w:ascii="Times New Roman" w:hAnsi="Times New Roman" w:cs="Times New Roman"/>
                <w:b/>
                <w:sz w:val="20"/>
                <w:szCs w:val="20"/>
              </w:rPr>
            </w:pPr>
            <w:r w:rsidRPr="00F17EAF">
              <w:rPr>
                <w:rFonts w:ascii="Times New Roman" w:hAnsi="Times New Roman" w:cs="Times New Roman"/>
                <w:b/>
                <w:sz w:val="20"/>
                <w:szCs w:val="20"/>
              </w:rPr>
              <w:t>Slovenská asociácia poisťovní</w:t>
            </w:r>
          </w:p>
          <w:p w:rsidR="005E32D2" w:rsidRPr="005E32D2" w:rsidRDefault="005E32D2" w:rsidP="005E32D2">
            <w:pPr>
              <w:jc w:val="both"/>
              <w:rPr>
                <w:b/>
              </w:rPr>
            </w:pPr>
            <w:r w:rsidRPr="005E32D2">
              <w:rPr>
                <w:b/>
              </w:rPr>
              <w:t>K bodu 1</w:t>
            </w:r>
          </w:p>
          <w:p w:rsidR="005E32D2" w:rsidRPr="005E32D2" w:rsidRDefault="005E32D2" w:rsidP="005E32D2">
            <w:pPr>
              <w:pStyle w:val="Odsekzoznamu"/>
              <w:numPr>
                <w:ilvl w:val="0"/>
                <w:numId w:val="26"/>
              </w:numPr>
              <w:spacing w:after="0" w:line="240" w:lineRule="auto"/>
              <w:jc w:val="both"/>
              <w:rPr>
                <w:rFonts w:ascii="Times New Roman" w:hAnsi="Times New Roman" w:cs="Times New Roman"/>
                <w:sz w:val="20"/>
                <w:szCs w:val="20"/>
              </w:rPr>
            </w:pPr>
            <w:r w:rsidRPr="005E32D2">
              <w:rPr>
                <w:rFonts w:ascii="Times New Roman" w:hAnsi="Times New Roman" w:cs="Times New Roman"/>
                <w:sz w:val="20"/>
                <w:szCs w:val="20"/>
              </w:rPr>
              <w:t xml:space="preserve">prezentované pravidlo o limitovaní úrokov </w:t>
            </w:r>
            <w:r>
              <w:rPr>
                <w:rFonts w:ascii="Times New Roman" w:hAnsi="Times New Roman" w:cs="Times New Roman"/>
                <w:sz w:val="20"/>
                <w:szCs w:val="20"/>
              </w:rPr>
              <w:t xml:space="preserve">by sa </w:t>
            </w:r>
            <w:r w:rsidRPr="005E32D2">
              <w:rPr>
                <w:rFonts w:ascii="Times New Roman" w:hAnsi="Times New Roman" w:cs="Times New Roman"/>
                <w:sz w:val="20"/>
                <w:szCs w:val="20"/>
              </w:rPr>
              <w:t xml:space="preserve">nemalo priamo dotknúť poisťovní,  </w:t>
            </w:r>
          </w:p>
          <w:p w:rsidR="005E32D2" w:rsidRPr="005E32D2" w:rsidRDefault="005E32D2" w:rsidP="005E32D2">
            <w:pPr>
              <w:pStyle w:val="Odsekzoznamu"/>
              <w:numPr>
                <w:ilvl w:val="0"/>
                <w:numId w:val="2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bude sa</w:t>
            </w:r>
            <w:r w:rsidRPr="005E32D2">
              <w:rPr>
                <w:rFonts w:ascii="Times New Roman" w:hAnsi="Times New Roman" w:cs="Times New Roman"/>
                <w:sz w:val="20"/>
                <w:szCs w:val="20"/>
              </w:rPr>
              <w:t xml:space="preserve"> pravidlo exit tax týkať aj situácie, kedy dochádza k presunu kapitálu do materskej spoločnosti, pričom na území SR bude poisť</w:t>
            </w:r>
            <w:r>
              <w:rPr>
                <w:rFonts w:ascii="Times New Roman" w:hAnsi="Times New Roman" w:cs="Times New Roman"/>
                <w:sz w:val="20"/>
                <w:szCs w:val="20"/>
              </w:rPr>
              <w:t xml:space="preserve">ovňa pôsobiť už iba ako pobočka - </w:t>
            </w:r>
            <w:r w:rsidRPr="005E32D2">
              <w:rPr>
                <w:rFonts w:ascii="Times New Roman" w:hAnsi="Times New Roman" w:cs="Times New Roman"/>
                <w:sz w:val="20"/>
                <w:szCs w:val="20"/>
              </w:rPr>
              <w:t>exit tax sa bude vzťahovať na situácie, kedy dochádza k presunu majetku mimo územia SR, pričom reálne nedochádza k jeho predaju</w:t>
            </w:r>
          </w:p>
          <w:p w:rsidR="005E32D2" w:rsidRPr="005E32D2" w:rsidRDefault="005E32D2" w:rsidP="005E32D2">
            <w:pPr>
              <w:pStyle w:val="Odsekzoznamu"/>
              <w:numPr>
                <w:ilvl w:val="0"/>
                <w:numId w:val="2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zadefinovanie</w:t>
            </w:r>
            <w:r w:rsidRPr="005E32D2">
              <w:rPr>
                <w:rFonts w:ascii="Times New Roman" w:hAnsi="Times New Roman" w:cs="Times New Roman"/>
                <w:sz w:val="20"/>
                <w:szCs w:val="20"/>
              </w:rPr>
              <w:t xml:space="preserve"> pojm</w:t>
            </w:r>
            <w:r>
              <w:rPr>
                <w:rFonts w:ascii="Times New Roman" w:hAnsi="Times New Roman" w:cs="Times New Roman"/>
                <w:sz w:val="20"/>
                <w:szCs w:val="20"/>
              </w:rPr>
              <w:t>u</w:t>
            </w:r>
            <w:r w:rsidRPr="005E32D2">
              <w:rPr>
                <w:rFonts w:ascii="Times New Roman" w:hAnsi="Times New Roman" w:cs="Times New Roman"/>
                <w:sz w:val="20"/>
                <w:szCs w:val="20"/>
              </w:rPr>
              <w:t xml:space="preserve"> „riadenie“</w:t>
            </w:r>
            <w:r>
              <w:rPr>
                <w:rFonts w:ascii="Times New Roman" w:hAnsi="Times New Roman" w:cs="Times New Roman"/>
                <w:sz w:val="20"/>
                <w:szCs w:val="20"/>
              </w:rPr>
              <w:t xml:space="preserve"> </w:t>
            </w:r>
          </w:p>
          <w:p w:rsidR="005E32D2" w:rsidRPr="005E32D2" w:rsidRDefault="005E32D2" w:rsidP="005E32D2">
            <w:pPr>
              <w:jc w:val="both"/>
            </w:pPr>
          </w:p>
          <w:p w:rsidR="005E32D2" w:rsidRPr="005E32D2" w:rsidRDefault="005E32D2" w:rsidP="005E32D2">
            <w:pPr>
              <w:jc w:val="both"/>
              <w:rPr>
                <w:b/>
              </w:rPr>
            </w:pPr>
            <w:r w:rsidRPr="005E32D2">
              <w:rPr>
                <w:b/>
              </w:rPr>
              <w:t>K</w:t>
            </w:r>
            <w:r w:rsidR="003C0F46">
              <w:rPr>
                <w:b/>
              </w:rPr>
              <w:t> </w:t>
            </w:r>
            <w:r w:rsidRPr="005E32D2">
              <w:rPr>
                <w:b/>
              </w:rPr>
              <w:t>bod</w:t>
            </w:r>
            <w:r w:rsidR="003C0F46">
              <w:rPr>
                <w:b/>
              </w:rPr>
              <w:t xml:space="preserve">om </w:t>
            </w:r>
            <w:r w:rsidRPr="005E32D2">
              <w:rPr>
                <w:b/>
              </w:rPr>
              <w:t>2</w:t>
            </w:r>
            <w:r w:rsidR="003C0F46">
              <w:rPr>
                <w:b/>
              </w:rPr>
              <w:t xml:space="preserve"> až 4</w:t>
            </w:r>
          </w:p>
          <w:p w:rsidR="005E32D2" w:rsidRPr="002717EE" w:rsidRDefault="005E32D2" w:rsidP="005E32D2">
            <w:r w:rsidRPr="002717EE">
              <w:t>Neboli vznesené žiadne pripomienky.</w:t>
            </w:r>
          </w:p>
          <w:p w:rsidR="005E32D2" w:rsidRPr="005E32D2" w:rsidRDefault="005E32D2" w:rsidP="005E32D2">
            <w:pPr>
              <w:rPr>
                <w:b/>
              </w:rPr>
            </w:pPr>
          </w:p>
          <w:p w:rsidR="00986BB3" w:rsidRDefault="00986BB3" w:rsidP="005E32D2">
            <w:pPr>
              <w:pStyle w:val="Odsekzoznamu"/>
              <w:numPr>
                <w:ilvl w:val="0"/>
                <w:numId w:val="17"/>
              </w:numPr>
              <w:ind w:left="454" w:hanging="283"/>
              <w:jc w:val="both"/>
              <w:rPr>
                <w:rFonts w:ascii="Times New Roman" w:hAnsi="Times New Roman" w:cs="Times New Roman"/>
                <w:b/>
                <w:sz w:val="20"/>
                <w:szCs w:val="20"/>
              </w:rPr>
            </w:pPr>
            <w:r w:rsidRPr="00F17EAF">
              <w:rPr>
                <w:rFonts w:ascii="Times New Roman" w:hAnsi="Times New Roman" w:cs="Times New Roman"/>
                <w:b/>
                <w:sz w:val="20"/>
                <w:szCs w:val="20"/>
              </w:rPr>
              <w:t>Slovenská lekárska komora a slovenská lekárska spoločnosť</w:t>
            </w:r>
          </w:p>
          <w:p w:rsidR="005E32D2" w:rsidRDefault="001D2821" w:rsidP="005E32D2">
            <w:pPr>
              <w:jc w:val="both"/>
              <w:rPr>
                <w:b/>
              </w:rPr>
            </w:pPr>
            <w:r>
              <w:rPr>
                <w:b/>
              </w:rPr>
              <w:t>K bodom 1 až 4</w:t>
            </w:r>
          </w:p>
          <w:p w:rsidR="001D2821" w:rsidRPr="002717EE" w:rsidRDefault="001D2821" w:rsidP="001D2821">
            <w:r w:rsidRPr="002717EE">
              <w:t>Neboli vznesené žiadne pripomienky.</w:t>
            </w:r>
          </w:p>
          <w:p w:rsidR="001D2821" w:rsidRDefault="001D2821" w:rsidP="005E32D2">
            <w:pPr>
              <w:jc w:val="both"/>
              <w:rPr>
                <w:b/>
              </w:rPr>
            </w:pPr>
          </w:p>
          <w:p w:rsidR="005E32D2" w:rsidRPr="005E32D2" w:rsidRDefault="005E32D2" w:rsidP="005E32D2">
            <w:pPr>
              <w:jc w:val="both"/>
              <w:rPr>
                <w:b/>
              </w:rPr>
            </w:pPr>
          </w:p>
          <w:p w:rsidR="00986BB3" w:rsidRDefault="00986BB3" w:rsidP="001D2821">
            <w:pPr>
              <w:pStyle w:val="Odsekzoznamu"/>
              <w:numPr>
                <w:ilvl w:val="0"/>
                <w:numId w:val="17"/>
              </w:numPr>
              <w:ind w:left="454" w:hanging="283"/>
              <w:jc w:val="both"/>
              <w:rPr>
                <w:rFonts w:ascii="Times New Roman" w:hAnsi="Times New Roman" w:cs="Times New Roman"/>
                <w:b/>
                <w:sz w:val="20"/>
                <w:szCs w:val="20"/>
              </w:rPr>
            </w:pPr>
            <w:r w:rsidRPr="00F17EAF">
              <w:rPr>
                <w:rFonts w:ascii="Times New Roman" w:hAnsi="Times New Roman" w:cs="Times New Roman"/>
                <w:b/>
                <w:sz w:val="20"/>
                <w:szCs w:val="20"/>
              </w:rPr>
              <w:t>Slovak business agency</w:t>
            </w:r>
          </w:p>
          <w:p w:rsidR="001D2821" w:rsidRPr="001D2821" w:rsidRDefault="001D2821" w:rsidP="001D2821">
            <w:pPr>
              <w:rPr>
                <w:b/>
              </w:rPr>
            </w:pPr>
            <w:r w:rsidRPr="001D2821">
              <w:rPr>
                <w:b/>
              </w:rPr>
              <w:t>K bodu 1</w:t>
            </w:r>
          </w:p>
          <w:p w:rsidR="001D2821" w:rsidRPr="001D2821" w:rsidRDefault="001D2821" w:rsidP="001D2821">
            <w:pPr>
              <w:jc w:val="both"/>
            </w:pPr>
            <w:r>
              <w:t>-</w:t>
            </w:r>
            <w:r w:rsidRPr="001D2821">
              <w:t xml:space="preserve"> upozornili na zvýšenú administratívnu záťaž. Ako SBA budú dohliadať, aby sa smernicou zaviedol iba minimálny štandard a nezaviedla sa nadmerná regulácia malých a stredných podnikov.</w:t>
            </w:r>
          </w:p>
          <w:p w:rsidR="001D2821" w:rsidRPr="001D2821" w:rsidRDefault="001D2821" w:rsidP="001D2821">
            <w:pPr>
              <w:jc w:val="both"/>
            </w:pPr>
          </w:p>
          <w:p w:rsidR="001D2821" w:rsidRPr="001D2821" w:rsidRDefault="001D2821" w:rsidP="001D2821">
            <w:pPr>
              <w:rPr>
                <w:b/>
              </w:rPr>
            </w:pPr>
            <w:r w:rsidRPr="001D2821">
              <w:rPr>
                <w:b/>
              </w:rPr>
              <w:t>K bodu 2 a 3</w:t>
            </w:r>
          </w:p>
          <w:p w:rsidR="001D2821" w:rsidRPr="002717EE" w:rsidRDefault="001D2821" w:rsidP="001D2821">
            <w:r w:rsidRPr="002717EE">
              <w:t>Neboli vznesené žiadne pripomienky.</w:t>
            </w:r>
          </w:p>
          <w:p w:rsidR="001D2821" w:rsidRPr="001D2821" w:rsidRDefault="001D2821" w:rsidP="001D2821"/>
          <w:p w:rsidR="001D2821" w:rsidRPr="001D2821" w:rsidRDefault="001D2821" w:rsidP="001D2821">
            <w:pPr>
              <w:rPr>
                <w:b/>
              </w:rPr>
            </w:pPr>
            <w:r w:rsidRPr="001D2821">
              <w:rPr>
                <w:b/>
              </w:rPr>
              <w:t>K bodu 4</w:t>
            </w:r>
          </w:p>
          <w:p w:rsidR="001D2821" w:rsidRDefault="001D2821" w:rsidP="001D2821">
            <w:pPr>
              <w:pStyle w:val="Odsekzoznamu"/>
              <w:numPr>
                <w:ilvl w:val="0"/>
                <w:numId w:val="26"/>
              </w:numPr>
              <w:ind w:left="454" w:hanging="283"/>
              <w:jc w:val="both"/>
              <w:rPr>
                <w:rFonts w:ascii="Times New Roman" w:hAnsi="Times New Roman" w:cs="Times New Roman"/>
                <w:sz w:val="20"/>
                <w:szCs w:val="20"/>
              </w:rPr>
            </w:pPr>
            <w:r>
              <w:rPr>
                <w:rFonts w:ascii="Times New Roman" w:hAnsi="Times New Roman" w:cs="Times New Roman"/>
                <w:sz w:val="20"/>
                <w:szCs w:val="20"/>
              </w:rPr>
              <w:t>potreba</w:t>
            </w:r>
            <w:r w:rsidRPr="001D2821">
              <w:rPr>
                <w:rFonts w:ascii="Times New Roman" w:hAnsi="Times New Roman" w:cs="Times New Roman"/>
                <w:sz w:val="20"/>
                <w:szCs w:val="20"/>
              </w:rPr>
              <w:t xml:space="preserve"> oboznámenia subjektov so zjednodušenou dokumentáciou, ktoré umožňuje usmernenie MF SR č. MF/014283/2016-724 o určení obsahu dokumentácie podľa § 18 ods. 1 zákona č. 595/2003 Z. z. o dani z príjmov v znení neskorších predpisov.</w:t>
            </w:r>
          </w:p>
          <w:p w:rsidR="001D2821" w:rsidRPr="001D2821" w:rsidRDefault="001D2821" w:rsidP="001D2821">
            <w:pPr>
              <w:pStyle w:val="Odsekzoznamu"/>
              <w:numPr>
                <w:ilvl w:val="0"/>
                <w:numId w:val="26"/>
              </w:numPr>
              <w:ind w:left="454" w:hanging="283"/>
              <w:jc w:val="both"/>
              <w:rPr>
                <w:rFonts w:ascii="Times New Roman" w:hAnsi="Times New Roman" w:cs="Times New Roman"/>
                <w:sz w:val="20"/>
                <w:szCs w:val="20"/>
              </w:rPr>
            </w:pPr>
            <w:r w:rsidRPr="001D2821">
              <w:rPr>
                <w:rFonts w:ascii="Times New Roman" w:hAnsi="Times New Roman" w:cs="Times New Roman"/>
                <w:sz w:val="20"/>
                <w:szCs w:val="20"/>
              </w:rPr>
              <w:t>výrazné finančné zaťaženie pri vydaní rozhodnutia o odsúhlasení použitia konkrétnej metódy a spôsobu určenia ceny a na nízky počet daňovníkov využívajúcich tento inštitút.</w:t>
            </w:r>
          </w:p>
          <w:p w:rsidR="001D2821" w:rsidRPr="001D2821" w:rsidRDefault="001D2821" w:rsidP="001D2821">
            <w:pPr>
              <w:jc w:val="both"/>
              <w:rPr>
                <w:b/>
              </w:rPr>
            </w:pPr>
          </w:p>
          <w:p w:rsidR="00986BB3" w:rsidRPr="00F17EAF" w:rsidRDefault="00986BB3" w:rsidP="001D2821">
            <w:pPr>
              <w:pStyle w:val="Odsekzoznamu"/>
              <w:numPr>
                <w:ilvl w:val="0"/>
                <w:numId w:val="17"/>
              </w:numPr>
              <w:ind w:left="454" w:hanging="283"/>
              <w:jc w:val="both"/>
              <w:rPr>
                <w:rFonts w:ascii="Times New Roman" w:hAnsi="Times New Roman" w:cs="Times New Roman"/>
                <w:b/>
                <w:sz w:val="20"/>
                <w:szCs w:val="20"/>
              </w:rPr>
            </w:pPr>
            <w:r w:rsidRPr="00F17EAF">
              <w:rPr>
                <w:rFonts w:ascii="Times New Roman" w:hAnsi="Times New Roman" w:cs="Times New Roman"/>
                <w:b/>
                <w:sz w:val="20"/>
                <w:szCs w:val="20"/>
              </w:rPr>
              <w:lastRenderedPageBreak/>
              <w:t>Združenie miest a obcí Slovenska, Zväz cestovného ruchu a Asociácia slovenských kúpeľov</w:t>
            </w:r>
          </w:p>
          <w:p w:rsidR="001D2821" w:rsidRPr="001D2821" w:rsidRDefault="001D2821" w:rsidP="001D2821">
            <w:pPr>
              <w:rPr>
                <w:b/>
              </w:rPr>
            </w:pPr>
            <w:r w:rsidRPr="001D2821">
              <w:rPr>
                <w:b/>
              </w:rPr>
              <w:t>K bodu 1</w:t>
            </w:r>
          </w:p>
          <w:p w:rsidR="001D2821" w:rsidRPr="002717EE" w:rsidRDefault="001D2821" w:rsidP="001D2821">
            <w:r w:rsidRPr="002717EE">
              <w:t>Neboli vznesené žiadne pripomienky.</w:t>
            </w:r>
          </w:p>
          <w:p w:rsidR="001D2821" w:rsidRPr="001D2821" w:rsidRDefault="001D2821" w:rsidP="001D2821">
            <w:pPr>
              <w:rPr>
                <w:b/>
              </w:rPr>
            </w:pPr>
          </w:p>
          <w:p w:rsidR="001D2821" w:rsidRPr="001D2821" w:rsidRDefault="001D2821" w:rsidP="001D2821">
            <w:pPr>
              <w:rPr>
                <w:b/>
              </w:rPr>
            </w:pPr>
            <w:r w:rsidRPr="001D2821">
              <w:rPr>
                <w:b/>
              </w:rPr>
              <w:t>K bodu 2</w:t>
            </w:r>
          </w:p>
          <w:p w:rsidR="001D2821" w:rsidRPr="001D2821" w:rsidRDefault="001D2821" w:rsidP="001D2821">
            <w:pPr>
              <w:jc w:val="both"/>
            </w:pPr>
            <w:r w:rsidRPr="001D2821">
              <w:t xml:space="preserve">Zástupcovia prezentovali </w:t>
            </w:r>
            <w:r>
              <w:t xml:space="preserve">nasledovné </w:t>
            </w:r>
            <w:r w:rsidRPr="001D2821">
              <w:t>podnety</w:t>
            </w:r>
            <w:r>
              <w:t>:</w:t>
            </w:r>
          </w:p>
          <w:p w:rsidR="001D2821" w:rsidRPr="001D2821" w:rsidRDefault="001D2821" w:rsidP="001D2821">
            <w:pPr>
              <w:pStyle w:val="Odsekzoznamu"/>
              <w:numPr>
                <w:ilvl w:val="0"/>
                <w:numId w:val="26"/>
              </w:numPr>
              <w:spacing w:after="0" w:line="240" w:lineRule="auto"/>
              <w:jc w:val="both"/>
              <w:rPr>
                <w:rFonts w:ascii="Times New Roman" w:hAnsi="Times New Roman" w:cs="Times New Roman"/>
                <w:sz w:val="20"/>
                <w:szCs w:val="20"/>
              </w:rPr>
            </w:pPr>
            <w:r w:rsidRPr="001D2821">
              <w:rPr>
                <w:rFonts w:ascii="Times New Roman" w:hAnsi="Times New Roman" w:cs="Times New Roman"/>
                <w:b/>
                <w:sz w:val="20"/>
                <w:szCs w:val="20"/>
              </w:rPr>
              <w:t>odpisovanie majetku</w:t>
            </w:r>
          </w:p>
          <w:p w:rsidR="001D2821" w:rsidRPr="001D2821" w:rsidRDefault="001D2821" w:rsidP="001D2821">
            <w:pPr>
              <w:pStyle w:val="Odsekzoznamu"/>
              <w:jc w:val="both"/>
              <w:rPr>
                <w:rFonts w:ascii="Times New Roman" w:hAnsi="Times New Roman" w:cs="Times New Roman"/>
                <w:sz w:val="20"/>
                <w:szCs w:val="20"/>
              </w:rPr>
            </w:pPr>
            <w:r w:rsidRPr="001D2821">
              <w:rPr>
                <w:rFonts w:ascii="Times New Roman" w:hAnsi="Times New Roman" w:cs="Times New Roman"/>
                <w:sz w:val="20"/>
                <w:szCs w:val="20"/>
              </w:rPr>
              <w:t>Uviedli, že novel</w:t>
            </w:r>
            <w:r>
              <w:rPr>
                <w:rFonts w:ascii="Times New Roman" w:hAnsi="Times New Roman" w:cs="Times New Roman"/>
                <w:sz w:val="20"/>
                <w:szCs w:val="20"/>
              </w:rPr>
              <w:t>ou</w:t>
            </w:r>
            <w:r w:rsidRPr="001D2821">
              <w:rPr>
                <w:rFonts w:ascii="Times New Roman" w:hAnsi="Times New Roman" w:cs="Times New Roman"/>
                <w:sz w:val="20"/>
                <w:szCs w:val="20"/>
              </w:rPr>
              <w:t xml:space="preserve"> zákona </w:t>
            </w:r>
            <w:r>
              <w:rPr>
                <w:rFonts w:ascii="Times New Roman" w:hAnsi="Times New Roman" w:cs="Times New Roman"/>
                <w:sz w:val="20"/>
                <w:szCs w:val="20"/>
              </w:rPr>
              <w:t>o dani z príjmov</w:t>
            </w:r>
            <w:r w:rsidRPr="001D2821">
              <w:rPr>
                <w:rFonts w:ascii="Times New Roman" w:hAnsi="Times New Roman" w:cs="Times New Roman"/>
                <w:sz w:val="20"/>
                <w:szCs w:val="20"/>
              </w:rPr>
              <w:t xml:space="preserve"> od 1.1.2015</w:t>
            </w:r>
            <w:r>
              <w:rPr>
                <w:rFonts w:ascii="Times New Roman" w:hAnsi="Times New Roman" w:cs="Times New Roman"/>
                <w:sz w:val="20"/>
                <w:szCs w:val="20"/>
              </w:rPr>
              <w:t xml:space="preserve"> došlo</w:t>
            </w:r>
            <w:r w:rsidRPr="001D2821">
              <w:rPr>
                <w:rFonts w:ascii="Times New Roman" w:hAnsi="Times New Roman" w:cs="Times New Roman"/>
                <w:sz w:val="20"/>
                <w:szCs w:val="20"/>
              </w:rPr>
              <w:t xml:space="preserve"> k zmenám v oblasti dĺžky doby odpisovania majetku prišlo k diskriminačnému efektu u podnikateľov, ktorých súčasťou majetku je nehnuteľný majetok, nakoľko tento majetok na svoju obnovu a rekonštrukciu vyžaduje veľké množstvo finančných prostriedkov.  </w:t>
            </w:r>
          </w:p>
          <w:p w:rsidR="001D2821" w:rsidRPr="001D2821" w:rsidRDefault="00DD3CB5" w:rsidP="001D2821">
            <w:pPr>
              <w:pStyle w:val="Odsekzoznamu"/>
              <w:jc w:val="both"/>
              <w:rPr>
                <w:rFonts w:ascii="Times New Roman" w:hAnsi="Times New Roman" w:cs="Times New Roman"/>
                <w:sz w:val="20"/>
                <w:szCs w:val="20"/>
              </w:rPr>
            </w:pPr>
            <w:r>
              <w:rPr>
                <w:rFonts w:ascii="Times New Roman" w:hAnsi="Times New Roman" w:cs="Times New Roman"/>
                <w:sz w:val="20"/>
                <w:szCs w:val="20"/>
              </w:rPr>
              <w:t xml:space="preserve">Návrh na vrátenie </w:t>
            </w:r>
            <w:r w:rsidR="001D2821" w:rsidRPr="001D2821">
              <w:rPr>
                <w:rFonts w:ascii="Times New Roman" w:hAnsi="Times New Roman" w:cs="Times New Roman"/>
                <w:sz w:val="20"/>
                <w:szCs w:val="20"/>
              </w:rPr>
              <w:t>stav</w:t>
            </w:r>
            <w:r>
              <w:rPr>
                <w:rFonts w:ascii="Times New Roman" w:hAnsi="Times New Roman" w:cs="Times New Roman"/>
                <w:sz w:val="20"/>
                <w:szCs w:val="20"/>
              </w:rPr>
              <w:t>u</w:t>
            </w:r>
            <w:r w:rsidR="001D2821" w:rsidRPr="001D2821">
              <w:rPr>
                <w:rFonts w:ascii="Times New Roman" w:hAnsi="Times New Roman" w:cs="Times New Roman"/>
                <w:sz w:val="20"/>
                <w:szCs w:val="20"/>
              </w:rPr>
              <w:t xml:space="preserve"> v oblasti odpisových skupín a doby odpisovania </w:t>
            </w:r>
            <w:r>
              <w:rPr>
                <w:rFonts w:ascii="Times New Roman" w:hAnsi="Times New Roman" w:cs="Times New Roman"/>
                <w:sz w:val="20"/>
                <w:szCs w:val="20"/>
              </w:rPr>
              <w:t xml:space="preserve">na stav </w:t>
            </w:r>
            <w:r w:rsidR="001D2821" w:rsidRPr="001D2821">
              <w:rPr>
                <w:rFonts w:ascii="Times New Roman" w:hAnsi="Times New Roman" w:cs="Times New Roman"/>
                <w:sz w:val="20"/>
                <w:szCs w:val="20"/>
              </w:rPr>
              <w:t>aký bol za účinnosti zákona o dani z príjmov do 31.12.2014, pričom navrhuj</w:t>
            </w:r>
            <w:r>
              <w:rPr>
                <w:rFonts w:ascii="Times New Roman" w:hAnsi="Times New Roman" w:cs="Times New Roman"/>
                <w:sz w:val="20"/>
                <w:szCs w:val="20"/>
              </w:rPr>
              <w:t>ú</w:t>
            </w:r>
            <w:r w:rsidR="001D2821" w:rsidRPr="001D2821">
              <w:rPr>
                <w:rFonts w:ascii="Times New Roman" w:hAnsi="Times New Roman" w:cs="Times New Roman"/>
                <w:sz w:val="20"/>
                <w:szCs w:val="20"/>
              </w:rPr>
              <w:t xml:space="preserve"> skrátenie doby odpisovania zo súčasných 40 rokov na 20 rokov odpisovania. </w:t>
            </w:r>
          </w:p>
          <w:p w:rsidR="001D2821" w:rsidRPr="001D2821" w:rsidRDefault="001D2821" w:rsidP="001D2821">
            <w:pPr>
              <w:pStyle w:val="Odsekzoznamu"/>
              <w:numPr>
                <w:ilvl w:val="0"/>
                <w:numId w:val="26"/>
              </w:numPr>
              <w:spacing w:after="0" w:line="240" w:lineRule="auto"/>
              <w:jc w:val="both"/>
              <w:rPr>
                <w:rFonts w:ascii="Times New Roman" w:hAnsi="Times New Roman" w:cs="Times New Roman"/>
                <w:b/>
                <w:sz w:val="20"/>
                <w:szCs w:val="20"/>
              </w:rPr>
            </w:pPr>
            <w:r w:rsidRPr="001D2821">
              <w:rPr>
                <w:rFonts w:ascii="Times New Roman" w:hAnsi="Times New Roman" w:cs="Times New Roman"/>
                <w:b/>
                <w:sz w:val="20"/>
                <w:szCs w:val="20"/>
              </w:rPr>
              <w:t xml:space="preserve">sadzba dane právnickej osoby </w:t>
            </w:r>
          </w:p>
          <w:p w:rsidR="001D2821" w:rsidRPr="001D2821" w:rsidRDefault="001D2821" w:rsidP="001D2821">
            <w:pPr>
              <w:pStyle w:val="Odsekzoznamu"/>
              <w:jc w:val="both"/>
              <w:rPr>
                <w:rFonts w:ascii="Times New Roman" w:hAnsi="Times New Roman" w:cs="Times New Roman"/>
                <w:sz w:val="20"/>
                <w:szCs w:val="20"/>
              </w:rPr>
            </w:pPr>
            <w:r w:rsidRPr="001D2821">
              <w:rPr>
                <w:rFonts w:ascii="Times New Roman" w:hAnsi="Times New Roman" w:cs="Times New Roman"/>
                <w:sz w:val="20"/>
                <w:szCs w:val="20"/>
              </w:rPr>
              <w:t>zníženie sadzby dane na 10% pre kúpeľné zariadenia (subjekty podnikajúce na základe rozhodnutia Štátnej kúpeľnej komisie Ministerstva zdravotníctva SR, ktorá povoľuje poskytovanie ústavnej zdravotnej starostlivosti v prírodných kúpeľných zariadeniach). Túto úpravu navrhuje ASK realizovať ako súčasť balíka na podporu a rozvoj slovenského kúpeľníctva, pričom tento podnet považujú za stimulačný nástroj s pozitívnym dopadom na výber dane</w:t>
            </w:r>
            <w:r w:rsidR="003C0F46">
              <w:rPr>
                <w:rFonts w:ascii="Times New Roman" w:hAnsi="Times New Roman" w:cs="Times New Roman"/>
                <w:sz w:val="20"/>
                <w:szCs w:val="20"/>
              </w:rPr>
              <w:t>,</w:t>
            </w:r>
            <w:r w:rsidRPr="001D2821">
              <w:rPr>
                <w:rFonts w:ascii="Times New Roman" w:hAnsi="Times New Roman" w:cs="Times New Roman"/>
                <w:sz w:val="20"/>
                <w:szCs w:val="20"/>
              </w:rPr>
              <w:t xml:space="preserve"> </w:t>
            </w:r>
          </w:p>
          <w:p w:rsidR="001D2821" w:rsidRPr="001D2821" w:rsidRDefault="001D2821" w:rsidP="001D2821">
            <w:pPr>
              <w:pStyle w:val="Odsekzoznamu"/>
              <w:numPr>
                <w:ilvl w:val="0"/>
                <w:numId w:val="28"/>
              </w:numPr>
              <w:spacing w:after="0" w:line="240" w:lineRule="auto"/>
              <w:jc w:val="both"/>
              <w:rPr>
                <w:rFonts w:ascii="Times New Roman" w:hAnsi="Times New Roman" w:cs="Times New Roman"/>
                <w:sz w:val="20"/>
                <w:szCs w:val="20"/>
              </w:rPr>
            </w:pPr>
            <w:r w:rsidRPr="001D2821">
              <w:rPr>
                <w:rFonts w:ascii="Times New Roman" w:hAnsi="Times New Roman" w:cs="Times New Roman"/>
                <w:sz w:val="20"/>
                <w:szCs w:val="20"/>
              </w:rPr>
              <w:t>navrhli zníženie sadzby DPH na služby v</w:t>
            </w:r>
            <w:r w:rsidR="003C0F46">
              <w:rPr>
                <w:rFonts w:ascii="Times New Roman" w:hAnsi="Times New Roman" w:cs="Times New Roman"/>
                <w:sz w:val="20"/>
                <w:szCs w:val="20"/>
              </w:rPr>
              <w:t> </w:t>
            </w:r>
            <w:r w:rsidRPr="001D2821">
              <w:rPr>
                <w:rFonts w:ascii="Times New Roman" w:hAnsi="Times New Roman" w:cs="Times New Roman"/>
                <w:sz w:val="20"/>
                <w:szCs w:val="20"/>
              </w:rPr>
              <w:t>hotelierstve</w:t>
            </w:r>
            <w:r w:rsidR="003C0F46">
              <w:rPr>
                <w:rFonts w:ascii="Times New Roman" w:hAnsi="Times New Roman" w:cs="Times New Roman"/>
                <w:sz w:val="20"/>
                <w:szCs w:val="20"/>
              </w:rPr>
              <w:t>,</w:t>
            </w:r>
          </w:p>
          <w:p w:rsidR="001D2821" w:rsidRPr="001D2821" w:rsidRDefault="001D2821" w:rsidP="001D2821">
            <w:pPr>
              <w:pStyle w:val="Odsekzoznamu"/>
              <w:numPr>
                <w:ilvl w:val="0"/>
                <w:numId w:val="28"/>
              </w:numPr>
              <w:spacing w:after="0" w:line="240" w:lineRule="auto"/>
              <w:jc w:val="both"/>
              <w:rPr>
                <w:rFonts w:ascii="Times New Roman" w:hAnsi="Times New Roman" w:cs="Times New Roman"/>
                <w:sz w:val="20"/>
                <w:szCs w:val="20"/>
              </w:rPr>
            </w:pPr>
            <w:r w:rsidRPr="001D2821">
              <w:rPr>
                <w:rFonts w:ascii="Times New Roman" w:hAnsi="Times New Roman" w:cs="Times New Roman"/>
                <w:sz w:val="20"/>
                <w:szCs w:val="20"/>
              </w:rPr>
              <w:t>navrhli osobitný stimul pre podporu rozvoja kúpeľníctva – aby sa ustanovilo, že poplatky za liečivé pramene platené kúpeľnými zariadeniami, patria do rozpočtu miest a obcí. Ich následné využitie zo strany miest a obcí by bolo viazané na opravu a vybudovanie infraštruktúry v oblastiach, v ktorých pôsobia tieto kúpeľné zariadenia,</w:t>
            </w:r>
          </w:p>
          <w:p w:rsidR="001D2821" w:rsidRPr="001D2821" w:rsidRDefault="001D2821" w:rsidP="001D2821">
            <w:pPr>
              <w:pStyle w:val="Odsekzoznamu"/>
              <w:numPr>
                <w:ilvl w:val="0"/>
                <w:numId w:val="28"/>
              </w:numPr>
              <w:spacing w:after="0" w:line="240" w:lineRule="auto"/>
              <w:jc w:val="both"/>
              <w:rPr>
                <w:rFonts w:ascii="Times New Roman" w:hAnsi="Times New Roman" w:cs="Times New Roman"/>
                <w:sz w:val="20"/>
                <w:szCs w:val="20"/>
              </w:rPr>
            </w:pPr>
            <w:r w:rsidRPr="001D2821">
              <w:rPr>
                <w:rFonts w:ascii="Times New Roman" w:hAnsi="Times New Roman" w:cs="Times New Roman"/>
                <w:sz w:val="20"/>
                <w:szCs w:val="20"/>
              </w:rPr>
              <w:t>uviedli, že by nemali byť robené kroky, ktoré by narušovali kompetencie miest a obcí v súvislosti s výberom dane za ubytovanie a dane z nehnuteľnosti, lebo by to narušilo rozpočty miest a obcí.</w:t>
            </w:r>
          </w:p>
          <w:p w:rsidR="001D2821" w:rsidRPr="001D2821" w:rsidRDefault="001D2821" w:rsidP="001D2821">
            <w:pPr>
              <w:jc w:val="both"/>
            </w:pPr>
          </w:p>
          <w:p w:rsidR="001D2821" w:rsidRPr="001D2821" w:rsidRDefault="001D2821" w:rsidP="001D2821">
            <w:pPr>
              <w:tabs>
                <w:tab w:val="left" w:pos="7485"/>
              </w:tabs>
              <w:jc w:val="both"/>
            </w:pPr>
            <w:r w:rsidRPr="001D2821">
              <w:rPr>
                <w:b/>
              </w:rPr>
              <w:t>K bodu 3</w:t>
            </w:r>
          </w:p>
          <w:p w:rsidR="003C0F46" w:rsidRPr="002717EE" w:rsidRDefault="003C0F46" w:rsidP="003C0F46">
            <w:r w:rsidRPr="002717EE">
              <w:t>Neboli vznesené žiadne pripomienky.</w:t>
            </w:r>
          </w:p>
          <w:p w:rsidR="001D2821" w:rsidRPr="001D2821" w:rsidRDefault="001D2821" w:rsidP="001D2821">
            <w:pPr>
              <w:jc w:val="both"/>
            </w:pPr>
          </w:p>
          <w:p w:rsidR="001D2821" w:rsidRPr="001D2821" w:rsidRDefault="001D2821" w:rsidP="001D2821">
            <w:r w:rsidRPr="001D2821">
              <w:rPr>
                <w:b/>
              </w:rPr>
              <w:t>K bodu 4</w:t>
            </w:r>
          </w:p>
          <w:p w:rsidR="003C0F46" w:rsidRDefault="003C0F46" w:rsidP="003C0F46">
            <w:r w:rsidRPr="002717EE">
              <w:t>Neboli vznesené žiadne pripomienky.</w:t>
            </w:r>
          </w:p>
          <w:p w:rsidR="003C0F46" w:rsidRDefault="003C0F46" w:rsidP="003C0F46"/>
          <w:p w:rsidR="003C0F46" w:rsidRPr="003C0F46" w:rsidRDefault="003C0F46" w:rsidP="003C0F46">
            <w:pPr>
              <w:rPr>
                <w:b/>
              </w:rPr>
            </w:pPr>
            <w:r w:rsidRPr="003C0F46">
              <w:rPr>
                <w:b/>
              </w:rPr>
              <w:t xml:space="preserve">Pripomienky nad rámec návrhu novely zákona </w:t>
            </w:r>
          </w:p>
          <w:p w:rsidR="003C0F46" w:rsidRPr="002717EE" w:rsidRDefault="003C0F46" w:rsidP="003C0F46">
            <w:r>
              <w:t>Zúčastnené subjekty zároveň predniesli aj pripomienky nad rámec návrhu novely zákona. Tieto pripomienky smerovali k riešeniu problematických oblastí v závislosti od jednotlivých subjektov.</w:t>
            </w:r>
          </w:p>
          <w:p w:rsidR="00986BB3" w:rsidRPr="004F5AEF" w:rsidRDefault="00986BB3" w:rsidP="00986BB3">
            <w:pPr>
              <w:jc w:val="both"/>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lastRenderedPageBreak/>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02190F" w:rsidRDefault="00E45D0B" w:rsidP="00C00E62">
            <w:pPr>
              <w:rPr>
                <w:b/>
              </w:rPr>
            </w:pPr>
            <w:r w:rsidRPr="00B13551">
              <w:rPr>
                <w:b/>
              </w:rPr>
              <w:t>Predpokladá sa zníženie priamych finančných nákladov v súvislosti so</w:t>
            </w:r>
            <w:r w:rsidR="0002190F">
              <w:rPr>
                <w:b/>
              </w:rPr>
              <w:t>:</w:t>
            </w:r>
          </w:p>
          <w:p w:rsidR="0002190F" w:rsidRPr="002D5B94" w:rsidRDefault="0002190F" w:rsidP="002D5B94">
            <w:pPr>
              <w:rPr>
                <w:b/>
              </w:rPr>
            </w:pPr>
            <w:r>
              <w:rPr>
                <w:b/>
              </w:rPr>
              <w:t>- zavedením osobitného režimu uplatňovania odpisov</w:t>
            </w:r>
            <w:r w:rsidR="002D5B94">
              <w:rPr>
                <w:b/>
              </w:rPr>
              <w:t xml:space="preserve"> technického zhodnotenia</w:t>
            </w:r>
            <w:r>
              <w:rPr>
                <w:b/>
              </w:rPr>
              <w:t xml:space="preserve"> v</w:t>
            </w:r>
            <w:r w:rsidR="00F64C23">
              <w:rPr>
                <w:b/>
              </w:rPr>
              <w:t> </w:t>
            </w:r>
            <w:r>
              <w:rPr>
                <w:b/>
              </w:rPr>
              <w:t xml:space="preserve">kúpeľníctve </w:t>
            </w:r>
          </w:p>
          <w:p w:rsidR="0002190F" w:rsidRDefault="0002190F" w:rsidP="0002190F">
            <w:pPr>
              <w:shd w:val="clear" w:color="auto" w:fill="FFFFFF" w:themeFill="background1"/>
              <w:rPr>
                <w:b/>
              </w:rPr>
            </w:pPr>
            <w:r>
              <w:rPr>
                <w:b/>
              </w:rPr>
              <w:t xml:space="preserve">- zmenou vo výpočte odpočtu nákladov na výskum a vývoj </w:t>
            </w:r>
          </w:p>
          <w:p w:rsidR="0002190F" w:rsidRPr="0002190F" w:rsidRDefault="0002190F" w:rsidP="0002190F">
            <w:pPr>
              <w:shd w:val="clear" w:color="auto" w:fill="FFFFFF" w:themeFill="background1"/>
              <w:rPr>
                <w:b/>
              </w:rPr>
            </w:pPr>
            <w:r>
              <w:rPr>
                <w:b/>
              </w:rPr>
              <w:t xml:space="preserve">- oslobodením stravy poskytovanej lekárom v rámci vzdelávacích podujatí </w:t>
            </w:r>
          </w:p>
          <w:p w:rsidR="00C235AB" w:rsidRDefault="00C235AB" w:rsidP="00C00E62">
            <w:pPr>
              <w:rPr>
                <w:b/>
              </w:rPr>
            </w:pPr>
          </w:p>
          <w:p w:rsidR="00F64C23" w:rsidRDefault="00F64C23" w:rsidP="00F64C23">
            <w:pPr>
              <w:rPr>
                <w:b/>
                <w:color w:val="FF0000"/>
              </w:rPr>
            </w:pPr>
            <w:r>
              <w:rPr>
                <w:b/>
              </w:rPr>
              <w:t xml:space="preserve">Uvedené opatrenia budú mať pozitívny vplyv na podnikateľské prostredie vo výške </w:t>
            </w:r>
            <w:r w:rsidR="002D5B94">
              <w:rPr>
                <w:b/>
              </w:rPr>
              <w:t>9,1</w:t>
            </w:r>
            <w:r>
              <w:rPr>
                <w:b/>
              </w:rPr>
              <w:t xml:space="preserve"> mil. eur v roku 2018 až do </w:t>
            </w:r>
            <w:r w:rsidR="002D5B94">
              <w:rPr>
                <w:b/>
              </w:rPr>
              <w:t>14,0</w:t>
            </w:r>
            <w:r>
              <w:rPr>
                <w:b/>
              </w:rPr>
              <w:t xml:space="preserve"> mil. eur v roku 2020.</w:t>
            </w:r>
            <w:r w:rsidRPr="0002190F">
              <w:rPr>
                <w:b/>
                <w:color w:val="FF0000"/>
              </w:rPr>
              <w:t xml:space="preserve"> </w:t>
            </w:r>
          </w:p>
          <w:p w:rsidR="00AC7457" w:rsidRDefault="00AC7457" w:rsidP="00F64C23">
            <w:pPr>
              <w:rPr>
                <w:b/>
                <w:color w:val="FF0000"/>
              </w:rPr>
            </w:pPr>
          </w:p>
          <w:p w:rsidR="00AC7457" w:rsidRDefault="00AC7457" w:rsidP="00AC7457">
            <w:pPr>
              <w:jc w:val="both"/>
              <w:rPr>
                <w:b/>
              </w:rPr>
            </w:pPr>
            <w:r w:rsidRPr="00AC7457">
              <w:rPr>
                <w:b/>
              </w:rPr>
              <w:t xml:space="preserve">Pozitívny vplyv sa očakáva z dôvodu zmiernenia následkov porušenia princípu nezávislého vzťahu v procese prijímania investičnej pomoci kedy daňovník – prijímateľ investičnej pomoci stratí nárok na úľavu na dani len v príslušnom zdaňovacom období, v ktorom došlo k porušeniu princípu nezávislého vzťahu a nebude dochádzať k automatickému zániku práva na uplatnenie úľavy na dani za všetky zdaňovacie obdobia, v ktorých si úľavu na dani uplatnil alebo mohol uplatniť. </w:t>
            </w:r>
          </w:p>
          <w:p w:rsidR="00AC7457" w:rsidRDefault="00AC7457" w:rsidP="00AC7457">
            <w:pPr>
              <w:jc w:val="both"/>
              <w:rPr>
                <w:b/>
              </w:rPr>
            </w:pPr>
          </w:p>
          <w:p w:rsidR="00AC7457" w:rsidRDefault="00AC7457" w:rsidP="00AC7457">
            <w:pPr>
              <w:jc w:val="both"/>
              <w:rPr>
                <w:b/>
              </w:rPr>
            </w:pPr>
            <w:r w:rsidRPr="00D3200D">
              <w:rPr>
                <w:b/>
              </w:rPr>
              <w:t xml:space="preserve">Rovnako pozitívny vplyv sa očakáva pri zavedení </w:t>
            </w:r>
            <w:r w:rsidR="00D3200D" w:rsidRPr="00D3200D">
              <w:rPr>
                <w:b/>
              </w:rPr>
              <w:t>osobitného daňového režimu pre komerčné využívanie nehmotných aktív</w:t>
            </w:r>
            <w:r w:rsidR="00D3200D">
              <w:rPr>
                <w:b/>
              </w:rPr>
              <w:t xml:space="preserve"> a to v súvislosti s oslobodením zákonom vymedzených príjmov. </w:t>
            </w:r>
            <w:r w:rsidR="00251544">
              <w:rPr>
                <w:b/>
              </w:rPr>
              <w:t>Vzhľadom na nedostupnosť údajov nie je možné uviesť kvantifikáciu vplyvu na podnikateľské prostredie.</w:t>
            </w:r>
          </w:p>
          <w:p w:rsidR="005F5F70" w:rsidRDefault="005F5F70" w:rsidP="00AC7457">
            <w:pPr>
              <w:jc w:val="both"/>
              <w:rPr>
                <w:b/>
              </w:rPr>
            </w:pPr>
          </w:p>
          <w:p w:rsidR="005F5F70" w:rsidRPr="00D3200D" w:rsidRDefault="005F5F70" w:rsidP="00AC7457">
            <w:pPr>
              <w:jc w:val="both"/>
              <w:rPr>
                <w:b/>
              </w:rPr>
            </w:pPr>
            <w:r>
              <w:rPr>
                <w:b/>
              </w:rPr>
              <w:t>Pozitívny vplyv sa očakáva v súvislosti so zavedením</w:t>
            </w:r>
            <w:r w:rsidRPr="005F5F70">
              <w:rPr>
                <w:b/>
              </w:rPr>
              <w:t xml:space="preserve"> nového inštitútu oddlženia formou konkurzu a splátkového kalendára u fyzickej osoby</w:t>
            </w:r>
            <w:r>
              <w:rPr>
                <w:b/>
              </w:rPr>
              <w:t>, v rámci ktorého</w:t>
            </w:r>
            <w:r w:rsidRPr="005F5F70">
              <w:rPr>
                <w:b/>
              </w:rPr>
              <w:t xml:space="preserve"> sa umožňuje považovať za daňový výdavok aj odpis pohľadávok v rozsahu, v akom nebudú uspokojené v konkurze alebo splátkovým kalendárom.</w:t>
            </w:r>
          </w:p>
          <w:p w:rsidR="00F64C23" w:rsidRPr="00D3200D" w:rsidRDefault="00F64C23" w:rsidP="00C00E62">
            <w:pPr>
              <w:rPr>
                <w:b/>
              </w:rPr>
            </w:pPr>
          </w:p>
          <w:p w:rsidR="00682E61" w:rsidRDefault="00390CBE" w:rsidP="00C235AB">
            <w:pPr>
              <w:jc w:val="both"/>
              <w:rPr>
                <w:b/>
              </w:rPr>
            </w:pPr>
            <w:r>
              <w:rPr>
                <w:b/>
              </w:rPr>
              <w:t>Negatívny vplyv sa očakáva z</w:t>
            </w:r>
            <w:r w:rsidR="00682E61">
              <w:rPr>
                <w:b/>
              </w:rPr>
              <w:t> </w:t>
            </w:r>
            <w:r>
              <w:rPr>
                <w:b/>
              </w:rPr>
              <w:t>dôvodu</w:t>
            </w:r>
            <w:r w:rsidR="00682E61">
              <w:rPr>
                <w:b/>
              </w:rPr>
              <w:t xml:space="preserve"> zavedenia:</w:t>
            </w:r>
          </w:p>
          <w:p w:rsidR="00682E61" w:rsidRDefault="00682E61" w:rsidP="00C235AB">
            <w:pPr>
              <w:jc w:val="both"/>
              <w:rPr>
                <w:b/>
              </w:rPr>
            </w:pPr>
            <w:r>
              <w:rPr>
                <w:b/>
              </w:rPr>
              <w:t>-</w:t>
            </w:r>
            <w:r w:rsidR="00390CBE">
              <w:rPr>
                <w:b/>
              </w:rPr>
              <w:t xml:space="preserve"> </w:t>
            </w:r>
            <w:r w:rsidR="0002190F">
              <w:rPr>
                <w:b/>
              </w:rPr>
              <w:t xml:space="preserve">zdaňovania pri odchode </w:t>
            </w:r>
            <w:r>
              <w:rPr>
                <w:b/>
              </w:rPr>
              <w:t xml:space="preserve"> - a to v súvislosti so zdanením ekonomickej hodnoty všetkých kapitálových ziskov vytvorených na území SR (aj keď tento zisk nebol v čase odchodu realizovaný) vyplývajúcej z presunu majetku alebo zmeny rezidencie mimo územia SR prostredníctvom osobitného </w:t>
            </w:r>
            <w:r w:rsidR="00B55A5D">
              <w:rPr>
                <w:b/>
              </w:rPr>
              <w:t>základu dane pri použití sadzby dane vo výške 21 %,</w:t>
            </w:r>
            <w:r>
              <w:rPr>
                <w:b/>
              </w:rPr>
              <w:t xml:space="preserve"> </w:t>
            </w:r>
          </w:p>
          <w:p w:rsidR="00682E61" w:rsidRDefault="00682E61" w:rsidP="00C235AB">
            <w:pPr>
              <w:jc w:val="both"/>
              <w:rPr>
                <w:b/>
              </w:rPr>
            </w:pPr>
            <w:r>
              <w:rPr>
                <w:b/>
              </w:rPr>
              <w:t>- p</w:t>
            </w:r>
            <w:r w:rsidR="0002190F">
              <w:rPr>
                <w:b/>
              </w:rPr>
              <w:t>ravidiel pre kontrolované zahraničné spoločnosti.</w:t>
            </w:r>
            <w:r w:rsidR="00390CBE">
              <w:rPr>
                <w:b/>
              </w:rPr>
              <w:t xml:space="preserve"> </w:t>
            </w:r>
          </w:p>
          <w:p w:rsidR="0002190F" w:rsidRDefault="00F64C23" w:rsidP="00C235AB">
            <w:pPr>
              <w:jc w:val="both"/>
              <w:rPr>
                <w:b/>
              </w:rPr>
            </w:pPr>
            <w:r>
              <w:rPr>
                <w:b/>
              </w:rPr>
              <w:t>Vplyv zavedenia zdaňovania pri odchode a ustanovenia pr</w:t>
            </w:r>
            <w:r w:rsidR="002D5B94">
              <w:rPr>
                <w:b/>
              </w:rPr>
              <w:t>a</w:t>
            </w:r>
            <w:r>
              <w:rPr>
                <w:b/>
              </w:rPr>
              <w:t>vidiel pre kontrolované zahraničné spoločnosti nie je možné vyčísliť.</w:t>
            </w: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lastRenderedPageBreak/>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F04CCD" w:rsidRDefault="009F2DFA" w:rsidP="007B71A4">
            <w:pPr>
              <w:rPr>
                <w:b/>
                <w:i/>
              </w:rPr>
            </w:pPr>
          </w:p>
          <w:p w:rsidR="00B13551" w:rsidRPr="00B13551" w:rsidRDefault="00B13551" w:rsidP="00B13551">
            <w:pPr>
              <w:rPr>
                <w:b/>
              </w:rPr>
            </w:pPr>
            <w:r w:rsidRPr="00B13551">
              <w:rPr>
                <w:b/>
              </w:rPr>
              <w:t xml:space="preserve">Predloženými návrhmi nedochádza k vzniku nepriamych nákladov zo strany podnikateľov. </w:t>
            </w:r>
          </w:p>
          <w:p w:rsidR="00B13551" w:rsidRPr="00B13551" w:rsidRDefault="00B13551" w:rsidP="00B13551">
            <w:pPr>
              <w:rPr>
                <w:b/>
              </w:rPr>
            </w:pPr>
            <w:r w:rsidRPr="00B13551">
              <w:rPr>
                <w:b/>
              </w:rPr>
              <w:t>Predkladaný návrh nezvyšuje náklady súvisiace so zamestnávaním.</w:t>
            </w:r>
          </w:p>
          <w:p w:rsidR="009F2DFA" w:rsidRPr="00B13551" w:rsidRDefault="009F2DFA" w:rsidP="007B71A4">
            <w:pPr>
              <w:rPr>
                <w:b/>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.3.3 Administratívne náklady</w:t>
            </w:r>
          </w:p>
          <w:p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651FE9" w:rsidRDefault="00651FE9" w:rsidP="007B71A4">
            <w:pPr>
              <w:rPr>
                <w:b/>
                <w:i/>
              </w:rPr>
            </w:pPr>
            <w:r>
              <w:rPr>
                <w:b/>
                <w:i/>
              </w:rPr>
              <w:t>Zavedenie osobitného daňového režimu pre komerčné využívanie nehmotných aktív je spojené so zavedením evidenčnej povinnosti pre daňové subjekty, ktorá spočíva v sledovaní nákladov na vývoj nehmotných aktív a pod. Ustanovené evidencie však daňové subjekty nebudú povinné predkladať správcovi dane pri podaní daňového priznania ale až pri prípadnej daňovej kontrole. Zavedenie týchto oznamovacích povinností nepredstavuje osobitné finančné náklady daňových subjektov, nakoľko tieto údaje je možné získať z účtovnej evidencie.</w:t>
            </w:r>
          </w:p>
          <w:p w:rsidR="00651FE9" w:rsidRDefault="00651FE9" w:rsidP="007B71A4">
            <w:pPr>
              <w:rPr>
                <w:b/>
                <w:i/>
              </w:rPr>
            </w:pPr>
          </w:p>
          <w:p w:rsidR="00651FE9" w:rsidRDefault="00651FE9" w:rsidP="007B71A4">
            <w:pPr>
              <w:rPr>
                <w:b/>
                <w:i/>
              </w:rPr>
            </w:pPr>
            <w:r>
              <w:rPr>
                <w:b/>
                <w:i/>
              </w:rPr>
              <w:t xml:space="preserve">V súvislosti so zavedením zdanenia pri odchode a možnosťou splátkového kalendára vznikne daňovníkovi povinnosť oznámiť správcovi dane vybrané skutočnosti, ktoré budú mať za následok ukončenie možnosti zvýhodneného režimu platenia dane pri odchode vo forme splátkového kalendára. </w:t>
            </w:r>
          </w:p>
          <w:p w:rsidR="00651FE9" w:rsidRDefault="00651FE9" w:rsidP="007B71A4">
            <w:pPr>
              <w:rPr>
                <w:b/>
                <w:i/>
              </w:rPr>
            </w:pPr>
          </w:p>
          <w:p w:rsidR="00770A83" w:rsidRDefault="00770A83" w:rsidP="00770A83">
            <w:pPr>
              <w:rPr>
                <w:b/>
                <w:bCs/>
                <w:sz w:val="24"/>
                <w:szCs w:val="24"/>
              </w:rPr>
            </w:pPr>
          </w:p>
          <w:p w:rsidR="009F2DFA" w:rsidRPr="00F04CCD" w:rsidRDefault="009F2DFA" w:rsidP="007B71A4">
            <w:pPr>
              <w:rPr>
                <w:b/>
                <w:i/>
              </w:rPr>
            </w:pPr>
          </w:p>
        </w:tc>
      </w:tr>
      <w:tr w:rsidR="009F2DFA" w:rsidRPr="00F04CCD" w:rsidTr="007B71A4">
        <w:trPr>
          <w:trHeight w:val="2318"/>
        </w:trPr>
        <w:tc>
          <w:tcPr>
            <w:tcW w:w="9212" w:type="dxa"/>
            <w:tcBorders>
              <w:bottom w:val="single" w:sz="4" w:space="0" w:color="auto"/>
            </w:tcBorders>
          </w:tcPr>
          <w:p w:rsidR="009F2DFA" w:rsidRPr="00F04CCD" w:rsidRDefault="002B1108" w:rsidP="007B71A4">
            <w:pPr>
              <w:rPr>
                <w:i/>
              </w:rPr>
            </w:pPr>
            <w:r>
              <w:rPr>
                <w:b/>
                <w:i/>
              </w:rPr>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49"/>
              <w:gridCol w:w="2941"/>
              <w:gridCol w:w="2946"/>
            </w:tblGrid>
            <w:tr w:rsidR="009F2DFA" w:rsidRPr="00F04CCD" w:rsidTr="007B71A4">
              <w:tc>
                <w:tcPr>
                  <w:tcW w:w="2993" w:type="dxa"/>
                </w:tcPr>
                <w:p w:rsidR="009F2DFA" w:rsidRPr="00F04CCD" w:rsidRDefault="009F2DFA" w:rsidP="007B71A4">
                  <w:pPr>
                    <w:rPr>
                      <w:i/>
                    </w:rPr>
                  </w:pPr>
                </w:p>
              </w:tc>
              <w:tc>
                <w:tcPr>
                  <w:tcW w:w="2994" w:type="dxa"/>
                </w:tcPr>
                <w:p w:rsidR="009F2DFA" w:rsidRPr="00F04CCD" w:rsidRDefault="009F2DFA" w:rsidP="007B71A4">
                  <w:pPr>
                    <w:jc w:val="center"/>
                    <w:rPr>
                      <w:i/>
                    </w:rPr>
                  </w:pPr>
                  <w:r w:rsidRPr="00F04CCD">
                    <w:rPr>
                      <w:i/>
                    </w:rPr>
                    <w:t>Náklady na 1 podnikateľa</w:t>
                  </w:r>
                </w:p>
              </w:tc>
              <w:tc>
                <w:tcPr>
                  <w:tcW w:w="2994" w:type="dxa"/>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Pr>
                <w:p w:rsidR="009F2DFA" w:rsidRPr="00F04CCD" w:rsidRDefault="009F2DFA" w:rsidP="007B71A4">
                  <w:pPr>
                    <w:rPr>
                      <w:i/>
                    </w:rPr>
                  </w:pPr>
                  <w:r w:rsidRPr="00F04CCD">
                    <w:rPr>
                      <w:i/>
                    </w:rPr>
                    <w:t>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Nepriame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Administratívne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b/>
                      <w:i/>
                    </w:rPr>
                  </w:pPr>
                  <w:r w:rsidRPr="00F04CCD">
                    <w:rPr>
                      <w:b/>
                      <w:i/>
                    </w:rPr>
                    <w:t>Celkové náklady regulácie</w:t>
                  </w:r>
                </w:p>
              </w:tc>
              <w:tc>
                <w:tcPr>
                  <w:tcW w:w="2994" w:type="dxa"/>
                </w:tcPr>
                <w:p w:rsidR="009F2DFA" w:rsidRPr="00F04CCD" w:rsidRDefault="009F2DFA" w:rsidP="007B71A4">
                  <w:pPr>
                    <w:jc w:val="center"/>
                    <w:rPr>
                      <w:b/>
                      <w:i/>
                    </w:rPr>
                  </w:pPr>
                  <w:r w:rsidRPr="00F04CCD">
                    <w:rPr>
                      <w:b/>
                      <w:i/>
                    </w:rPr>
                    <w:t>0</w:t>
                  </w:r>
                </w:p>
              </w:tc>
              <w:tc>
                <w:tcPr>
                  <w:tcW w:w="2994" w:type="dxa"/>
                </w:tcPr>
                <w:p w:rsidR="009F2DFA" w:rsidRPr="00F04CCD" w:rsidRDefault="009F2DFA" w:rsidP="007B71A4">
                  <w:pPr>
                    <w:jc w:val="center"/>
                    <w:rPr>
                      <w:b/>
                      <w:i/>
                    </w:rPr>
                  </w:pPr>
                  <w:r w:rsidRPr="00F04CCD">
                    <w:rPr>
                      <w:b/>
                      <w:i/>
                    </w:rPr>
                    <w:t>0</w:t>
                  </w:r>
                </w:p>
              </w:tc>
            </w:tr>
          </w:tbl>
          <w:p w:rsidR="009F2DFA" w:rsidRPr="00F04CCD" w:rsidRDefault="00B55A5D" w:rsidP="00B55A5D">
            <w:pPr>
              <w:rPr>
                <w:i/>
              </w:rPr>
            </w:pPr>
            <w:r w:rsidRPr="00B55A5D">
              <w:rPr>
                <w:b/>
                <w:i/>
              </w:rPr>
              <w:t xml:space="preserve">V prípade zavedenia </w:t>
            </w:r>
            <w:r>
              <w:rPr>
                <w:b/>
                <w:i/>
              </w:rPr>
              <w:t>zdanenia pri odchode, pravidiel pre kontrolované zahraničné spoločnosti a zavedenia evidenčnej povinnosti pri nákladoch na vývoj nehmotných aktív</w:t>
            </w:r>
            <w:bookmarkStart w:id="0" w:name="_GoBack"/>
            <w:bookmarkEnd w:id="0"/>
            <w:r w:rsidRPr="00B55A5D">
              <w:rPr>
                <w:b/>
                <w:i/>
              </w:rPr>
              <w:t xml:space="preserve"> nie sú dostupné údaje pre kvantifikáciu vplyvu na podnikateľské prostredie a podnikateľa.</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lastRenderedPageBreak/>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7B71A4">
        <w:trPr>
          <w:trHeight w:val="1282"/>
        </w:trPr>
        <w:tc>
          <w:tcPr>
            <w:tcW w:w="9212" w:type="dxa"/>
            <w:tcBorders>
              <w:bottom w:val="single" w:sz="4" w:space="0" w:color="auto"/>
            </w:tcBorders>
          </w:tcPr>
          <w:p w:rsidR="009F2DFA" w:rsidRPr="00F04CCD" w:rsidRDefault="00521481" w:rsidP="007B71A4">
            <w:pPr>
              <w:rPr>
                <w:i/>
              </w:rPr>
            </w:pPr>
            <w:r w:rsidRPr="00A908B4">
              <w:rPr>
                <w:b/>
              </w:rPr>
              <w:t>Nepredpokladá sa vplyv navrhovanej zmeny na konkurencieschopnosť a správanie podnikov na trhu</w:t>
            </w:r>
            <w:r w:rsidRPr="00A908B4">
              <w:t>.</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7B71A4">
        <w:trPr>
          <w:trHeight w:val="1747"/>
        </w:trPr>
        <w:tc>
          <w:tcPr>
            <w:tcW w:w="9212" w:type="dxa"/>
          </w:tcPr>
          <w:p w:rsidR="009F2DFA" w:rsidRDefault="009F2DFA" w:rsidP="007B71A4">
            <w:pPr>
              <w:rPr>
                <w:i/>
              </w:rPr>
            </w:pPr>
          </w:p>
          <w:p w:rsidR="00521481" w:rsidRDefault="00A26D80" w:rsidP="00A26D80">
            <w:pPr>
              <w:rPr>
                <w:b/>
              </w:rPr>
            </w:pPr>
            <w:r>
              <w:rPr>
                <w:b/>
              </w:rPr>
              <w:t>Zmena vo výpočte odpočtu nákladov na výskum a vývoj bude znamenať významné zvýšenie položky, ktorá bude znižovať základ dane daňového subjektu, ktorý vykonáva podnikový výskum a vývoj. Na strane tohto daňového subjektu príde úsporou na dani k vytvoreniu dodatočných zdrojov, ktoré bude možné venovať na rozvoj podnikania. Podporou podnikového výskumu a vývoja prichádza k rýchlejšiemu zavádzaniu moderných technológii a spôsobov výroby a tým aj k zvýšeniu efektívnosti výroby. Zároveň sa vytvára motivácia k zvýšeniu zamestnanosti v oblasti výskumu a vývoja.</w:t>
            </w:r>
          </w:p>
          <w:p w:rsidR="00A26D80" w:rsidRDefault="00A26D80" w:rsidP="00A26D80">
            <w:pPr>
              <w:rPr>
                <w:b/>
              </w:rPr>
            </w:pPr>
          </w:p>
          <w:p w:rsidR="00A26D80" w:rsidRPr="00521481" w:rsidRDefault="00A26D80" w:rsidP="00A26D80">
            <w:pPr>
              <w:rPr>
                <w:b/>
              </w:rPr>
            </w:pPr>
            <w:r>
              <w:rPr>
                <w:b/>
              </w:rPr>
              <w:t>Zavedením osobitného daňového režimu pre komerčné využívanie nehmotných aktív (tzv. patent box) sa vytvára motivácia pre daňové subjekty venovať sa vo svojej podnikateľskej činnosti aj výskumu a vývoju, nakoľko výsledky výskumu a vývoja a ich komerčné využitie bude podliehať výhodnejšiemu zdaneniu ako zvyšná podnikateľská činnosť.  Zároveň sa vytvára motivácia výsledky výskumnej a vývojovej činnosti registrovať na Úrade priemyselného vlastníctva SR. Obdobne ako pri zvýšení odpočtu nákladov na výskum a vývoj aj v tomto prípade zavedenie tohto osobitného daňového režimu môže prispieť k zvýšeniu zamestnanosti v SR.</w:t>
            </w: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Pr>
        <w:rPr>
          <w:b/>
          <w:sz w:val="24"/>
        </w:rPr>
      </w:pPr>
    </w:p>
    <w:sectPr w:rsidR="009F2D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FA" w:rsidRDefault="009F2DFA" w:rsidP="009F2DFA">
      <w:r>
        <w:separator/>
      </w:r>
    </w:p>
  </w:endnote>
  <w:endnote w:type="continuationSeparator" w:id="0">
    <w:p w:rsidR="009F2DFA" w:rsidRDefault="009F2DFA"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rsidR="009F2DFA" w:rsidRDefault="009F2DFA">
        <w:pPr>
          <w:pStyle w:val="Pta"/>
          <w:jc w:val="right"/>
        </w:pPr>
        <w:r>
          <w:fldChar w:fldCharType="begin"/>
        </w:r>
        <w:r>
          <w:instrText>PAGE   \* MERGEFORMAT</w:instrText>
        </w:r>
        <w:r>
          <w:fldChar w:fldCharType="separate"/>
        </w:r>
        <w:r w:rsidR="003641EF">
          <w:rPr>
            <w:noProof/>
          </w:rPr>
          <w:t>6</w:t>
        </w:r>
        <w:r>
          <w:fldChar w:fldCharType="end"/>
        </w:r>
      </w:p>
    </w:sdtContent>
  </w:sdt>
  <w:p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FA" w:rsidRDefault="009F2DFA" w:rsidP="009F2DFA">
      <w:r>
        <w:separator/>
      </w:r>
    </w:p>
  </w:footnote>
  <w:footnote w:type="continuationSeparator" w:id="0">
    <w:p w:rsidR="009F2DFA" w:rsidRDefault="009F2DFA"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A" w:rsidRDefault="009F2DFA" w:rsidP="009F2DFA">
    <w:pPr>
      <w:pStyle w:val="Hlavika"/>
      <w:jc w:val="right"/>
      <w:rPr>
        <w:sz w:val="24"/>
        <w:szCs w:val="24"/>
      </w:rPr>
    </w:pPr>
    <w:r w:rsidRPr="000A15AE">
      <w:rPr>
        <w:sz w:val="24"/>
        <w:szCs w:val="24"/>
      </w:rPr>
      <w:t>Príloha č</w:t>
    </w:r>
    <w:r>
      <w:rPr>
        <w:sz w:val="24"/>
        <w:szCs w:val="24"/>
      </w:rPr>
      <w:t>. 3</w:t>
    </w:r>
  </w:p>
  <w:p w:rsidR="009F2DFA" w:rsidRDefault="009F2DF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0112164"/>
    <w:multiLevelType w:val="hybridMultilevel"/>
    <w:tmpl w:val="F35E1442"/>
    <w:lvl w:ilvl="0" w:tplc="670EFFCC">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5521AC"/>
    <w:multiLevelType w:val="hybridMultilevel"/>
    <w:tmpl w:val="BAE8E1D6"/>
    <w:lvl w:ilvl="0" w:tplc="60343E8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E652B9"/>
    <w:multiLevelType w:val="hybridMultilevel"/>
    <w:tmpl w:val="564E5B86"/>
    <w:lvl w:ilvl="0" w:tplc="762E323A">
      <w:start w:val="1"/>
      <w:numFmt w:val="decimal"/>
      <w:lvlText w:val="%1."/>
      <w:lvlJc w:val="left"/>
      <w:pPr>
        <w:ind w:left="720" w:hanging="360"/>
      </w:pPr>
      <w:rPr>
        <w:rFonts w:ascii="Times New Roman" w:hAnsi="Times New Roman" w:cs="Times New Roman"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397ADB"/>
    <w:multiLevelType w:val="hybridMultilevel"/>
    <w:tmpl w:val="EE084AE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DB6555F"/>
    <w:multiLevelType w:val="hybridMultilevel"/>
    <w:tmpl w:val="F35E1442"/>
    <w:lvl w:ilvl="0" w:tplc="670EFFCC">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3386567C"/>
    <w:multiLevelType w:val="hybridMultilevel"/>
    <w:tmpl w:val="F2148328"/>
    <w:lvl w:ilvl="0" w:tplc="2BD28200">
      <w:start w:val="1"/>
      <w:numFmt w:val="decimal"/>
      <w:lvlText w:val="%1."/>
      <w:lvlJc w:val="left"/>
      <w:pPr>
        <w:ind w:left="720" w:hanging="360"/>
      </w:pPr>
      <w:rPr>
        <w:rFonts w:ascii="Arial Narrow" w:eastAsia="Times New Roman" w:hAnsi="Arial Narrow" w:cs="Arial Narrow"/>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ECC654E"/>
    <w:multiLevelType w:val="hybridMultilevel"/>
    <w:tmpl w:val="DCC4E2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2A857A9"/>
    <w:multiLevelType w:val="hybridMultilevel"/>
    <w:tmpl w:val="8806F12E"/>
    <w:lvl w:ilvl="0" w:tplc="041B0001">
      <w:start w:val="1"/>
      <w:numFmt w:val="bullet"/>
      <w:lvlText w:val=""/>
      <w:lvlJc w:val="left"/>
      <w:pPr>
        <w:ind w:left="1493" w:hanging="360"/>
      </w:pPr>
      <w:rPr>
        <w:rFonts w:ascii="Symbol" w:hAnsi="Symbol" w:hint="default"/>
      </w:rPr>
    </w:lvl>
    <w:lvl w:ilvl="1" w:tplc="041B0003" w:tentative="1">
      <w:start w:val="1"/>
      <w:numFmt w:val="bullet"/>
      <w:lvlText w:val="o"/>
      <w:lvlJc w:val="left"/>
      <w:pPr>
        <w:ind w:left="2213" w:hanging="360"/>
      </w:pPr>
      <w:rPr>
        <w:rFonts w:ascii="Courier New" w:hAnsi="Courier New" w:cs="Courier New" w:hint="default"/>
      </w:rPr>
    </w:lvl>
    <w:lvl w:ilvl="2" w:tplc="041B0005" w:tentative="1">
      <w:start w:val="1"/>
      <w:numFmt w:val="bullet"/>
      <w:lvlText w:val=""/>
      <w:lvlJc w:val="left"/>
      <w:pPr>
        <w:ind w:left="2933" w:hanging="360"/>
      </w:pPr>
      <w:rPr>
        <w:rFonts w:ascii="Wingdings" w:hAnsi="Wingdings" w:hint="default"/>
      </w:rPr>
    </w:lvl>
    <w:lvl w:ilvl="3" w:tplc="041B0001" w:tentative="1">
      <w:start w:val="1"/>
      <w:numFmt w:val="bullet"/>
      <w:lvlText w:val=""/>
      <w:lvlJc w:val="left"/>
      <w:pPr>
        <w:ind w:left="3653" w:hanging="360"/>
      </w:pPr>
      <w:rPr>
        <w:rFonts w:ascii="Symbol" w:hAnsi="Symbol" w:hint="default"/>
      </w:rPr>
    </w:lvl>
    <w:lvl w:ilvl="4" w:tplc="041B0003" w:tentative="1">
      <w:start w:val="1"/>
      <w:numFmt w:val="bullet"/>
      <w:lvlText w:val="o"/>
      <w:lvlJc w:val="left"/>
      <w:pPr>
        <w:ind w:left="4373" w:hanging="360"/>
      </w:pPr>
      <w:rPr>
        <w:rFonts w:ascii="Courier New" w:hAnsi="Courier New" w:cs="Courier New" w:hint="default"/>
      </w:rPr>
    </w:lvl>
    <w:lvl w:ilvl="5" w:tplc="041B0005" w:tentative="1">
      <w:start w:val="1"/>
      <w:numFmt w:val="bullet"/>
      <w:lvlText w:val=""/>
      <w:lvlJc w:val="left"/>
      <w:pPr>
        <w:ind w:left="5093" w:hanging="360"/>
      </w:pPr>
      <w:rPr>
        <w:rFonts w:ascii="Wingdings" w:hAnsi="Wingdings" w:hint="default"/>
      </w:rPr>
    </w:lvl>
    <w:lvl w:ilvl="6" w:tplc="041B0001" w:tentative="1">
      <w:start w:val="1"/>
      <w:numFmt w:val="bullet"/>
      <w:lvlText w:val=""/>
      <w:lvlJc w:val="left"/>
      <w:pPr>
        <w:ind w:left="5813" w:hanging="360"/>
      </w:pPr>
      <w:rPr>
        <w:rFonts w:ascii="Symbol" w:hAnsi="Symbol" w:hint="default"/>
      </w:rPr>
    </w:lvl>
    <w:lvl w:ilvl="7" w:tplc="041B0003" w:tentative="1">
      <w:start w:val="1"/>
      <w:numFmt w:val="bullet"/>
      <w:lvlText w:val="o"/>
      <w:lvlJc w:val="left"/>
      <w:pPr>
        <w:ind w:left="6533" w:hanging="360"/>
      </w:pPr>
      <w:rPr>
        <w:rFonts w:ascii="Courier New" w:hAnsi="Courier New" w:cs="Courier New" w:hint="default"/>
      </w:rPr>
    </w:lvl>
    <w:lvl w:ilvl="8" w:tplc="041B0005" w:tentative="1">
      <w:start w:val="1"/>
      <w:numFmt w:val="bullet"/>
      <w:lvlText w:val=""/>
      <w:lvlJc w:val="left"/>
      <w:pPr>
        <w:ind w:left="7253" w:hanging="360"/>
      </w:pPr>
      <w:rPr>
        <w:rFonts w:ascii="Wingdings" w:hAnsi="Wingdings" w:hint="default"/>
      </w:rPr>
    </w:lvl>
  </w:abstractNum>
  <w:abstractNum w:abstractNumId="13" w15:restartNumberingAfterBreak="0">
    <w:nsid w:val="44BC34BD"/>
    <w:multiLevelType w:val="hybridMultilevel"/>
    <w:tmpl w:val="7DDE495E"/>
    <w:lvl w:ilvl="0" w:tplc="2E5A8046">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87971"/>
    <w:multiLevelType w:val="hybridMultilevel"/>
    <w:tmpl w:val="F35E1442"/>
    <w:lvl w:ilvl="0" w:tplc="670EFFCC">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078D0"/>
    <w:multiLevelType w:val="hybridMultilevel"/>
    <w:tmpl w:val="58307D2C"/>
    <w:lvl w:ilvl="0" w:tplc="7B62DF2C">
      <w:numFmt w:val="bullet"/>
      <w:lvlText w:val="-"/>
      <w:lvlJc w:val="left"/>
      <w:pPr>
        <w:ind w:left="720" w:hanging="360"/>
      </w:pPr>
      <w:rPr>
        <w:rFonts w:ascii="Arial Narrow" w:eastAsia="Times New Roman"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8085009"/>
    <w:multiLevelType w:val="hybridMultilevel"/>
    <w:tmpl w:val="67DE287E"/>
    <w:lvl w:ilvl="0" w:tplc="410863C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E9439D"/>
    <w:multiLevelType w:val="hybridMultilevel"/>
    <w:tmpl w:val="2C4A7880"/>
    <w:lvl w:ilvl="0" w:tplc="BF00E1BA">
      <w:numFmt w:val="bullet"/>
      <w:lvlText w:val="-"/>
      <w:lvlJc w:val="left"/>
      <w:pPr>
        <w:ind w:left="720" w:hanging="360"/>
      </w:pPr>
      <w:rPr>
        <w:rFonts w:ascii="Arial Narrow" w:eastAsia="Times New Roman"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7140905"/>
    <w:multiLevelType w:val="hybridMultilevel"/>
    <w:tmpl w:val="FBB282D4"/>
    <w:lvl w:ilvl="0" w:tplc="7344599A">
      <w:start w:val="1"/>
      <w:numFmt w:val="bullet"/>
      <w:lvlText w:val="-"/>
      <w:lvlJc w:val="left"/>
      <w:pPr>
        <w:ind w:left="720" w:hanging="360"/>
      </w:pPr>
      <w:rPr>
        <w:rFonts w:ascii="Arial Narrow" w:eastAsia="Times New Roman"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AC40453"/>
    <w:multiLevelType w:val="hybridMultilevel"/>
    <w:tmpl w:val="0648364A"/>
    <w:lvl w:ilvl="0" w:tplc="EF926D14">
      <w:numFmt w:val="bullet"/>
      <w:lvlText w:val="-"/>
      <w:lvlJc w:val="left"/>
      <w:pPr>
        <w:ind w:left="720" w:hanging="360"/>
      </w:pPr>
      <w:rPr>
        <w:rFonts w:ascii="Arial Narrow" w:eastAsia="Times New Roman"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7E7B19D8"/>
    <w:multiLevelType w:val="hybridMultilevel"/>
    <w:tmpl w:val="DDB88C02"/>
    <w:lvl w:ilvl="0" w:tplc="E656ECE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9"/>
  </w:num>
  <w:num w:numId="4">
    <w:abstractNumId w:val="18"/>
  </w:num>
  <w:num w:numId="5">
    <w:abstractNumId w:val="3"/>
  </w:num>
  <w:num w:numId="6">
    <w:abstractNumId w:val="14"/>
  </w:num>
  <w:num w:numId="7">
    <w:abstractNumId w:val="22"/>
  </w:num>
  <w:num w:numId="8">
    <w:abstractNumId w:val="7"/>
  </w:num>
  <w:num w:numId="9">
    <w:abstractNumId w:val="0"/>
  </w:num>
  <w:num w:numId="10">
    <w:abstractNumId w:val="26"/>
  </w:num>
  <w:num w:numId="11">
    <w:abstractNumId w:val="16"/>
  </w:num>
  <w:num w:numId="12">
    <w:abstractNumId w:val="9"/>
  </w:num>
  <w:num w:numId="13">
    <w:abstractNumId w:val="21"/>
  </w:num>
  <w:num w:numId="14">
    <w:abstractNumId w:val="15"/>
  </w:num>
  <w:num w:numId="15">
    <w:abstractNumId w:val="20"/>
  </w:num>
  <w:num w:numId="16">
    <w:abstractNumId w:val="24"/>
  </w:num>
  <w:num w:numId="17">
    <w:abstractNumId w:val="13"/>
  </w:num>
  <w:num w:numId="18">
    <w:abstractNumId w:val="8"/>
  </w:num>
  <w:num w:numId="19">
    <w:abstractNumId w:val="12"/>
  </w:num>
  <w:num w:numId="20">
    <w:abstractNumId w:val="4"/>
  </w:num>
  <w:num w:numId="21">
    <w:abstractNumId w:val="27"/>
  </w:num>
  <w:num w:numId="22">
    <w:abstractNumId w:val="1"/>
  </w:num>
  <w:num w:numId="23">
    <w:abstractNumId w:val="6"/>
  </w:num>
  <w:num w:numId="24">
    <w:abstractNumId w:val="5"/>
  </w:num>
  <w:num w:numId="25">
    <w:abstractNumId w:val="11"/>
  </w:num>
  <w:num w:numId="26">
    <w:abstractNumId w:val="25"/>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021E6"/>
    <w:rsid w:val="0002190F"/>
    <w:rsid w:val="00083ED7"/>
    <w:rsid w:val="00154881"/>
    <w:rsid w:val="001803D4"/>
    <w:rsid w:val="001861E1"/>
    <w:rsid w:val="001D2821"/>
    <w:rsid w:val="00251544"/>
    <w:rsid w:val="002717EE"/>
    <w:rsid w:val="002B1108"/>
    <w:rsid w:val="002D5B94"/>
    <w:rsid w:val="00304E8C"/>
    <w:rsid w:val="0032080C"/>
    <w:rsid w:val="003641EF"/>
    <w:rsid w:val="00390CBE"/>
    <w:rsid w:val="003C0F46"/>
    <w:rsid w:val="004471D5"/>
    <w:rsid w:val="004F5AEF"/>
    <w:rsid w:val="00521481"/>
    <w:rsid w:val="0052297F"/>
    <w:rsid w:val="005E32D2"/>
    <w:rsid w:val="005F5F70"/>
    <w:rsid w:val="00615DEE"/>
    <w:rsid w:val="00651FE9"/>
    <w:rsid w:val="00682E61"/>
    <w:rsid w:val="006930F2"/>
    <w:rsid w:val="006A4E11"/>
    <w:rsid w:val="00770A83"/>
    <w:rsid w:val="00780BA6"/>
    <w:rsid w:val="007C1DD6"/>
    <w:rsid w:val="008314BF"/>
    <w:rsid w:val="00833A15"/>
    <w:rsid w:val="00837639"/>
    <w:rsid w:val="0084273B"/>
    <w:rsid w:val="00890B30"/>
    <w:rsid w:val="008A1252"/>
    <w:rsid w:val="008D1791"/>
    <w:rsid w:val="00904C9B"/>
    <w:rsid w:val="00947C7C"/>
    <w:rsid w:val="009575A7"/>
    <w:rsid w:val="00986BB3"/>
    <w:rsid w:val="00987D24"/>
    <w:rsid w:val="009B4D65"/>
    <w:rsid w:val="009F2DFA"/>
    <w:rsid w:val="00A05A04"/>
    <w:rsid w:val="00A26D80"/>
    <w:rsid w:val="00A908B4"/>
    <w:rsid w:val="00AC7457"/>
    <w:rsid w:val="00AE3222"/>
    <w:rsid w:val="00AF53F1"/>
    <w:rsid w:val="00B13551"/>
    <w:rsid w:val="00B31A8E"/>
    <w:rsid w:val="00B55A5D"/>
    <w:rsid w:val="00BA073A"/>
    <w:rsid w:val="00BD273B"/>
    <w:rsid w:val="00C00E62"/>
    <w:rsid w:val="00C235AB"/>
    <w:rsid w:val="00C65F30"/>
    <w:rsid w:val="00C91CD4"/>
    <w:rsid w:val="00CA72D7"/>
    <w:rsid w:val="00CB3623"/>
    <w:rsid w:val="00CC7654"/>
    <w:rsid w:val="00CF1942"/>
    <w:rsid w:val="00D3200D"/>
    <w:rsid w:val="00DD3CB5"/>
    <w:rsid w:val="00E45D0B"/>
    <w:rsid w:val="00E86AD1"/>
    <w:rsid w:val="00F11ACD"/>
    <w:rsid w:val="00F17EAF"/>
    <w:rsid w:val="00F41620"/>
    <w:rsid w:val="00F60074"/>
    <w:rsid w:val="00F64C23"/>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960EB-2E16-4B60-8245-BBDF0A02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ek zoznamu1,Odsek"/>
    <w:basedOn w:val="Normlny"/>
    <w:link w:val="OdsekzoznamuChar"/>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customStyle="1" w:styleId="OdsekzoznamuChar">
    <w:name w:val="Odsek zoznamu Char"/>
    <w:aliases w:val="Odsek zoznamu1 Char,Odsek Char"/>
    <w:basedOn w:val="Predvolenpsmoodseku"/>
    <w:link w:val="Odsekzoznamu"/>
    <w:uiPriority w:val="34"/>
    <w:locked/>
    <w:rsid w:val="0069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1448">
      <w:bodyDiv w:val="1"/>
      <w:marLeft w:val="0"/>
      <w:marRight w:val="0"/>
      <w:marTop w:val="0"/>
      <w:marBottom w:val="0"/>
      <w:divBdr>
        <w:top w:val="none" w:sz="0" w:space="0" w:color="auto"/>
        <w:left w:val="none" w:sz="0" w:space="0" w:color="auto"/>
        <w:bottom w:val="none" w:sz="0" w:space="0" w:color="auto"/>
        <w:right w:val="none" w:sz="0" w:space="0" w:color="auto"/>
      </w:divBdr>
    </w:div>
    <w:div w:id="5030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2378</Words>
  <Characters>13559</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Vidova Michaela</cp:lastModifiedBy>
  <cp:revision>4</cp:revision>
  <cp:lastPrinted>2016-09-20T10:03:00Z</cp:lastPrinted>
  <dcterms:created xsi:type="dcterms:W3CDTF">2017-05-19T10:45:00Z</dcterms:created>
  <dcterms:modified xsi:type="dcterms:W3CDTF">2017-06-09T12:56:00Z</dcterms:modified>
</cp:coreProperties>
</file>