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3710"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w:t>
      </w:r>
      <w:r w:rsidR="00541F12">
        <w:rPr>
          <w:rStyle w:val="PsacstrojHTML"/>
          <w:rFonts w:ascii="Arial Narrow" w:hAnsi="Arial Narrow"/>
          <w:sz w:val="22"/>
          <w:szCs w:val="22"/>
        </w:rPr>
        <w:t>3</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41F12" w:rsidRPr="001F7A97" w:rsidRDefault="00194204" w:rsidP="00541F12">
      <w:pPr>
        <w:pStyle w:val="Odsekzoznamu"/>
        <w:numPr>
          <w:ilvl w:val="0"/>
          <w:numId w:val="22"/>
        </w:numPr>
        <w:contextualSpacing/>
        <w:jc w:val="center"/>
        <w:rPr>
          <w:rFonts w:ascii="Arial Narrow" w:hAnsi="Arial Narrow" w:cs="Arial Narrow"/>
        </w:rPr>
      </w:pPr>
      <w:r w:rsidRPr="00431957">
        <w:rPr>
          <w:rFonts w:ascii="Arial Narrow" w:eastAsia="Arial Unicode MS" w:hAnsi="Arial Narrow" w:cs="Arial Unicode MS"/>
          <w:sz w:val="22"/>
          <w:szCs w:val="22"/>
        </w:rPr>
        <w:t>k</w:t>
      </w:r>
      <w:r w:rsidR="001B2E9C">
        <w:rPr>
          <w:rFonts w:ascii="Arial Narrow" w:eastAsia="Arial Unicode MS" w:hAnsi="Arial Narrow" w:cs="Arial Unicode MS"/>
          <w:sz w:val="22"/>
          <w:szCs w:val="22"/>
          <w:lang w:val="sk-SK" w:eastAsia="en-US"/>
        </w:rPr>
        <w:t xml:space="preserve"> návrhu </w:t>
      </w:r>
      <w:r w:rsidR="00541F12" w:rsidRPr="00541F12">
        <w:rPr>
          <w:rFonts w:ascii="Arial Narrow" w:eastAsia="Arial Unicode MS" w:hAnsi="Arial Narrow" w:cs="Arial Unicode MS"/>
          <w:sz w:val="22"/>
          <w:szCs w:val="22"/>
          <w:lang w:val="sk-SK" w:eastAsia="en-US"/>
        </w:rPr>
        <w:t>zákona, ktorým sa mení a dopĺňa zákon č. 431/2002 Z. z. o účtovníctve v znení neskorších predpisov</w:t>
      </w:r>
      <w:r w:rsidR="00541F12" w:rsidRPr="001F7A97">
        <w:rPr>
          <w:rFonts w:ascii="Arial Narrow" w:hAnsi="Arial Narrow" w:cs="Arial Narrow"/>
        </w:rPr>
        <w:t xml:space="preserve"> </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397103" w:rsidRPr="00397103" w:rsidRDefault="004A2266" w:rsidP="00397103">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BB0A9C" w:rsidRPr="00BB0A9C">
        <w:rPr>
          <w:rFonts w:ascii="Arial Narrow" w:hAnsi="Arial Narrow" w:cs="Arial Narrow"/>
          <w:sz w:val="22"/>
          <w:szCs w:val="22"/>
        </w:rPr>
        <w:t xml:space="preserve">Ministerstvom </w:t>
      </w:r>
      <w:r w:rsidR="00541F12">
        <w:rPr>
          <w:rFonts w:ascii="Arial Narrow" w:hAnsi="Arial Narrow" w:cs="Arial Narrow"/>
          <w:sz w:val="22"/>
          <w:szCs w:val="22"/>
        </w:rPr>
        <w:t>financií</w:t>
      </w:r>
      <w:r w:rsidR="00BB0A9C" w:rsidRPr="00BB0A9C">
        <w:rPr>
          <w:rFonts w:ascii="Arial Narrow" w:hAnsi="Arial Narrow" w:cs="Arial Narrow"/>
          <w:sz w:val="22"/>
          <w:szCs w:val="22"/>
        </w:rPr>
        <w:t xml:space="preserve"> SR </w:t>
      </w:r>
      <w:r w:rsidR="00397103" w:rsidRPr="00397103">
        <w:rPr>
          <w:rFonts w:ascii="Arial Narrow" w:hAnsi="Arial Narrow" w:cs="Arial Narrow"/>
          <w:sz w:val="22"/>
          <w:szCs w:val="22"/>
        </w:rPr>
        <w:t>na základe Uznesenia vlády SR č. 380 z 8. júla 2015</w:t>
      </w:r>
      <w:r w:rsidR="00397103">
        <w:rPr>
          <w:rFonts w:ascii="Arial Narrow" w:hAnsi="Arial Narrow" w:cs="Arial Narrow"/>
          <w:sz w:val="22"/>
          <w:szCs w:val="22"/>
        </w:rPr>
        <w:t>.</w:t>
      </w:r>
    </w:p>
    <w:p w:rsidR="006D48A6" w:rsidRPr="001D4939" w:rsidRDefault="006D48A6" w:rsidP="00AA60A8">
      <w:pPr>
        <w:contextualSpacing/>
        <w:jc w:val="both"/>
        <w:rPr>
          <w:rFonts w:ascii="Arial Narrow" w:hAnsi="Arial Narrow" w:cs="Arial Narrow"/>
          <w:sz w:val="22"/>
          <w:szCs w:val="22"/>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397103" w:rsidRDefault="00397103" w:rsidP="00AA60A8">
      <w:pPr>
        <w:contextualSpacing/>
        <w:jc w:val="both"/>
        <w:rPr>
          <w:rFonts w:ascii="Arial Narrow" w:hAnsi="Arial Narrow" w:cs="Arial Narrow"/>
          <w:b/>
          <w:bCs/>
          <w:sz w:val="22"/>
          <w:szCs w:val="22"/>
        </w:rPr>
      </w:pPr>
    </w:p>
    <w:p w:rsidR="00397103" w:rsidRPr="00397103" w:rsidRDefault="00397103" w:rsidP="00397103">
      <w:pPr>
        <w:contextualSpacing/>
        <w:jc w:val="both"/>
        <w:rPr>
          <w:rFonts w:ascii="Arial Narrow" w:hAnsi="Arial Narrow"/>
          <w:sz w:val="22"/>
          <w:szCs w:val="22"/>
        </w:rPr>
      </w:pPr>
      <w:r w:rsidRPr="00397103">
        <w:rPr>
          <w:rFonts w:ascii="Arial Narrow" w:hAnsi="Arial Narrow"/>
          <w:sz w:val="22"/>
          <w:szCs w:val="22"/>
        </w:rPr>
        <w:t>Návrh zákona reaguje na požiadavky Akčného plánu boja proti daňovým podvodom na roky 2012-2016. Zapracúva praktické požiadavky praxe požadujúce úpravu v systéme účtovania, vykazovania a zverejňovania účtovnej závierky. Predmetom novely zákona je zapracovanie optimalizačného opatrenia pri premiestnení sídla európskej spoločnosti a európskeho družstva na princípoch zjednodušeného podnikania v rámci celého priestoru EÚ, zavedenie inštitútu osobitne závažného porušenia zákona o účtovníctve, predĺženie archivačnej lehoty účtovných dokladov na 10 rokov, zaradenie nástupníckej účtovnej jednotky do veľkostných skupín, odstránenie technických problémov pri zmene právnej formy najmä účtovných jednotiek v oblasti školstva, úprava v oblasti ukladania účtovných dokumentov do registra účtovných závierok a možnosť daňového úradu vyzvať účtovnú jednotku na odstránenie nedostatkov. V prípade, ak účtovná jednotka neuložila účtovné dokumenty, nevyplnila všeobecné náležitosti správne, ak doručené podanie bolo neúplné alebo podľa nesprávneho ustanoveného vzoru na predkladanie dokumentov.</w:t>
      </w:r>
    </w:p>
    <w:p w:rsidR="00397103" w:rsidRPr="00397103" w:rsidRDefault="00397103" w:rsidP="00397103">
      <w:pPr>
        <w:contextualSpacing/>
        <w:jc w:val="both"/>
        <w:rPr>
          <w:rFonts w:ascii="Arial Narrow" w:hAnsi="Arial Narrow"/>
          <w:b/>
          <w:sz w:val="22"/>
          <w:szCs w:val="22"/>
        </w:rPr>
      </w:pPr>
    </w:p>
    <w:p w:rsidR="00397103" w:rsidRPr="00397103" w:rsidRDefault="00397103" w:rsidP="00397103">
      <w:pPr>
        <w:contextualSpacing/>
        <w:jc w:val="both"/>
        <w:rPr>
          <w:rFonts w:ascii="Arial Narrow" w:hAnsi="Arial Narrow"/>
          <w:b/>
          <w:sz w:val="22"/>
          <w:szCs w:val="22"/>
        </w:rPr>
      </w:pPr>
      <w:r w:rsidRPr="00397103">
        <w:rPr>
          <w:rFonts w:ascii="Arial Narrow" w:hAnsi="Arial Narrow"/>
          <w:b/>
          <w:sz w:val="22"/>
          <w:szCs w:val="22"/>
        </w:rPr>
        <w:t>Návrh zákona má nadobudnúť účinnosť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BB0A9C">
        <w:rPr>
          <w:rFonts w:ascii="Arial Narrow" w:hAnsi="Arial Narrow"/>
          <w:b/>
          <w:sz w:val="28"/>
          <w:szCs w:val="28"/>
        </w:rPr>
        <w:t> </w:t>
      </w:r>
      <w:r w:rsidRPr="00BA27D4">
        <w:rPr>
          <w:rFonts w:ascii="Arial Narrow" w:hAnsi="Arial Narrow"/>
          <w:b/>
          <w:sz w:val="28"/>
          <w:szCs w:val="28"/>
        </w:rPr>
        <w:t>materiálu</w:t>
      </w:r>
    </w:p>
    <w:p w:rsidR="00397103" w:rsidRDefault="00397103" w:rsidP="00397103">
      <w:pPr>
        <w:contextualSpacing/>
        <w:jc w:val="both"/>
        <w:rPr>
          <w:rFonts w:ascii="Arial Narrow" w:hAnsi="Arial Narrow"/>
          <w:b/>
          <w:sz w:val="22"/>
          <w:szCs w:val="22"/>
        </w:rPr>
      </w:pPr>
    </w:p>
    <w:p w:rsidR="00397103" w:rsidRPr="00397103" w:rsidRDefault="00397103" w:rsidP="00397103">
      <w:pPr>
        <w:contextualSpacing/>
        <w:jc w:val="both"/>
        <w:rPr>
          <w:rFonts w:ascii="Arial Narrow" w:hAnsi="Arial Narrow"/>
          <w:b/>
          <w:sz w:val="22"/>
          <w:szCs w:val="22"/>
        </w:rPr>
      </w:pPr>
      <w:r w:rsidRPr="00397103">
        <w:rPr>
          <w:rFonts w:ascii="Arial Narrow" w:hAnsi="Arial Narrow"/>
          <w:b/>
          <w:sz w:val="22"/>
          <w:szCs w:val="22"/>
        </w:rPr>
        <w:t xml:space="preserve">RÚZ </w:t>
      </w:r>
      <w:r>
        <w:rPr>
          <w:rFonts w:ascii="Arial Narrow" w:hAnsi="Arial Narrow"/>
          <w:b/>
          <w:sz w:val="22"/>
          <w:szCs w:val="22"/>
        </w:rPr>
        <w:t xml:space="preserve">zotrváva na zásadnej pripomienke z medzirezortného pripomienkového konania, ktorá sa týka </w:t>
      </w:r>
      <w:r w:rsidRPr="00397103">
        <w:rPr>
          <w:rFonts w:ascii="Arial Narrow" w:hAnsi="Arial Narrow"/>
          <w:b/>
          <w:sz w:val="22"/>
          <w:szCs w:val="22"/>
        </w:rPr>
        <w:t>úpravy limitov na audit a reflektovania špecifík účtovania podľa medzinárodných účtovných noriem.</w:t>
      </w:r>
      <w:r>
        <w:rPr>
          <w:rFonts w:ascii="Arial Narrow" w:hAnsi="Arial Narrow"/>
          <w:b/>
          <w:sz w:val="22"/>
          <w:szCs w:val="22"/>
        </w:rPr>
        <w:t xml:space="preserve"> Uvedená pripomienka bola prerokovávaná na </w:t>
      </w:r>
      <w:proofErr w:type="spellStart"/>
      <w:r>
        <w:rPr>
          <w:rFonts w:ascii="Arial Narrow" w:hAnsi="Arial Narrow"/>
          <w:b/>
          <w:sz w:val="22"/>
          <w:szCs w:val="22"/>
        </w:rPr>
        <w:t>rozporovom</w:t>
      </w:r>
      <w:proofErr w:type="spellEnd"/>
      <w:r>
        <w:rPr>
          <w:rFonts w:ascii="Arial Narrow" w:hAnsi="Arial Narrow"/>
          <w:b/>
          <w:sz w:val="22"/>
          <w:szCs w:val="22"/>
        </w:rPr>
        <w:t xml:space="preserve"> konaní, nebolo jej vyhovené, pričom RÚZ na uplatnenej pripomienke trvá a neodporúča materiál na ďalšie legislatívne konanie. </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97103" w:rsidRDefault="00397103" w:rsidP="00397103">
      <w:pPr>
        <w:jc w:val="both"/>
        <w:rPr>
          <w:rFonts w:ascii="Arial Narrow" w:hAnsi="Arial Narrow"/>
          <w:bCs/>
          <w:sz w:val="22"/>
          <w:szCs w:val="22"/>
        </w:rPr>
      </w:pPr>
    </w:p>
    <w:p w:rsidR="00397103" w:rsidRPr="00633E5F" w:rsidRDefault="00397103" w:rsidP="00633E5F">
      <w:pPr>
        <w:jc w:val="both"/>
        <w:rPr>
          <w:rFonts w:ascii="Arial Narrow" w:hAnsi="Arial Narrow"/>
          <w:bCs/>
          <w:sz w:val="22"/>
          <w:szCs w:val="22"/>
        </w:rPr>
      </w:pPr>
      <w:r w:rsidRPr="00633E5F">
        <w:rPr>
          <w:rFonts w:ascii="Arial Narrow" w:hAnsi="Arial Narrow"/>
          <w:bCs/>
          <w:sz w:val="22"/>
          <w:szCs w:val="22"/>
        </w:rPr>
        <w:t xml:space="preserve">RÚZ navrhuje zaradiť do návrhu nový novelizačný bod, v ktorom sa </w:t>
      </w:r>
      <w:r w:rsidRPr="00633E5F">
        <w:rPr>
          <w:rFonts w:ascii="Arial Narrow" w:hAnsi="Arial Narrow"/>
          <w:b/>
          <w:bCs/>
          <w:sz w:val="22"/>
          <w:szCs w:val="22"/>
        </w:rPr>
        <w:t>navrhne úprava limitov na výkon auditu</w:t>
      </w:r>
      <w:r w:rsidRPr="00633E5F">
        <w:rPr>
          <w:rFonts w:ascii="Arial Narrow" w:hAnsi="Arial Narrow"/>
          <w:bCs/>
          <w:sz w:val="22"/>
          <w:szCs w:val="22"/>
        </w:rPr>
        <w:t xml:space="preserve"> stanovených v zákone č. 431/2002 o účtovníctve §19 odsek 1, písmeno a) a upraviť ich, tak aby sa slovenská úprava priblížila limitom stanoveným smernicou. V súčasnosti sú tieto limity nastavené omnoho prísnejšie</w:t>
      </w:r>
    </w:p>
    <w:p w:rsidR="00397103" w:rsidRPr="00397103" w:rsidRDefault="00397103" w:rsidP="00397103">
      <w:pPr>
        <w:jc w:val="both"/>
        <w:rPr>
          <w:rFonts w:ascii="Arial Narrow" w:hAnsi="Arial Narrow"/>
          <w:bCs/>
          <w:sz w:val="22"/>
          <w:szCs w:val="22"/>
        </w:rPr>
      </w:pPr>
    </w:p>
    <w:p w:rsidR="00397103" w:rsidRPr="00397103" w:rsidRDefault="00397103" w:rsidP="00397103">
      <w:pPr>
        <w:jc w:val="both"/>
        <w:rPr>
          <w:rFonts w:ascii="Arial Narrow" w:hAnsi="Arial Narrow"/>
          <w:bCs/>
          <w:sz w:val="22"/>
          <w:szCs w:val="22"/>
        </w:rPr>
      </w:pPr>
      <w:r w:rsidRPr="00397103">
        <w:rPr>
          <w:rFonts w:ascii="Arial Narrow" w:hAnsi="Arial Narrow"/>
          <w:b/>
          <w:bCs/>
          <w:sz w:val="22"/>
          <w:szCs w:val="22"/>
        </w:rPr>
        <w:t>Odôvodnenie</w:t>
      </w:r>
      <w:r w:rsidRPr="00397103">
        <w:rPr>
          <w:rFonts w:ascii="Arial Narrow" w:hAnsi="Arial Narrow"/>
          <w:bCs/>
          <w:sz w:val="22"/>
          <w:szCs w:val="22"/>
        </w:rPr>
        <w:t>:</w:t>
      </w:r>
    </w:p>
    <w:p w:rsidR="00397103" w:rsidRDefault="00397103" w:rsidP="00397103">
      <w:pPr>
        <w:jc w:val="both"/>
        <w:rPr>
          <w:rFonts w:ascii="Arial Narrow" w:hAnsi="Arial Narrow"/>
          <w:bCs/>
          <w:sz w:val="22"/>
          <w:szCs w:val="22"/>
        </w:rPr>
      </w:pPr>
    </w:p>
    <w:p w:rsidR="00397103" w:rsidRPr="00397103" w:rsidRDefault="00397103" w:rsidP="00397103">
      <w:pPr>
        <w:jc w:val="both"/>
        <w:rPr>
          <w:rFonts w:ascii="Arial Narrow" w:hAnsi="Arial Narrow"/>
          <w:bCs/>
          <w:sz w:val="22"/>
          <w:szCs w:val="22"/>
        </w:rPr>
      </w:pPr>
      <w:r w:rsidRPr="00397103">
        <w:rPr>
          <w:rFonts w:ascii="Arial Narrow" w:hAnsi="Arial Narrow"/>
          <w:bCs/>
          <w:sz w:val="22"/>
          <w:szCs w:val="22"/>
        </w:rPr>
        <w:t xml:space="preserve">Navrhujeme limity stanovené v §19 odsek 1, písmeno a) zákona o účtovníctve upraviť, tak aby sa slovenská úprava priblížila limitom stanoveným smernicou. Súčasná právna úprava výrazným spôsobom presahuje limity stanovené európskou legislatívou, čím spôsobuje, že povinnosť auditu dopadá na veľké množstvo menších podnikov, pri ktorých audit ako taký nemá väčší zmysel. Smernica Európskeho parlamentu a Rady 2013/34/EÚ z  26. júna 2013 o ročných účtovných závierkach, konsolidovaných účtovných závierkach a súvisiacich správach určitých druhov podnikov stanovuje v čl. 34 povinnosť auditu len pre subjekty verejného záujmu a stredne veľké a veľké podniky. Stredne veľký </w:t>
      </w:r>
      <w:r w:rsidRPr="00397103">
        <w:rPr>
          <w:rFonts w:ascii="Arial Narrow" w:hAnsi="Arial Narrow"/>
          <w:bCs/>
          <w:sz w:val="22"/>
          <w:szCs w:val="22"/>
        </w:rPr>
        <w:lastRenderedPageBreak/>
        <w:t xml:space="preserve">podnik následne smernica definuje v čl.  3.3 ako podnik, ktorý  nie je </w:t>
      </w:r>
      <w:proofErr w:type="spellStart"/>
      <w:r w:rsidRPr="00397103">
        <w:rPr>
          <w:rFonts w:ascii="Arial Narrow" w:hAnsi="Arial Narrow"/>
          <w:bCs/>
          <w:sz w:val="22"/>
          <w:szCs w:val="22"/>
        </w:rPr>
        <w:t>mikropodnikom</w:t>
      </w:r>
      <w:proofErr w:type="spellEnd"/>
      <w:r w:rsidRPr="00397103">
        <w:rPr>
          <w:rFonts w:ascii="Arial Narrow" w:hAnsi="Arial Narrow"/>
          <w:bCs/>
          <w:sz w:val="22"/>
          <w:szCs w:val="22"/>
        </w:rPr>
        <w:t xml:space="preserve"> alebo malým podnikom a ku dňu, ku ktorému sa ich účtovná závierka zostavuje, neprekročil limity aspoň dvoch z týchto troch kritérií:</w:t>
      </w:r>
    </w:p>
    <w:p w:rsidR="00397103" w:rsidRPr="00397103" w:rsidRDefault="00397103" w:rsidP="00397103">
      <w:pPr>
        <w:jc w:val="both"/>
        <w:rPr>
          <w:rFonts w:ascii="Arial Narrow" w:hAnsi="Arial Narrow"/>
          <w:bCs/>
          <w:sz w:val="22"/>
          <w:szCs w:val="22"/>
        </w:rPr>
      </w:pPr>
    </w:p>
    <w:p w:rsidR="00397103" w:rsidRPr="00397103" w:rsidRDefault="00397103" w:rsidP="00397103">
      <w:pPr>
        <w:jc w:val="both"/>
        <w:rPr>
          <w:rFonts w:ascii="Arial Narrow" w:hAnsi="Arial Narrow"/>
          <w:bCs/>
          <w:sz w:val="22"/>
          <w:szCs w:val="22"/>
        </w:rPr>
      </w:pPr>
      <w:r w:rsidRPr="00397103">
        <w:rPr>
          <w:rFonts w:ascii="Arial Narrow" w:hAnsi="Arial Narrow"/>
          <w:bCs/>
          <w:sz w:val="22"/>
          <w:szCs w:val="22"/>
        </w:rPr>
        <w:t>a)</w:t>
      </w:r>
      <w:r w:rsidRPr="00397103">
        <w:rPr>
          <w:rFonts w:ascii="Arial Narrow" w:hAnsi="Arial Narrow"/>
          <w:bCs/>
          <w:sz w:val="22"/>
          <w:szCs w:val="22"/>
        </w:rPr>
        <w:tab/>
        <w:t xml:space="preserve">celková bilančná suma: 20 000 </w:t>
      </w:r>
      <w:proofErr w:type="spellStart"/>
      <w:r w:rsidRPr="00397103">
        <w:rPr>
          <w:rFonts w:ascii="Arial Narrow" w:hAnsi="Arial Narrow"/>
          <w:bCs/>
          <w:sz w:val="22"/>
          <w:szCs w:val="22"/>
        </w:rPr>
        <w:t>000</w:t>
      </w:r>
      <w:proofErr w:type="spellEnd"/>
      <w:r w:rsidRPr="00397103">
        <w:rPr>
          <w:rFonts w:ascii="Arial Narrow" w:hAnsi="Arial Narrow"/>
          <w:bCs/>
          <w:sz w:val="22"/>
          <w:szCs w:val="22"/>
        </w:rPr>
        <w:t xml:space="preserve"> EUR;</w:t>
      </w:r>
    </w:p>
    <w:p w:rsidR="00397103" w:rsidRPr="00397103" w:rsidRDefault="00397103" w:rsidP="00397103">
      <w:pPr>
        <w:jc w:val="both"/>
        <w:rPr>
          <w:rFonts w:ascii="Arial Narrow" w:hAnsi="Arial Narrow"/>
          <w:bCs/>
          <w:sz w:val="22"/>
          <w:szCs w:val="22"/>
        </w:rPr>
      </w:pPr>
      <w:r w:rsidRPr="00397103">
        <w:rPr>
          <w:rFonts w:ascii="Arial Narrow" w:hAnsi="Arial Narrow"/>
          <w:bCs/>
          <w:sz w:val="22"/>
          <w:szCs w:val="22"/>
        </w:rPr>
        <w:t>b)</w:t>
      </w:r>
      <w:r w:rsidRPr="00397103">
        <w:rPr>
          <w:rFonts w:ascii="Arial Narrow" w:hAnsi="Arial Narrow"/>
          <w:bCs/>
          <w:sz w:val="22"/>
          <w:szCs w:val="22"/>
        </w:rPr>
        <w:tab/>
        <w:t xml:space="preserve">čistý obrat: 40 000 </w:t>
      </w:r>
      <w:proofErr w:type="spellStart"/>
      <w:r w:rsidRPr="00397103">
        <w:rPr>
          <w:rFonts w:ascii="Arial Narrow" w:hAnsi="Arial Narrow"/>
          <w:bCs/>
          <w:sz w:val="22"/>
          <w:szCs w:val="22"/>
        </w:rPr>
        <w:t>000</w:t>
      </w:r>
      <w:proofErr w:type="spellEnd"/>
      <w:r w:rsidRPr="00397103">
        <w:rPr>
          <w:rFonts w:ascii="Arial Narrow" w:hAnsi="Arial Narrow"/>
          <w:bCs/>
          <w:sz w:val="22"/>
          <w:szCs w:val="22"/>
        </w:rPr>
        <w:t xml:space="preserve"> EUR;</w:t>
      </w:r>
    </w:p>
    <w:p w:rsidR="00397103" w:rsidRPr="00397103" w:rsidRDefault="00397103" w:rsidP="00397103">
      <w:pPr>
        <w:jc w:val="both"/>
        <w:rPr>
          <w:rFonts w:ascii="Arial Narrow" w:hAnsi="Arial Narrow"/>
          <w:bCs/>
          <w:sz w:val="22"/>
          <w:szCs w:val="22"/>
        </w:rPr>
      </w:pPr>
      <w:r w:rsidRPr="00397103">
        <w:rPr>
          <w:rFonts w:ascii="Arial Narrow" w:hAnsi="Arial Narrow"/>
          <w:bCs/>
          <w:sz w:val="22"/>
          <w:szCs w:val="22"/>
        </w:rPr>
        <w:t>c)</w:t>
      </w:r>
      <w:r w:rsidRPr="00397103">
        <w:rPr>
          <w:rFonts w:ascii="Arial Narrow" w:hAnsi="Arial Narrow"/>
          <w:bCs/>
          <w:sz w:val="22"/>
          <w:szCs w:val="22"/>
        </w:rPr>
        <w:tab/>
        <w:t>priemerný počet zamestnancov počas účtovného roka: 250</w:t>
      </w:r>
    </w:p>
    <w:p w:rsidR="00397103" w:rsidRPr="00397103" w:rsidRDefault="00397103" w:rsidP="00397103">
      <w:pPr>
        <w:jc w:val="both"/>
        <w:rPr>
          <w:rFonts w:ascii="Arial Narrow" w:hAnsi="Arial Narrow"/>
          <w:bCs/>
          <w:sz w:val="22"/>
          <w:szCs w:val="22"/>
        </w:rPr>
      </w:pPr>
    </w:p>
    <w:p w:rsidR="00397103" w:rsidRPr="00397103" w:rsidRDefault="00397103" w:rsidP="00397103">
      <w:pPr>
        <w:jc w:val="both"/>
        <w:rPr>
          <w:rFonts w:ascii="Arial Narrow" w:hAnsi="Arial Narrow"/>
          <w:bCs/>
          <w:sz w:val="22"/>
          <w:szCs w:val="22"/>
        </w:rPr>
      </w:pPr>
      <w:r w:rsidRPr="00397103">
        <w:rPr>
          <w:rFonts w:ascii="Arial Narrow" w:hAnsi="Arial Narrow"/>
          <w:bCs/>
          <w:sz w:val="22"/>
          <w:szCs w:val="22"/>
        </w:rPr>
        <w:t>Požiadavku na úpravu limitov odôvodňujeme nasledovne:</w:t>
      </w:r>
    </w:p>
    <w:p w:rsidR="00397103" w:rsidRPr="00A1672D" w:rsidRDefault="00397103" w:rsidP="00A1672D">
      <w:pPr>
        <w:pStyle w:val="Odsekzoznamu"/>
        <w:numPr>
          <w:ilvl w:val="0"/>
          <w:numId w:val="25"/>
        </w:numPr>
        <w:jc w:val="both"/>
        <w:rPr>
          <w:rFonts w:ascii="Arial Narrow" w:hAnsi="Arial Narrow"/>
          <w:bCs/>
          <w:sz w:val="22"/>
          <w:szCs w:val="22"/>
        </w:rPr>
      </w:pPr>
      <w:r w:rsidRPr="00A1672D">
        <w:rPr>
          <w:rFonts w:ascii="Arial Narrow" w:hAnsi="Arial Narrow"/>
          <w:bCs/>
          <w:sz w:val="22"/>
          <w:szCs w:val="22"/>
        </w:rPr>
        <w:t xml:space="preserve">Audit obchodnej spoločnosti predstavuje významnú nákladovú položku, v závislosti od veľkosti spoločnosti. Uvedená povinnosť pritom podľa platnej legislatívy nerozlišuje spoločnosti podľa ďalších ukazovateľov, ktoré reálne ovplyvňujú potrebu výkonu auditu (vlastnícka štruktúra, riadenie vlastníkom </w:t>
      </w:r>
      <w:proofErr w:type="spellStart"/>
      <w:r w:rsidRPr="00A1672D">
        <w:rPr>
          <w:rFonts w:ascii="Arial Narrow" w:hAnsi="Arial Narrow"/>
          <w:bCs/>
          <w:sz w:val="22"/>
          <w:szCs w:val="22"/>
        </w:rPr>
        <w:t>vs</w:t>
      </w:r>
      <w:proofErr w:type="spellEnd"/>
      <w:r w:rsidRPr="00A1672D">
        <w:rPr>
          <w:rFonts w:ascii="Arial Narrow" w:hAnsi="Arial Narrow"/>
          <w:bCs/>
          <w:sz w:val="22"/>
          <w:szCs w:val="22"/>
        </w:rPr>
        <w:t>. najatým manažmentom a pod.).</w:t>
      </w:r>
    </w:p>
    <w:p w:rsidR="00397103" w:rsidRPr="00A1672D" w:rsidRDefault="00397103" w:rsidP="00A1672D">
      <w:pPr>
        <w:pStyle w:val="Odsekzoznamu"/>
        <w:numPr>
          <w:ilvl w:val="0"/>
          <w:numId w:val="25"/>
        </w:numPr>
        <w:jc w:val="both"/>
        <w:rPr>
          <w:rFonts w:ascii="Arial Narrow" w:hAnsi="Arial Narrow"/>
          <w:bCs/>
          <w:sz w:val="22"/>
          <w:szCs w:val="22"/>
        </w:rPr>
      </w:pPr>
      <w:r w:rsidRPr="00A1672D">
        <w:rPr>
          <w:rFonts w:ascii="Arial Narrow" w:hAnsi="Arial Narrow"/>
          <w:bCs/>
          <w:sz w:val="22"/>
          <w:szCs w:val="22"/>
        </w:rPr>
        <w:t xml:space="preserve">Vzhľadom k slabej rozvinutosti kapitálového a akciového trhu nie je potrebné, aby značný počet obchodných spoločností mal povinnosť auditu. V prípade priamych kapitálových vstupov, alebo zlučovania spoločností (akvizície, fúzie) sa zvyčajne vykonáva </w:t>
      </w:r>
      <w:proofErr w:type="spellStart"/>
      <w:r w:rsidRPr="00A1672D">
        <w:rPr>
          <w:rFonts w:ascii="Arial Narrow" w:hAnsi="Arial Narrow"/>
          <w:bCs/>
          <w:sz w:val="22"/>
          <w:szCs w:val="22"/>
        </w:rPr>
        <w:t>due</w:t>
      </w:r>
      <w:proofErr w:type="spellEnd"/>
      <w:r w:rsidRPr="00A1672D">
        <w:rPr>
          <w:rFonts w:ascii="Arial Narrow" w:hAnsi="Arial Narrow"/>
          <w:bCs/>
          <w:sz w:val="22"/>
          <w:szCs w:val="22"/>
        </w:rPr>
        <w:t xml:space="preserve"> </w:t>
      </w:r>
      <w:proofErr w:type="spellStart"/>
      <w:r w:rsidRPr="00A1672D">
        <w:rPr>
          <w:rFonts w:ascii="Arial Narrow" w:hAnsi="Arial Narrow"/>
          <w:bCs/>
          <w:sz w:val="22"/>
          <w:szCs w:val="22"/>
        </w:rPr>
        <w:t>dilligence</w:t>
      </w:r>
      <w:proofErr w:type="spellEnd"/>
      <w:r w:rsidRPr="00A1672D">
        <w:rPr>
          <w:rFonts w:ascii="Arial Narrow" w:hAnsi="Arial Narrow"/>
          <w:bCs/>
          <w:sz w:val="22"/>
          <w:szCs w:val="22"/>
        </w:rPr>
        <w:t xml:space="preserve">, ktoré by malo poskytnúť </w:t>
      </w:r>
      <w:bookmarkStart w:id="0" w:name="_GoBack"/>
      <w:bookmarkEnd w:id="0"/>
      <w:r w:rsidRPr="00A1672D">
        <w:rPr>
          <w:rFonts w:ascii="Arial Narrow" w:hAnsi="Arial Narrow"/>
          <w:bCs/>
          <w:sz w:val="22"/>
          <w:szCs w:val="22"/>
        </w:rPr>
        <w:t>obraz o stave spoločnosti (pričom je možné pri tejto príležitosti vykonať dobrovoľný audit).</w:t>
      </w:r>
    </w:p>
    <w:p w:rsidR="00397103" w:rsidRPr="00A1672D" w:rsidRDefault="00397103" w:rsidP="00397103">
      <w:pPr>
        <w:pStyle w:val="Odsekzoznamu"/>
        <w:numPr>
          <w:ilvl w:val="0"/>
          <w:numId w:val="25"/>
        </w:numPr>
        <w:jc w:val="both"/>
        <w:rPr>
          <w:rFonts w:ascii="Arial Narrow" w:hAnsi="Arial Narrow"/>
          <w:bCs/>
          <w:sz w:val="22"/>
          <w:szCs w:val="22"/>
        </w:rPr>
      </w:pPr>
      <w:r w:rsidRPr="00A1672D">
        <w:rPr>
          <w:rFonts w:ascii="Arial Narrow" w:hAnsi="Arial Narrow"/>
          <w:bCs/>
          <w:sz w:val="22"/>
          <w:szCs w:val="22"/>
        </w:rPr>
        <w:t>Bez ohľadu na zavedené limity je možné vykonať audit dobrovoľne</w:t>
      </w:r>
    </w:p>
    <w:p w:rsidR="00397103" w:rsidRPr="00397103" w:rsidRDefault="00397103" w:rsidP="00397103">
      <w:pPr>
        <w:jc w:val="both"/>
        <w:rPr>
          <w:rFonts w:ascii="Arial Narrow" w:hAnsi="Arial Narrow"/>
          <w:bCs/>
          <w:sz w:val="22"/>
          <w:szCs w:val="22"/>
        </w:rPr>
      </w:pPr>
    </w:p>
    <w:p w:rsidR="00397103" w:rsidRPr="00397103" w:rsidRDefault="00397103" w:rsidP="00397103">
      <w:pPr>
        <w:jc w:val="both"/>
        <w:rPr>
          <w:rFonts w:ascii="Arial Narrow" w:hAnsi="Arial Narrow"/>
          <w:bCs/>
          <w:sz w:val="22"/>
          <w:szCs w:val="22"/>
        </w:rPr>
      </w:pPr>
      <w:r w:rsidRPr="00397103">
        <w:rPr>
          <w:rFonts w:ascii="Arial Narrow" w:hAnsi="Arial Narrow"/>
          <w:bCs/>
          <w:sz w:val="22"/>
          <w:szCs w:val="22"/>
        </w:rPr>
        <w:t>Interpretáciu smernicu zo strany RÚZ a nami predloženú argumentáciu podporuje aj znenie recitálu smernice 2013/34/ES bod 43: „Ročná účtovná závierka malých podnikov by nemala podliehať tejto povinnosti vykonať audit, pretože audit môže pre túto kategóriu podnikov predstavovať výrazné administratívne zaťaženie, keďže v prípade mnohých malých podnikov sú tie isté osoby akcionármi aj riadiacimi pracovníkmi, a preto majú obmedzenú potrebu overenia účtovnej závierky treťou stranou.“</w:t>
      </w:r>
    </w:p>
    <w:p w:rsidR="00633E5F" w:rsidRDefault="00633E5F" w:rsidP="00AA60A8">
      <w:pPr>
        <w:contextualSpacing/>
        <w:jc w:val="both"/>
        <w:rPr>
          <w:rFonts w:ascii="Arial Narrow" w:hAnsi="Arial Narrow"/>
          <w:b/>
          <w:sz w:val="28"/>
          <w:szCs w:val="28"/>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A2" w:rsidRDefault="00F06EA2">
      <w:r>
        <w:separator/>
      </w:r>
    </w:p>
  </w:endnote>
  <w:endnote w:type="continuationSeparator" w:id="0">
    <w:p w:rsidR="00F06EA2" w:rsidRDefault="00F0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A2" w:rsidRDefault="00F06EA2">
      <w:r>
        <w:separator/>
      </w:r>
    </w:p>
  </w:footnote>
  <w:footnote w:type="continuationSeparator" w:id="0">
    <w:p w:rsidR="00F06EA2" w:rsidRDefault="00F06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2838F3"/>
    <w:multiLevelType w:val="hybridMultilevel"/>
    <w:tmpl w:val="34A4E214"/>
    <w:lvl w:ilvl="0" w:tplc="DFD0C42A">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9">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4">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8">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1">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13"/>
  </w:num>
  <w:num w:numId="5">
    <w:abstractNumId w:val="22"/>
  </w:num>
  <w:num w:numId="6">
    <w:abstractNumId w:val="15"/>
  </w:num>
  <w:num w:numId="7">
    <w:abstractNumId w:val="11"/>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9"/>
  </w:num>
  <w:num w:numId="12">
    <w:abstractNumId w:val="24"/>
  </w:num>
  <w:num w:numId="13">
    <w:abstractNumId w:val="3"/>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19"/>
  </w:num>
  <w:num w:numId="19">
    <w:abstractNumId w:val="4"/>
  </w:num>
  <w:num w:numId="20">
    <w:abstractNumId w:val="12"/>
  </w:num>
  <w:num w:numId="21">
    <w:abstractNumId w:val="14"/>
  </w:num>
  <w:num w:numId="22">
    <w:abstractNumId w:val="2"/>
  </w:num>
  <w:num w:numId="23">
    <w:abstractNumId w:val="18"/>
  </w:num>
  <w:num w:numId="24">
    <w:abstractNumId w:val="5"/>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3638"/>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672D"/>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6EA2"/>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4218-C232-401C-9001-6F34610E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4191</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4917</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4</cp:revision>
  <dcterms:created xsi:type="dcterms:W3CDTF">2017-08-08T12:50:00Z</dcterms:created>
  <dcterms:modified xsi:type="dcterms:W3CDTF">2017-08-10T10:35:00Z</dcterms:modified>
</cp:coreProperties>
</file>