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723285"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w:t>
      </w:r>
      <w:r w:rsidR="00A72E93">
        <w:rPr>
          <w:rStyle w:val="PsacstrojHTML"/>
          <w:rFonts w:ascii="Arial Narrow" w:hAnsi="Arial Narrow"/>
          <w:sz w:val="22"/>
          <w:szCs w:val="22"/>
        </w:rPr>
        <w:t>8</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97A33" w:rsidRPr="00A72E93" w:rsidRDefault="00194204" w:rsidP="00184A70">
      <w:pPr>
        <w:pStyle w:val="Odsekzoznamu"/>
        <w:numPr>
          <w:ilvl w:val="0"/>
          <w:numId w:val="1"/>
        </w:numPr>
        <w:autoSpaceDE w:val="0"/>
        <w:autoSpaceDN w:val="0"/>
        <w:adjustRightInd w:val="0"/>
        <w:contextualSpacing/>
        <w:jc w:val="center"/>
        <w:rPr>
          <w:rFonts w:ascii="Arial Narrow" w:eastAsia="Arial Unicode MS" w:hAnsi="Arial Narrow" w:cs="Arial Unicode MS"/>
          <w:sz w:val="22"/>
          <w:szCs w:val="22"/>
          <w:lang w:val="sk-SK" w:eastAsia="en-US"/>
        </w:rPr>
      </w:pPr>
      <w:r w:rsidRPr="00597A33">
        <w:rPr>
          <w:rFonts w:ascii="Arial Narrow" w:eastAsia="Arial Unicode MS" w:hAnsi="Arial Narrow" w:cs="Arial Unicode MS"/>
          <w:sz w:val="22"/>
          <w:szCs w:val="22"/>
        </w:rPr>
        <w:t>k</w:t>
      </w:r>
      <w:r w:rsidR="001B2E9C" w:rsidRPr="00597A33">
        <w:rPr>
          <w:rFonts w:ascii="Arial Narrow" w:eastAsia="Arial Unicode MS" w:hAnsi="Arial Narrow" w:cs="Arial Unicode MS"/>
          <w:sz w:val="22"/>
          <w:szCs w:val="22"/>
          <w:lang w:val="sk-SK" w:eastAsia="en-US"/>
        </w:rPr>
        <w:t xml:space="preserve"> návrhu </w:t>
      </w:r>
      <w:r w:rsidR="003651E4" w:rsidRPr="00597A33">
        <w:rPr>
          <w:rFonts w:ascii="Arial Narrow" w:eastAsia="Arial Unicode MS" w:hAnsi="Arial Narrow" w:cs="Arial Unicode MS"/>
          <w:sz w:val="22"/>
          <w:szCs w:val="22"/>
          <w:lang w:val="sk-SK" w:eastAsia="en-US"/>
        </w:rPr>
        <w:t xml:space="preserve">zákona, </w:t>
      </w:r>
      <w:r w:rsidR="00A72E93" w:rsidRPr="00A72E93">
        <w:rPr>
          <w:rFonts w:ascii="Arial Narrow" w:eastAsia="Arial Unicode MS" w:hAnsi="Arial Narrow" w:cs="Arial Unicode MS"/>
          <w:sz w:val="22"/>
          <w:szCs w:val="22"/>
          <w:lang w:val="sk-SK" w:eastAsia="en-US"/>
        </w:rPr>
        <w:t>ktorým sa mení a dopĺňa zákon č. 106/2004 Z. z. o spotrebnej dani z tabakových výrobkov v znení neskorších predpisov</w:t>
      </w:r>
      <w:bookmarkStart w:id="0" w:name="_GoBack"/>
      <w:bookmarkEnd w:id="0"/>
    </w:p>
    <w:p w:rsidR="004E5CDF" w:rsidRPr="00597A33" w:rsidRDefault="0057124B" w:rsidP="00184A70">
      <w:pPr>
        <w:pStyle w:val="Odsekzoznamu"/>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597A33">
        <w:rPr>
          <w:rFonts w:ascii="Arial Narrow" w:eastAsia="Arial Unicode MS" w:hAnsi="Arial Narrow" w:cs="Arial Unicode MS"/>
          <w:sz w:val="22"/>
          <w:szCs w:val="22"/>
        </w:rPr>
        <w:t>materiál na rokovaní HSR SR</w:t>
      </w:r>
      <w:r w:rsidR="009963BB" w:rsidRPr="00597A33">
        <w:rPr>
          <w:rFonts w:ascii="Arial Narrow" w:eastAsia="Arial Unicode MS" w:hAnsi="Arial Narrow" w:cs="Arial Unicode MS"/>
          <w:sz w:val="22"/>
          <w:szCs w:val="22"/>
        </w:rPr>
        <w:t xml:space="preserve"> dňa </w:t>
      </w:r>
      <w:r w:rsidR="004412FC" w:rsidRPr="00597A33">
        <w:rPr>
          <w:rFonts w:ascii="Arial Narrow" w:eastAsia="Arial Unicode MS" w:hAnsi="Arial Narrow" w:cs="Arial Unicode MS"/>
          <w:sz w:val="22"/>
          <w:szCs w:val="22"/>
        </w:rPr>
        <w:t>1</w:t>
      </w:r>
      <w:r w:rsidR="00343B53" w:rsidRPr="00597A33">
        <w:rPr>
          <w:rFonts w:ascii="Arial Narrow" w:eastAsia="Arial Unicode MS" w:hAnsi="Arial Narrow" w:cs="Arial Unicode MS"/>
          <w:sz w:val="22"/>
          <w:szCs w:val="22"/>
        </w:rPr>
        <w:t>4</w:t>
      </w:r>
      <w:r w:rsidR="000B237A" w:rsidRPr="00597A33">
        <w:rPr>
          <w:rFonts w:ascii="Arial Narrow" w:eastAsia="Arial Unicode MS" w:hAnsi="Arial Narrow" w:cs="Arial Unicode MS"/>
          <w:sz w:val="22"/>
          <w:szCs w:val="22"/>
        </w:rPr>
        <w:t>.</w:t>
      </w:r>
      <w:r w:rsidR="00343B53" w:rsidRPr="00597A33">
        <w:rPr>
          <w:rFonts w:ascii="Arial Narrow" w:eastAsia="Arial Unicode MS" w:hAnsi="Arial Narrow" w:cs="Arial Unicode MS"/>
          <w:sz w:val="22"/>
          <w:szCs w:val="22"/>
        </w:rPr>
        <w:t>08</w:t>
      </w:r>
      <w:r w:rsidR="006C6F5F" w:rsidRPr="00597A33">
        <w:rPr>
          <w:rFonts w:ascii="Arial Narrow" w:eastAsia="Arial Unicode MS" w:hAnsi="Arial Narrow" w:cs="Arial Unicode MS"/>
          <w:sz w:val="22"/>
          <w:szCs w:val="22"/>
        </w:rPr>
        <w:t>.201</w:t>
      </w:r>
      <w:r w:rsidR="004412FC" w:rsidRPr="00597A33">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Ministerstvom financií SR na základe Plánu legislatívnych úloh vlády Slovenskej republiky na rok 2017.</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A72E93" w:rsidRDefault="00A72E93" w:rsidP="00AA60A8">
      <w:pPr>
        <w:contextualSpacing/>
        <w:jc w:val="both"/>
        <w:rPr>
          <w:rFonts w:ascii="Arial Narrow" w:hAnsi="Arial Narrow" w:cs="Arial Narrow"/>
          <w:b/>
          <w:bCs/>
          <w:sz w:val="22"/>
          <w:szCs w:val="22"/>
        </w:rPr>
      </w:pPr>
    </w:p>
    <w:p w:rsidR="00A72E93" w:rsidRPr="00A72E93" w:rsidRDefault="00A72E93" w:rsidP="00A72E93">
      <w:pPr>
        <w:numPr>
          <w:ilvl w:val="0"/>
          <w:numId w:val="28"/>
        </w:numPr>
        <w:contextualSpacing/>
        <w:jc w:val="both"/>
        <w:rPr>
          <w:rFonts w:ascii="Arial Narrow" w:hAnsi="Arial Narrow" w:cs="Arial Narrow"/>
          <w:bCs/>
          <w:sz w:val="22"/>
          <w:szCs w:val="22"/>
        </w:rPr>
      </w:pPr>
      <w:r w:rsidRPr="00A72E93">
        <w:rPr>
          <w:rFonts w:ascii="Arial Narrow" w:hAnsi="Arial Narrow" w:cs="Arial Narrow"/>
          <w:bCs/>
          <w:sz w:val="22"/>
          <w:szCs w:val="22"/>
        </w:rPr>
        <w:t>nastavenie zmeny systému označenia spotrebiteľského balenia cigár v prípade zmeny sadzby dane (preznačenie),</w:t>
      </w:r>
    </w:p>
    <w:p w:rsidR="00A72E93" w:rsidRPr="00A72E93" w:rsidRDefault="00A72E93" w:rsidP="00A72E93">
      <w:pPr>
        <w:numPr>
          <w:ilvl w:val="0"/>
          <w:numId w:val="28"/>
        </w:numPr>
        <w:contextualSpacing/>
        <w:jc w:val="both"/>
        <w:rPr>
          <w:rFonts w:ascii="Arial Narrow" w:hAnsi="Arial Narrow" w:cs="Arial Narrow"/>
          <w:bCs/>
          <w:sz w:val="22"/>
          <w:szCs w:val="22"/>
        </w:rPr>
      </w:pPr>
      <w:r w:rsidRPr="00A72E93">
        <w:rPr>
          <w:rFonts w:ascii="Arial Narrow" w:hAnsi="Arial Narrow" w:cs="Arial Narrow"/>
          <w:bCs/>
          <w:sz w:val="22"/>
          <w:szCs w:val="22"/>
        </w:rPr>
        <w:t>úprava a doplnenie vybraných ustanovení o zábezpeke na daň,</w:t>
      </w:r>
    </w:p>
    <w:p w:rsidR="00A72E93" w:rsidRPr="00A72E93" w:rsidRDefault="00A72E93" w:rsidP="00A72E93">
      <w:pPr>
        <w:numPr>
          <w:ilvl w:val="0"/>
          <w:numId w:val="28"/>
        </w:numPr>
        <w:contextualSpacing/>
        <w:jc w:val="both"/>
        <w:rPr>
          <w:rFonts w:ascii="Arial Narrow" w:hAnsi="Arial Narrow" w:cs="Arial Narrow"/>
          <w:bCs/>
          <w:sz w:val="22"/>
          <w:szCs w:val="22"/>
        </w:rPr>
      </w:pPr>
      <w:r w:rsidRPr="00A72E93">
        <w:rPr>
          <w:rFonts w:ascii="Arial Narrow" w:hAnsi="Arial Narrow" w:cs="Arial Narrow"/>
          <w:bCs/>
          <w:sz w:val="22"/>
          <w:szCs w:val="22"/>
        </w:rPr>
        <w:t>doplnenie oslobodení od dane z tabakovej suroviny a vrátenia dane z tabaku v bezdymovom tabakovom výrobku odobratých ako vzorka alebo zničených colným úradom,</w:t>
      </w:r>
    </w:p>
    <w:p w:rsidR="00A72E93" w:rsidRPr="00A72E93" w:rsidRDefault="00A72E93" w:rsidP="00A72E93">
      <w:pPr>
        <w:numPr>
          <w:ilvl w:val="0"/>
          <w:numId w:val="28"/>
        </w:numPr>
        <w:contextualSpacing/>
        <w:jc w:val="both"/>
        <w:rPr>
          <w:rFonts w:ascii="Arial Narrow" w:hAnsi="Arial Narrow" w:cs="Arial Narrow"/>
          <w:bCs/>
          <w:sz w:val="22"/>
          <w:szCs w:val="22"/>
        </w:rPr>
      </w:pPr>
      <w:r w:rsidRPr="00A72E93">
        <w:rPr>
          <w:rFonts w:ascii="Arial Narrow" w:hAnsi="Arial Narrow" w:cs="Arial Narrow"/>
          <w:bCs/>
          <w:sz w:val="22"/>
          <w:szCs w:val="22"/>
        </w:rPr>
        <w:t>spresnenie a doplnenie vybraných ustanovení upravujúcich obchodovanie s tabakovou surovinou,</w:t>
      </w:r>
    </w:p>
    <w:p w:rsidR="00A72E93" w:rsidRPr="00A72E93" w:rsidRDefault="00A72E93" w:rsidP="00A72E93">
      <w:pPr>
        <w:numPr>
          <w:ilvl w:val="0"/>
          <w:numId w:val="28"/>
        </w:numPr>
        <w:contextualSpacing/>
        <w:jc w:val="both"/>
        <w:rPr>
          <w:rFonts w:ascii="Arial Narrow" w:hAnsi="Arial Narrow" w:cs="Arial Narrow"/>
          <w:bCs/>
          <w:sz w:val="22"/>
          <w:szCs w:val="22"/>
        </w:rPr>
      </w:pPr>
      <w:r w:rsidRPr="00A72E93">
        <w:rPr>
          <w:rFonts w:ascii="Arial Narrow" w:hAnsi="Arial Narrow" w:cs="Arial Narrow"/>
          <w:bCs/>
          <w:sz w:val="22"/>
          <w:szCs w:val="22"/>
        </w:rPr>
        <w:t>úprava sankcií ukladaných správcom dane za daňové delikty a priestupky s prihliadnutím na závažnosť, dĺžku trvania a následky protiprávneho stavu.</w:t>
      </w:r>
    </w:p>
    <w:p w:rsidR="00570563" w:rsidRPr="00570563" w:rsidRDefault="00570563" w:rsidP="00570563">
      <w:pPr>
        <w:contextualSpacing/>
        <w:jc w:val="both"/>
        <w:rPr>
          <w:rFonts w:ascii="Arial Narrow" w:hAnsi="Arial Narrow"/>
          <w:sz w:val="22"/>
          <w:szCs w:val="22"/>
        </w:rPr>
      </w:pPr>
    </w:p>
    <w:p w:rsidR="00570563" w:rsidRPr="00570563" w:rsidRDefault="00570563" w:rsidP="00570563">
      <w:pPr>
        <w:contextualSpacing/>
        <w:jc w:val="both"/>
        <w:rPr>
          <w:rFonts w:ascii="Arial Narrow" w:hAnsi="Arial Narrow"/>
          <w:b/>
          <w:sz w:val="22"/>
          <w:szCs w:val="22"/>
        </w:rPr>
      </w:pPr>
      <w:r w:rsidRPr="00570563">
        <w:rPr>
          <w:rFonts w:ascii="Arial Narrow" w:hAnsi="Arial Narrow"/>
          <w:b/>
          <w:sz w:val="22"/>
          <w:szCs w:val="22"/>
        </w:rPr>
        <w:t>Návrh zákona má nadobudnúť účinnosť 01.01.2018</w:t>
      </w:r>
      <w:r w:rsidR="00A72E93">
        <w:rPr>
          <w:rFonts w:ascii="Arial Narrow" w:hAnsi="Arial Narrow"/>
          <w:b/>
          <w:sz w:val="22"/>
          <w:szCs w:val="22"/>
        </w:rPr>
        <w:t xml:space="preserve"> s výnimkou niektorých ustanovení, pri ktorých sa navrhuje neskoršia účinnosť. </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571015" w:rsidRDefault="00571015" w:rsidP="00AA60A8">
      <w:pPr>
        <w:contextualSpacing/>
        <w:jc w:val="both"/>
        <w:rPr>
          <w:rFonts w:ascii="Arial Narrow" w:hAnsi="Arial Narrow" w:cs="Arial Narrow"/>
          <w:bCs/>
          <w:sz w:val="22"/>
          <w:szCs w:val="22"/>
        </w:rPr>
      </w:pPr>
    </w:p>
    <w:p w:rsidR="00570563" w:rsidRDefault="00A72E93" w:rsidP="00AA60A8">
      <w:pPr>
        <w:contextualSpacing/>
        <w:jc w:val="both"/>
        <w:rPr>
          <w:rFonts w:ascii="Arial Narrow" w:hAnsi="Arial Narrow" w:cs="Arial Narrow"/>
          <w:bCs/>
          <w:sz w:val="22"/>
          <w:szCs w:val="22"/>
        </w:rPr>
      </w:pPr>
      <w:r>
        <w:rPr>
          <w:rFonts w:ascii="Arial Narrow" w:hAnsi="Arial Narrow"/>
          <w:sz w:val="22"/>
          <w:szCs w:val="22"/>
        </w:rPr>
        <w:t xml:space="preserve">RÚZ nepredkladala k uvedenému návrhu zákona žiadne pripomienky v rámci medzirezortného pripomienkového konania a berie predložený materiál na vedomie bez pripomienok. </w:t>
      </w:r>
    </w:p>
    <w:p w:rsidR="00570563" w:rsidRPr="001D4939" w:rsidRDefault="00570563"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A72E93" w:rsidP="00397103">
      <w:pPr>
        <w:jc w:val="both"/>
        <w:rPr>
          <w:rFonts w:ascii="Arial Narrow" w:hAnsi="Arial Narrow"/>
          <w:bCs/>
          <w:sz w:val="22"/>
          <w:szCs w:val="22"/>
        </w:rPr>
      </w:pPr>
      <w:r>
        <w:rPr>
          <w:rFonts w:ascii="Arial Narrow" w:hAnsi="Arial Narrow"/>
          <w:bCs/>
          <w:sz w:val="22"/>
          <w:szCs w:val="22"/>
        </w:rPr>
        <w:t>Bez zásadných pripomienok zo strany RÚZ.</w:t>
      </w:r>
    </w:p>
    <w:p w:rsidR="00A72E93" w:rsidRDefault="00A72E93"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C2" w:rsidRDefault="000F18C2">
      <w:r>
        <w:separator/>
      </w:r>
    </w:p>
  </w:endnote>
  <w:endnote w:type="continuationSeparator" w:id="0">
    <w:p w:rsidR="000F18C2" w:rsidRDefault="000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C2" w:rsidRDefault="000F18C2">
      <w:r>
        <w:separator/>
      </w:r>
    </w:p>
  </w:footnote>
  <w:footnote w:type="continuationSeparator" w:id="0">
    <w:p w:rsidR="000F18C2" w:rsidRDefault="000F1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8">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4">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8">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1">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3C57DF"/>
    <w:multiLevelType w:val="hybridMultilevel"/>
    <w:tmpl w:val="8D3EFD26"/>
    <w:lvl w:ilvl="0" w:tplc="22DE1A78">
      <w:numFmt w:val="bullet"/>
      <w:lvlText w:val="–"/>
      <w:lvlJc w:val="center"/>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13"/>
  </w:num>
  <w:num w:numId="5">
    <w:abstractNumId w:val="24"/>
  </w:num>
  <w:num w:numId="6">
    <w:abstractNumId w:val="15"/>
  </w:num>
  <w:num w:numId="7">
    <w:abstractNumId w:val="10"/>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8"/>
  </w:num>
  <w:num w:numId="12">
    <w:abstractNumId w:val="26"/>
  </w:num>
  <w:num w:numId="13">
    <w:abstractNumId w:val="3"/>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19"/>
  </w:num>
  <w:num w:numId="19">
    <w:abstractNumId w:val="4"/>
  </w:num>
  <w:num w:numId="20">
    <w:abstractNumId w:val="11"/>
  </w:num>
  <w:num w:numId="21">
    <w:abstractNumId w:val="14"/>
  </w:num>
  <w:num w:numId="22">
    <w:abstractNumId w:val="2"/>
  </w:num>
  <w:num w:numId="23">
    <w:abstractNumId w:val="18"/>
  </w:num>
  <w:num w:numId="24">
    <w:abstractNumId w:val="5"/>
  </w:num>
  <w:num w:numId="25">
    <w:abstractNumId w:val="27"/>
  </w:num>
  <w:num w:numId="26">
    <w:abstractNumId w:val="21"/>
  </w:num>
  <w:num w:numId="27">
    <w:abstractNumId w:val="12"/>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18C2"/>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2E93"/>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9995-2E70-426A-8972-F64455B1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1705</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2</cp:revision>
  <dcterms:created xsi:type="dcterms:W3CDTF">2017-08-08T16:48:00Z</dcterms:created>
  <dcterms:modified xsi:type="dcterms:W3CDTF">2017-08-08T16:48:00Z</dcterms:modified>
</cp:coreProperties>
</file>