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723750"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48412C">
        <w:rPr>
          <w:rStyle w:val="PsacstrojHTML"/>
          <w:rFonts w:ascii="Arial Narrow" w:hAnsi="Arial Narrow"/>
          <w:sz w:val="22"/>
          <w:szCs w:val="22"/>
        </w:rPr>
        <w:t>9</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48412C" w:rsidRPr="0048412C" w:rsidRDefault="00194204" w:rsidP="00184A70">
      <w:pPr>
        <w:pStyle w:val="Odsekzoznamu"/>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48412C">
        <w:rPr>
          <w:rFonts w:ascii="Arial Narrow" w:eastAsia="Arial Unicode MS" w:hAnsi="Arial Narrow" w:cs="Arial Unicode MS"/>
          <w:sz w:val="22"/>
          <w:szCs w:val="22"/>
        </w:rPr>
        <w:t>k</w:t>
      </w:r>
      <w:r w:rsidR="001B2E9C" w:rsidRPr="0048412C">
        <w:rPr>
          <w:rFonts w:ascii="Arial Narrow" w:eastAsia="Arial Unicode MS" w:hAnsi="Arial Narrow" w:cs="Arial Unicode MS"/>
          <w:sz w:val="22"/>
          <w:szCs w:val="22"/>
          <w:lang w:val="sk-SK" w:eastAsia="en-US"/>
        </w:rPr>
        <w:t xml:space="preserve"> návrhu </w:t>
      </w:r>
      <w:r w:rsidR="003651E4" w:rsidRPr="0048412C">
        <w:rPr>
          <w:rFonts w:ascii="Arial Narrow" w:eastAsia="Arial Unicode MS" w:hAnsi="Arial Narrow" w:cs="Arial Unicode MS"/>
          <w:sz w:val="22"/>
          <w:szCs w:val="22"/>
          <w:lang w:val="sk-SK" w:eastAsia="en-US"/>
        </w:rPr>
        <w:t xml:space="preserve">zákona, </w:t>
      </w:r>
      <w:r w:rsidR="0048412C" w:rsidRPr="0048412C">
        <w:rPr>
          <w:rFonts w:ascii="Arial Narrow" w:eastAsia="Arial Unicode MS" w:hAnsi="Arial Narrow" w:cs="Arial Unicode MS"/>
          <w:sz w:val="22"/>
          <w:szCs w:val="22"/>
          <w:lang w:val="sk-SK" w:eastAsia="en-US"/>
        </w:rPr>
        <w:t>ktorým sa mení a dopĺňa zákon č. 563/2009 Z. z. o správe daní (daňový poriadok) a o zmene a doplnení niektorých zákonov v znení neskorších predpisov a ktorým sa menia a dopĺňajú niektoré zákony</w:t>
      </w:r>
      <w:r w:rsidR="0048412C" w:rsidRPr="0048412C">
        <w:rPr>
          <w:rFonts w:ascii="Arial Narrow" w:eastAsia="Arial Unicode MS" w:hAnsi="Arial Narrow" w:cs="Arial Unicode MS"/>
          <w:sz w:val="22"/>
          <w:szCs w:val="22"/>
        </w:rPr>
        <w:t xml:space="preserve"> </w:t>
      </w:r>
    </w:p>
    <w:p w:rsidR="0048412C" w:rsidRPr="0048412C" w:rsidRDefault="0048412C" w:rsidP="0048412C">
      <w:pPr>
        <w:pStyle w:val="Odsekzoznamu"/>
        <w:autoSpaceDE w:val="0"/>
        <w:autoSpaceDN w:val="0"/>
        <w:adjustRightInd w:val="0"/>
        <w:ind w:left="720"/>
        <w:contextualSpacing/>
        <w:rPr>
          <w:rFonts w:ascii="Arial Narrow" w:eastAsia="Arial Unicode MS" w:hAnsi="Arial Narrow" w:cs="Arial Unicode MS"/>
          <w:bCs/>
          <w:color w:val="000000"/>
          <w:sz w:val="22"/>
          <w:szCs w:val="22"/>
        </w:rPr>
      </w:pPr>
    </w:p>
    <w:p w:rsidR="004E5CDF" w:rsidRPr="0048412C" w:rsidRDefault="0057124B" w:rsidP="00184A70">
      <w:pPr>
        <w:pStyle w:val="Odsekzoznamu"/>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48412C">
        <w:rPr>
          <w:rFonts w:ascii="Arial Narrow" w:eastAsia="Arial Unicode MS" w:hAnsi="Arial Narrow" w:cs="Arial Unicode MS"/>
          <w:sz w:val="22"/>
          <w:szCs w:val="22"/>
        </w:rPr>
        <w:t>materiál na rokovaní HSR SR</w:t>
      </w:r>
      <w:r w:rsidR="009963BB" w:rsidRPr="0048412C">
        <w:rPr>
          <w:rFonts w:ascii="Arial Narrow" w:eastAsia="Arial Unicode MS" w:hAnsi="Arial Narrow" w:cs="Arial Unicode MS"/>
          <w:sz w:val="22"/>
          <w:szCs w:val="22"/>
        </w:rPr>
        <w:t xml:space="preserve"> dňa </w:t>
      </w:r>
      <w:r w:rsidR="004412FC" w:rsidRPr="0048412C">
        <w:rPr>
          <w:rFonts w:ascii="Arial Narrow" w:eastAsia="Arial Unicode MS" w:hAnsi="Arial Narrow" w:cs="Arial Unicode MS"/>
          <w:sz w:val="22"/>
          <w:szCs w:val="22"/>
        </w:rPr>
        <w:t>1</w:t>
      </w:r>
      <w:r w:rsidR="00343B53" w:rsidRPr="0048412C">
        <w:rPr>
          <w:rFonts w:ascii="Arial Narrow" w:eastAsia="Arial Unicode MS" w:hAnsi="Arial Narrow" w:cs="Arial Unicode MS"/>
          <w:sz w:val="22"/>
          <w:szCs w:val="22"/>
        </w:rPr>
        <w:t>4</w:t>
      </w:r>
      <w:r w:rsidR="000B237A" w:rsidRPr="0048412C">
        <w:rPr>
          <w:rFonts w:ascii="Arial Narrow" w:eastAsia="Arial Unicode MS" w:hAnsi="Arial Narrow" w:cs="Arial Unicode MS"/>
          <w:sz w:val="22"/>
          <w:szCs w:val="22"/>
        </w:rPr>
        <w:t>.</w:t>
      </w:r>
      <w:r w:rsidR="00343B53" w:rsidRPr="0048412C">
        <w:rPr>
          <w:rFonts w:ascii="Arial Narrow" w:eastAsia="Arial Unicode MS" w:hAnsi="Arial Narrow" w:cs="Arial Unicode MS"/>
          <w:sz w:val="22"/>
          <w:szCs w:val="22"/>
        </w:rPr>
        <w:t>08</w:t>
      </w:r>
      <w:r w:rsidR="006C6F5F" w:rsidRPr="0048412C">
        <w:rPr>
          <w:rFonts w:ascii="Arial Narrow" w:eastAsia="Arial Unicode MS" w:hAnsi="Arial Narrow" w:cs="Arial Unicode MS"/>
          <w:sz w:val="22"/>
          <w:szCs w:val="22"/>
        </w:rPr>
        <w:t>.201</w:t>
      </w:r>
      <w:r w:rsidR="004412FC" w:rsidRPr="0048412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A72E93" w:rsidRDefault="00A72E93" w:rsidP="00AA60A8">
      <w:pPr>
        <w:contextualSpacing/>
        <w:jc w:val="both"/>
        <w:rPr>
          <w:rFonts w:ascii="Arial Narrow" w:hAnsi="Arial Narrow" w:cs="Arial Narrow"/>
          <w:b/>
          <w:bCs/>
          <w:sz w:val="22"/>
          <w:szCs w:val="22"/>
        </w:rPr>
      </w:pPr>
    </w:p>
    <w:p w:rsidR="004042F7" w:rsidRPr="004042F7" w:rsidRDefault="004042F7" w:rsidP="004042F7">
      <w:pPr>
        <w:contextualSpacing/>
        <w:jc w:val="both"/>
        <w:rPr>
          <w:rFonts w:ascii="Arial Narrow" w:hAnsi="Arial Narrow"/>
          <w:sz w:val="22"/>
          <w:szCs w:val="22"/>
        </w:rPr>
      </w:pPr>
      <w:r w:rsidRPr="004042F7">
        <w:rPr>
          <w:rFonts w:ascii="Arial Narrow" w:hAnsi="Arial Narrow"/>
          <w:sz w:val="22"/>
          <w:szCs w:val="22"/>
        </w:rPr>
        <w:t>Navrhuje sa zreformova</w:t>
      </w:r>
      <w:r w:rsidRPr="004042F7">
        <w:rPr>
          <w:rFonts w:ascii="Arial Narrow" w:hAnsi="Arial Narrow" w:cs="Arial Narrow"/>
          <w:sz w:val="22"/>
          <w:szCs w:val="22"/>
        </w:rPr>
        <w:t>ť</w:t>
      </w:r>
      <w:r w:rsidRPr="004042F7">
        <w:rPr>
          <w:rFonts w:ascii="Arial Narrow" w:hAnsi="Arial Narrow"/>
          <w:sz w:val="22"/>
          <w:szCs w:val="22"/>
        </w:rPr>
        <w:t xml:space="preserve"> in</w:t>
      </w:r>
      <w:r w:rsidRPr="004042F7">
        <w:rPr>
          <w:rFonts w:ascii="Arial Narrow" w:hAnsi="Arial Narrow" w:cs="Arial Narrow"/>
          <w:sz w:val="22"/>
          <w:szCs w:val="22"/>
        </w:rPr>
        <w:t>š</w:t>
      </w:r>
      <w:r w:rsidRPr="004042F7">
        <w:rPr>
          <w:rFonts w:ascii="Arial Narrow" w:hAnsi="Arial Narrow"/>
          <w:sz w:val="22"/>
          <w:szCs w:val="22"/>
        </w:rPr>
        <w:t>tit</w:t>
      </w:r>
      <w:r w:rsidRPr="004042F7">
        <w:rPr>
          <w:rFonts w:ascii="Arial Narrow" w:hAnsi="Arial Narrow" w:cs="Arial Narrow"/>
          <w:sz w:val="22"/>
          <w:szCs w:val="22"/>
        </w:rPr>
        <w:t>ú</w:t>
      </w:r>
      <w:r w:rsidRPr="004042F7">
        <w:rPr>
          <w:rFonts w:ascii="Arial Narrow" w:hAnsi="Arial Narrow"/>
          <w:sz w:val="22"/>
          <w:szCs w:val="22"/>
        </w:rPr>
        <w:t>t da</w:t>
      </w:r>
      <w:r w:rsidRPr="004042F7">
        <w:rPr>
          <w:rFonts w:ascii="Arial Narrow" w:hAnsi="Arial Narrow" w:cs="Arial Narrow"/>
          <w:sz w:val="22"/>
          <w:szCs w:val="22"/>
        </w:rPr>
        <w:t>ň</w:t>
      </w:r>
      <w:r w:rsidRPr="004042F7">
        <w:rPr>
          <w:rFonts w:ascii="Arial Narrow" w:hAnsi="Arial Narrow"/>
          <w:sz w:val="22"/>
          <w:szCs w:val="22"/>
        </w:rPr>
        <w:t>ového tajomstva z dôvodu zabezpečenia rešpektovania medzinárodných a európskych štandardov administratívnej spolupráce v daňovej oblasti a odstránenia prekážok v boji proti daňovým únikom a podvodom, pričom cieľom je ďalšie zvyšovanie daňovej transparentnosti pri zachovaní práv a minimálneho štandardu ochrany daňových subjektov. Na základe Akčného plánu boja proti daňovým podvodom 2017 – 2018 sa s cieľom vytvoriť objektívne, nezávislé a legálne aplikovateľné hodnotenie daňových subjektov, ktoré bude mať predovšetkým motivačný a preventívny charakter zavádza index daňovej spoľahlivosti, vrátane osobitných daňových režimov pre spoľahlivé daňové su</w:t>
      </w:r>
      <w:bookmarkStart w:id="0" w:name="_GoBack"/>
      <w:bookmarkEnd w:id="0"/>
      <w:r w:rsidRPr="004042F7">
        <w:rPr>
          <w:rFonts w:ascii="Arial Narrow" w:hAnsi="Arial Narrow"/>
          <w:sz w:val="22"/>
          <w:szCs w:val="22"/>
        </w:rPr>
        <w:t>bjekty. Transpozíciou Smernice Rady (EÚ) 2016/2258, ktorou sa mení smernica 2011/16/EÚ, pokiaľ ide o prístup daňových orgánov k informáciám získaným v rámci boja proti praniu špinavých peňazí, sa zabezpečuje prístup finančnej správy k informáciám v oblasti boja proti praniu špinavých peňazí ako sú informácie o skutočných vlastníkoch a hĺbkové preverovanie. Predkladaným návrhom zákona sa taktiež plnia ďalšie opatrenia Akčného plánu boja proti daňovým podvodom 2017 – 2018 a upravujú sa niektoré ustanovenia daňového poriadku na základe poznatkov z aplikačnej praxe tak, aby sa zefektívnila správa daní.</w:t>
      </w:r>
    </w:p>
    <w:p w:rsidR="004042F7" w:rsidRPr="004042F7" w:rsidRDefault="004042F7" w:rsidP="004042F7">
      <w:pPr>
        <w:contextualSpacing/>
        <w:jc w:val="both"/>
        <w:rPr>
          <w:rFonts w:ascii="Arial Narrow" w:hAnsi="Arial Narrow"/>
          <w:b/>
          <w:sz w:val="22"/>
          <w:szCs w:val="22"/>
        </w:rPr>
      </w:pPr>
    </w:p>
    <w:p w:rsidR="004042F7" w:rsidRPr="004042F7" w:rsidRDefault="004042F7" w:rsidP="004042F7">
      <w:pPr>
        <w:contextualSpacing/>
        <w:jc w:val="both"/>
        <w:rPr>
          <w:rFonts w:ascii="Arial Narrow" w:hAnsi="Arial Narrow"/>
          <w:b/>
          <w:sz w:val="22"/>
          <w:szCs w:val="22"/>
        </w:rPr>
      </w:pPr>
      <w:r w:rsidRPr="004042F7">
        <w:rPr>
          <w:rFonts w:ascii="Arial Narrow" w:hAnsi="Arial Narrow"/>
          <w:b/>
          <w:sz w:val="22"/>
          <w:szCs w:val="22"/>
        </w:rPr>
        <w:t>N</w:t>
      </w:r>
      <w:r w:rsidRPr="004042F7">
        <w:rPr>
          <w:rFonts w:ascii="Arial Narrow" w:hAnsi="Arial Narrow" w:cs="Arial Narrow"/>
          <w:b/>
          <w:sz w:val="22"/>
          <w:szCs w:val="22"/>
        </w:rPr>
        <w:t>á</w:t>
      </w:r>
      <w:r w:rsidRPr="004042F7">
        <w:rPr>
          <w:rFonts w:ascii="Arial Narrow" w:hAnsi="Arial Narrow"/>
          <w:b/>
          <w:sz w:val="22"/>
          <w:szCs w:val="22"/>
        </w:rPr>
        <w:t>vrh z</w:t>
      </w:r>
      <w:r w:rsidRPr="004042F7">
        <w:rPr>
          <w:rFonts w:ascii="Arial Narrow" w:hAnsi="Arial Narrow" w:cs="Arial Narrow"/>
          <w:b/>
          <w:sz w:val="22"/>
          <w:szCs w:val="22"/>
        </w:rPr>
        <w:t>á</w:t>
      </w:r>
      <w:r w:rsidRPr="004042F7">
        <w:rPr>
          <w:rFonts w:ascii="Arial Narrow" w:hAnsi="Arial Narrow"/>
          <w:b/>
          <w:sz w:val="22"/>
          <w:szCs w:val="22"/>
        </w:rPr>
        <w:t>kona m</w:t>
      </w:r>
      <w:r w:rsidRPr="004042F7">
        <w:rPr>
          <w:rFonts w:ascii="Arial Narrow" w:hAnsi="Arial Narrow" w:cs="Arial Narrow"/>
          <w:b/>
          <w:sz w:val="22"/>
          <w:szCs w:val="22"/>
        </w:rPr>
        <w:t>á</w:t>
      </w:r>
      <w:r w:rsidRPr="004042F7">
        <w:rPr>
          <w:rFonts w:ascii="Arial Narrow" w:hAnsi="Arial Narrow"/>
          <w:b/>
          <w:sz w:val="22"/>
          <w:szCs w:val="22"/>
        </w:rPr>
        <w:t xml:space="preserve"> nadobudn</w:t>
      </w:r>
      <w:r w:rsidRPr="004042F7">
        <w:rPr>
          <w:rFonts w:ascii="Arial Narrow" w:hAnsi="Arial Narrow" w:cs="Arial Narrow"/>
          <w:b/>
          <w:sz w:val="22"/>
          <w:szCs w:val="22"/>
        </w:rPr>
        <w:t>úť</w:t>
      </w:r>
      <w:r w:rsidRPr="004042F7">
        <w:rPr>
          <w:rFonts w:ascii="Arial Narrow" w:hAnsi="Arial Narrow"/>
          <w:b/>
          <w:sz w:val="22"/>
          <w:szCs w:val="22"/>
        </w:rPr>
        <w:t xml:space="preserve"> </w:t>
      </w:r>
      <w:r w:rsidRPr="004042F7">
        <w:rPr>
          <w:rFonts w:ascii="Arial Narrow" w:hAnsi="Arial Narrow" w:cs="Arial Narrow"/>
          <w:b/>
          <w:sz w:val="22"/>
          <w:szCs w:val="22"/>
        </w:rPr>
        <w:t>úč</w:t>
      </w:r>
      <w:r w:rsidRPr="004042F7">
        <w:rPr>
          <w:rFonts w:ascii="Arial Narrow" w:hAnsi="Arial Narrow"/>
          <w:b/>
          <w:sz w:val="22"/>
          <w:szCs w:val="22"/>
        </w:rPr>
        <w:t>innos</w:t>
      </w:r>
      <w:r w:rsidRPr="004042F7">
        <w:rPr>
          <w:rFonts w:ascii="Arial Narrow" w:hAnsi="Arial Narrow" w:cs="Arial Narrow"/>
          <w:b/>
          <w:sz w:val="22"/>
          <w:szCs w:val="22"/>
        </w:rPr>
        <w:t>ť</w:t>
      </w:r>
      <w:r w:rsidRPr="004042F7">
        <w:rPr>
          <w:rFonts w:ascii="Arial Narrow" w:hAnsi="Arial Narrow"/>
          <w:b/>
          <w:sz w:val="22"/>
          <w:szCs w:val="22"/>
        </w:rPr>
        <w:t xml:space="preserve">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4042F7">
        <w:rPr>
          <w:rFonts w:ascii="Arial Narrow" w:hAnsi="Arial Narrow"/>
          <w:b/>
          <w:sz w:val="28"/>
          <w:szCs w:val="28"/>
        </w:rPr>
        <w:t> </w:t>
      </w:r>
      <w:r w:rsidRPr="00BA27D4">
        <w:rPr>
          <w:rFonts w:ascii="Arial Narrow" w:hAnsi="Arial Narrow"/>
          <w:b/>
          <w:sz w:val="28"/>
          <w:szCs w:val="28"/>
        </w:rPr>
        <w:t>materiálu</w:t>
      </w:r>
    </w:p>
    <w:p w:rsidR="004042F7" w:rsidRPr="004042F7" w:rsidRDefault="004042F7" w:rsidP="004042F7">
      <w:pPr>
        <w:contextualSpacing/>
        <w:jc w:val="both"/>
        <w:rPr>
          <w:rFonts w:ascii="Arial Narrow" w:hAnsi="Arial Narrow"/>
          <w:sz w:val="22"/>
          <w:szCs w:val="22"/>
        </w:rPr>
      </w:pPr>
    </w:p>
    <w:p w:rsidR="004042F7" w:rsidRPr="004042F7" w:rsidRDefault="004042F7" w:rsidP="004042F7">
      <w:pPr>
        <w:contextualSpacing/>
        <w:jc w:val="both"/>
        <w:rPr>
          <w:rFonts w:ascii="Arial Narrow" w:hAnsi="Arial Narrow"/>
          <w:b/>
          <w:sz w:val="22"/>
          <w:szCs w:val="22"/>
        </w:rPr>
      </w:pPr>
      <w:r w:rsidRPr="004042F7">
        <w:rPr>
          <w:rFonts w:ascii="Arial Narrow" w:hAnsi="Arial Narrow"/>
          <w:sz w:val="22"/>
          <w:szCs w:val="22"/>
        </w:rPr>
        <w:t xml:space="preserve">Navrhuje sa zreformovať inštitút daňového tajomstva z dôvodu zabezpečenia rešpektovania medzinárodných a európskych štandardov administratívnej spolupráce v daňovej oblasti a odstránenia prekážok v boji proti daňovým únikom a podvodom. </w:t>
      </w:r>
      <w:r w:rsidRPr="004042F7">
        <w:rPr>
          <w:rFonts w:ascii="Arial Narrow" w:hAnsi="Arial Narrow"/>
          <w:b/>
          <w:sz w:val="22"/>
          <w:szCs w:val="22"/>
        </w:rPr>
        <w:t xml:space="preserve">RÚZ k predloženému návrhu zákona predložilo viaceré pripomienky, z ktorých niektoré boli akceptované. RÚZ v tomto legislatívnom štádiu neuplatňuje žiadne zásadné pripomienky.   </w:t>
      </w:r>
    </w:p>
    <w:p w:rsidR="00570563" w:rsidRPr="001D4939" w:rsidRDefault="00570563"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A72E93" w:rsidP="00397103">
      <w:pPr>
        <w:jc w:val="both"/>
        <w:rPr>
          <w:rFonts w:ascii="Arial Narrow" w:hAnsi="Arial Narrow"/>
          <w:bCs/>
          <w:sz w:val="22"/>
          <w:szCs w:val="22"/>
        </w:rPr>
      </w:pPr>
      <w:r>
        <w:rPr>
          <w:rFonts w:ascii="Arial Narrow" w:hAnsi="Arial Narrow"/>
          <w:bCs/>
          <w:sz w:val="22"/>
          <w:szCs w:val="22"/>
        </w:rPr>
        <w:t>Bez zásadných pripomienok zo strany RÚZ.</w:t>
      </w:r>
    </w:p>
    <w:p w:rsidR="00A72E93" w:rsidRDefault="00A72E9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F7" w:rsidRDefault="008851F7">
      <w:r>
        <w:separator/>
      </w:r>
    </w:p>
  </w:endnote>
  <w:endnote w:type="continuationSeparator" w:id="0">
    <w:p w:rsidR="008851F7" w:rsidRDefault="0088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F7" w:rsidRDefault="008851F7">
      <w:r>
        <w:separator/>
      </w:r>
    </w:p>
  </w:footnote>
  <w:footnote w:type="continuationSeparator" w:id="0">
    <w:p w:rsidR="008851F7" w:rsidRDefault="0088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4">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6">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8">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1">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3C57DF"/>
    <w:multiLevelType w:val="hybridMultilevel"/>
    <w:tmpl w:val="8D3EFD26"/>
    <w:lvl w:ilvl="0" w:tplc="22DE1A78">
      <w:numFmt w:val="bullet"/>
      <w:lvlText w:val="–"/>
      <w:lvlJc w:val="center"/>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13"/>
  </w:num>
  <w:num w:numId="5">
    <w:abstractNumId w:val="24"/>
  </w:num>
  <w:num w:numId="6">
    <w:abstractNumId w:val="15"/>
  </w:num>
  <w:num w:numId="7">
    <w:abstractNumId w:val="10"/>
  </w:num>
  <w:num w:numId="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8"/>
  </w:num>
  <w:num w:numId="12">
    <w:abstractNumId w:val="26"/>
  </w:num>
  <w:num w:numId="13">
    <w:abstractNumId w:val="3"/>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19"/>
  </w:num>
  <w:num w:numId="19">
    <w:abstractNumId w:val="4"/>
  </w:num>
  <w:num w:numId="20">
    <w:abstractNumId w:val="11"/>
  </w:num>
  <w:num w:numId="21">
    <w:abstractNumId w:val="14"/>
  </w:num>
  <w:num w:numId="22">
    <w:abstractNumId w:val="2"/>
  </w:num>
  <w:num w:numId="23">
    <w:abstractNumId w:val="18"/>
  </w:num>
  <w:num w:numId="24">
    <w:abstractNumId w:val="5"/>
  </w:num>
  <w:num w:numId="25">
    <w:abstractNumId w:val="27"/>
  </w:num>
  <w:num w:numId="26">
    <w:abstractNumId w:val="21"/>
  </w:num>
  <w:num w:numId="27">
    <w:abstractNumId w:val="12"/>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18C2"/>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042F7"/>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12C"/>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1F7"/>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2E93"/>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F3CF-BFCD-45EC-9304-DB14B7CF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2676</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2017-08-08T16:51:00Z</dcterms:created>
  <dcterms:modified xsi:type="dcterms:W3CDTF">2017-08-08T16:56:00Z</dcterms:modified>
</cp:coreProperties>
</file>