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89319" w14:textId="77777777" w:rsidR="006635C4" w:rsidRDefault="006635C4" w:rsidP="00EE6CC3">
      <w:pPr>
        <w:pStyle w:val="Default"/>
        <w:jc w:val="both"/>
      </w:pPr>
    </w:p>
    <w:p w14:paraId="161FDA03" w14:textId="77777777" w:rsidR="006635C4" w:rsidRDefault="006635C4" w:rsidP="00EE6CC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DOLOŽKA ZLUČITEĽNOSTI</w:t>
      </w:r>
    </w:p>
    <w:p w14:paraId="5EFB53D8" w14:textId="77777777" w:rsidR="006635C4" w:rsidRDefault="006635C4" w:rsidP="00EE6CC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návrhu právneho predpisu s právom Európskej únie</w:t>
      </w:r>
    </w:p>
    <w:p w14:paraId="6ACC6C7E" w14:textId="77777777" w:rsidR="006635C4" w:rsidRDefault="006635C4" w:rsidP="00EE6CC3">
      <w:pPr>
        <w:pStyle w:val="Default"/>
        <w:jc w:val="both"/>
        <w:rPr>
          <w:sz w:val="23"/>
          <w:szCs w:val="23"/>
        </w:rPr>
      </w:pPr>
    </w:p>
    <w:p w14:paraId="3F6B149C" w14:textId="77777777" w:rsidR="006635C4" w:rsidRDefault="006635C4" w:rsidP="00EE6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Predkladateľ návrhu právneho predpisu: </w:t>
      </w:r>
    </w:p>
    <w:p w14:paraId="0A0281D0" w14:textId="5704D6A8" w:rsidR="006635C4" w:rsidRDefault="00EE6CC3" w:rsidP="00EE6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Ministerstvo zahraničných vecí a európskych záležitostí SR</w:t>
      </w:r>
      <w:r w:rsidR="006635C4">
        <w:rPr>
          <w:sz w:val="23"/>
          <w:szCs w:val="23"/>
        </w:rPr>
        <w:t xml:space="preserve">   </w:t>
      </w:r>
    </w:p>
    <w:p w14:paraId="7007CBEA" w14:textId="77777777" w:rsidR="006635C4" w:rsidRDefault="006635C4" w:rsidP="00EE6CC3">
      <w:pPr>
        <w:pStyle w:val="Default"/>
        <w:jc w:val="both"/>
        <w:rPr>
          <w:sz w:val="23"/>
          <w:szCs w:val="23"/>
        </w:rPr>
      </w:pPr>
    </w:p>
    <w:p w14:paraId="7626D514" w14:textId="77777777" w:rsidR="006635C4" w:rsidRDefault="006635C4" w:rsidP="00EE6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Názov návrhu právneho predpisu: </w:t>
      </w:r>
    </w:p>
    <w:p w14:paraId="4AC950E2" w14:textId="052AA313" w:rsidR="006635C4" w:rsidRDefault="00EE6CC3" w:rsidP="00EE6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Návrh z</w:t>
      </w:r>
      <w:r w:rsidR="006635C4">
        <w:rPr>
          <w:sz w:val="23"/>
          <w:szCs w:val="23"/>
        </w:rPr>
        <w:t>ákon</w:t>
      </w:r>
      <w:r>
        <w:rPr>
          <w:sz w:val="23"/>
          <w:szCs w:val="23"/>
        </w:rPr>
        <w:t>a</w:t>
      </w:r>
      <w:r w:rsidR="006635C4">
        <w:rPr>
          <w:sz w:val="23"/>
          <w:szCs w:val="23"/>
        </w:rPr>
        <w:t xml:space="preserve">, ktorým sa mení a dopĺňa zákon č. 151/2010 Z. z. </w:t>
      </w:r>
      <w:r w:rsidR="006635C4" w:rsidRPr="006635C4">
        <w:rPr>
          <w:sz w:val="23"/>
          <w:szCs w:val="23"/>
        </w:rPr>
        <w:t>o zahraničnej službe a o zmene a doplnení niektorých zákonov</w:t>
      </w:r>
      <w:r w:rsidR="006635C4">
        <w:rPr>
          <w:sz w:val="23"/>
          <w:szCs w:val="23"/>
        </w:rPr>
        <w:t xml:space="preserve"> v znení neskorších predpisov</w:t>
      </w:r>
    </w:p>
    <w:p w14:paraId="79872ECF" w14:textId="77777777" w:rsidR="005B1425" w:rsidRDefault="005B1425" w:rsidP="00EE6CC3">
      <w:pPr>
        <w:pStyle w:val="Default"/>
        <w:jc w:val="both"/>
        <w:rPr>
          <w:sz w:val="23"/>
          <w:szCs w:val="23"/>
        </w:rPr>
      </w:pPr>
    </w:p>
    <w:p w14:paraId="727EB9B4" w14:textId="7D066615" w:rsidR="006635C4" w:rsidRDefault="006635C4" w:rsidP="00EE6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Problematika návrhu právneho predpisu: </w:t>
      </w:r>
    </w:p>
    <w:p w14:paraId="02A71DAA" w14:textId="77777777" w:rsidR="00CD51DA" w:rsidRDefault="00CD51DA" w:rsidP="00EE6CC3">
      <w:pPr>
        <w:pStyle w:val="Default"/>
        <w:jc w:val="both"/>
        <w:rPr>
          <w:sz w:val="23"/>
          <w:szCs w:val="23"/>
        </w:rPr>
      </w:pPr>
    </w:p>
    <w:p w14:paraId="6029AC31" w14:textId="77777777" w:rsidR="006635C4" w:rsidRDefault="006635C4" w:rsidP="00EE6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je upravená v práve Európskej únie: </w:t>
      </w:r>
    </w:p>
    <w:p w14:paraId="39BFBECD" w14:textId="77777777" w:rsidR="006635C4" w:rsidRDefault="006635C4" w:rsidP="00EE6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primárnom</w:t>
      </w:r>
    </w:p>
    <w:p w14:paraId="0C0797A4" w14:textId="771B2094" w:rsidR="006635C4" w:rsidRDefault="006635C4" w:rsidP="00EE6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čl. </w:t>
      </w:r>
      <w:r w:rsidR="00997B4F">
        <w:rPr>
          <w:sz w:val="23"/>
          <w:szCs w:val="23"/>
        </w:rPr>
        <w:t xml:space="preserve">18, čl. </w:t>
      </w:r>
      <w:r w:rsidR="00CD51DA" w:rsidRPr="00CD51DA">
        <w:rPr>
          <w:sz w:val="23"/>
          <w:szCs w:val="23"/>
        </w:rPr>
        <w:t>20</w:t>
      </w:r>
      <w:r w:rsidR="004F2AFF">
        <w:rPr>
          <w:sz w:val="23"/>
          <w:szCs w:val="23"/>
        </w:rPr>
        <w:t>, čl. 21 ods. 2</w:t>
      </w:r>
      <w:r w:rsidR="00997B4F">
        <w:rPr>
          <w:sz w:val="23"/>
          <w:szCs w:val="23"/>
        </w:rPr>
        <w:t>,</w:t>
      </w:r>
      <w:r w:rsidR="004F2AFF">
        <w:rPr>
          <w:sz w:val="23"/>
          <w:szCs w:val="23"/>
        </w:rPr>
        <w:t xml:space="preserve"> </w:t>
      </w:r>
      <w:r w:rsidR="00CD51DA">
        <w:rPr>
          <w:sz w:val="23"/>
          <w:szCs w:val="23"/>
        </w:rPr>
        <w:t>čl. 23</w:t>
      </w:r>
      <w:r w:rsidR="00997B4F">
        <w:rPr>
          <w:sz w:val="23"/>
          <w:szCs w:val="23"/>
        </w:rPr>
        <w:t>, čl. 45, čl. 151 a čl. 153</w:t>
      </w:r>
      <w:r w:rsidR="00CD51DA">
        <w:rPr>
          <w:sz w:val="23"/>
          <w:szCs w:val="23"/>
        </w:rPr>
        <w:t xml:space="preserve"> </w:t>
      </w:r>
      <w:r w:rsidR="00CD51DA" w:rsidRPr="00CD51DA">
        <w:rPr>
          <w:sz w:val="23"/>
          <w:szCs w:val="23"/>
        </w:rPr>
        <w:t>Zmluvy o fungovaní Európskej únie</w:t>
      </w:r>
    </w:p>
    <w:p w14:paraId="1A5127E7" w14:textId="77777777" w:rsidR="006635C4" w:rsidRDefault="006635C4" w:rsidP="00EE6CC3">
      <w:pPr>
        <w:pStyle w:val="Default"/>
        <w:jc w:val="both"/>
        <w:rPr>
          <w:sz w:val="23"/>
          <w:szCs w:val="23"/>
        </w:rPr>
      </w:pPr>
    </w:p>
    <w:p w14:paraId="36747AAC" w14:textId="77777777" w:rsidR="00CD51DA" w:rsidRDefault="006635C4" w:rsidP="00EE6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sekundárnom (prijatom po nadobudnutí platnosti Lisabonskej zmluvy, ktorou sa mení a dopĺňa Zmluva o Európskej únii a Zmluva o založení Európskeho spoločenstva - po 30. novembri 2009)</w:t>
      </w:r>
    </w:p>
    <w:p w14:paraId="2D92E357" w14:textId="77777777" w:rsidR="006635C4" w:rsidRDefault="006635C4" w:rsidP="00EE6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72845B0" w14:textId="77777777" w:rsidR="006635C4" w:rsidRDefault="006635C4" w:rsidP="00EE6CC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legislatívne akty, </w:t>
      </w:r>
    </w:p>
    <w:p w14:paraId="5F065CE8" w14:textId="309C3D2A" w:rsidR="00CD51DA" w:rsidRDefault="00CD51DA" w:rsidP="00EE6CC3">
      <w:pPr>
        <w:pStyle w:val="Default"/>
        <w:spacing w:after="27"/>
        <w:jc w:val="both"/>
        <w:rPr>
          <w:sz w:val="23"/>
          <w:szCs w:val="23"/>
        </w:rPr>
      </w:pPr>
      <w:r w:rsidRPr="00CD51DA">
        <w:rPr>
          <w:sz w:val="23"/>
          <w:szCs w:val="23"/>
        </w:rPr>
        <w:t>Smernica Rady (EÚ) 2015/637 z 20. apríla 2015 o opatreniach koordinácie a spolupráce na uľahčenie konzulárnej ochrany nezastúpených občanov Únie v tretích krajinách a o zrušení rozhodnutia 95/553/ES</w:t>
      </w:r>
      <w:r>
        <w:rPr>
          <w:sz w:val="23"/>
          <w:szCs w:val="23"/>
        </w:rPr>
        <w:t xml:space="preserve"> (</w:t>
      </w:r>
      <w:r w:rsidRPr="00CD51DA">
        <w:rPr>
          <w:sz w:val="23"/>
          <w:szCs w:val="23"/>
        </w:rPr>
        <w:t>Ú. v. EÚ L 106, 24.4.2015</w:t>
      </w:r>
      <w:r>
        <w:rPr>
          <w:sz w:val="23"/>
          <w:szCs w:val="23"/>
        </w:rPr>
        <w:t>)</w:t>
      </w:r>
    </w:p>
    <w:p w14:paraId="3C06F261" w14:textId="77777777" w:rsidR="00504C4B" w:rsidRDefault="00504C4B" w:rsidP="00504C4B">
      <w:pPr>
        <w:pStyle w:val="Default"/>
        <w:jc w:val="both"/>
        <w:rPr>
          <w:sz w:val="23"/>
          <w:szCs w:val="23"/>
        </w:rPr>
      </w:pPr>
    </w:p>
    <w:p w14:paraId="607D2525" w14:textId="77777777" w:rsidR="00504C4B" w:rsidRDefault="00504C4B" w:rsidP="00504C4B">
      <w:pPr>
        <w:pStyle w:val="Default"/>
        <w:jc w:val="both"/>
        <w:rPr>
          <w:sz w:val="23"/>
          <w:szCs w:val="23"/>
        </w:rPr>
      </w:pPr>
      <w:r w:rsidRPr="00AD643E">
        <w:rPr>
          <w:sz w:val="23"/>
          <w:szCs w:val="23"/>
        </w:rPr>
        <w:t>Nariadenie Európskeho parlamentu a Rady (EÚ) č. 650/2012 zo 4. júla 2012 o právomoci, rozhodnom práve, uznávaní a výkone rozhodnutí a prijatí a výkone verejných listín v dedičských veciach a o zavedení európskeho osvedčenia o dedičstve (Ú. v. EÚ L 201, 27.7.2012) v platnom znení</w:t>
      </w:r>
    </w:p>
    <w:p w14:paraId="122726BF" w14:textId="77777777" w:rsidR="00CD51DA" w:rsidRDefault="00CD51DA" w:rsidP="00EE6CC3">
      <w:pPr>
        <w:pStyle w:val="Default"/>
        <w:spacing w:after="27"/>
        <w:jc w:val="both"/>
        <w:rPr>
          <w:sz w:val="23"/>
          <w:szCs w:val="23"/>
        </w:rPr>
      </w:pPr>
    </w:p>
    <w:p w14:paraId="03062789" w14:textId="77777777" w:rsidR="006635C4" w:rsidRDefault="006635C4" w:rsidP="00EE6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nelegislatívne akty, </w:t>
      </w:r>
    </w:p>
    <w:p w14:paraId="7187D7BF" w14:textId="77777777" w:rsidR="00504C4B" w:rsidRDefault="00504C4B" w:rsidP="00EE6CC3">
      <w:pPr>
        <w:pStyle w:val="Default"/>
        <w:jc w:val="both"/>
        <w:rPr>
          <w:sz w:val="23"/>
          <w:szCs w:val="23"/>
        </w:rPr>
      </w:pPr>
    </w:p>
    <w:p w14:paraId="684553AA" w14:textId="7487A812" w:rsidR="006635C4" w:rsidRDefault="006635C4" w:rsidP="00EE6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sekundárnom (prijatom pred nadobudnutím platnosti Lisabonskej zmluvy, ktorou sa mení a dopĺňa Zmluva o Európskej únii a Zmluva o založení Európskeho spolo</w:t>
      </w:r>
      <w:r w:rsidR="00B52E0A">
        <w:rPr>
          <w:sz w:val="23"/>
          <w:szCs w:val="23"/>
        </w:rPr>
        <w:t>čenstva - do 30. novembra 2009)</w:t>
      </w:r>
      <w:r>
        <w:rPr>
          <w:sz w:val="23"/>
          <w:szCs w:val="23"/>
        </w:rPr>
        <w:t xml:space="preserve"> </w:t>
      </w:r>
    </w:p>
    <w:p w14:paraId="61EBDCD4" w14:textId="77777777" w:rsidR="00997B4F" w:rsidRDefault="00997B4F" w:rsidP="00997B4F">
      <w:pPr>
        <w:pStyle w:val="Default"/>
        <w:jc w:val="both"/>
        <w:rPr>
          <w:sz w:val="23"/>
          <w:szCs w:val="23"/>
        </w:rPr>
      </w:pPr>
    </w:p>
    <w:p w14:paraId="16E6A619" w14:textId="466F6064" w:rsidR="00997B4F" w:rsidRPr="00997B4F" w:rsidRDefault="00997B4F" w:rsidP="00997B4F">
      <w:pPr>
        <w:pStyle w:val="Default"/>
        <w:jc w:val="both"/>
        <w:rPr>
          <w:sz w:val="23"/>
          <w:szCs w:val="23"/>
        </w:rPr>
      </w:pPr>
      <w:r w:rsidRPr="00997B4F">
        <w:rPr>
          <w:sz w:val="23"/>
          <w:szCs w:val="23"/>
        </w:rPr>
        <w:t>Nariadenie Európskeho parlamentu a Rady (ES) č. 810/2009 z 13. júla 2009, ktorým sa ustanovuje vízový kódex Spoločenstva (vízový kódex) (Ú. v. EÚ L 243, 15.9.2009) v platnom znení</w:t>
      </w:r>
      <w:r w:rsidR="00B52E0A">
        <w:rPr>
          <w:sz w:val="23"/>
          <w:szCs w:val="23"/>
        </w:rPr>
        <w:t>.</w:t>
      </w:r>
    </w:p>
    <w:p w14:paraId="297ECB80" w14:textId="77777777" w:rsidR="00997B4F" w:rsidRPr="00997B4F" w:rsidRDefault="00997B4F" w:rsidP="00997B4F">
      <w:pPr>
        <w:pStyle w:val="Default"/>
        <w:jc w:val="both"/>
        <w:rPr>
          <w:sz w:val="23"/>
          <w:szCs w:val="23"/>
        </w:rPr>
      </w:pPr>
    </w:p>
    <w:p w14:paraId="0051ACBE" w14:textId="39D1A589" w:rsidR="00997B4F" w:rsidRPr="00997B4F" w:rsidRDefault="00997B4F" w:rsidP="00997B4F">
      <w:pPr>
        <w:pStyle w:val="Default"/>
        <w:jc w:val="both"/>
        <w:rPr>
          <w:sz w:val="23"/>
          <w:szCs w:val="23"/>
        </w:rPr>
      </w:pPr>
      <w:r w:rsidRPr="00997B4F">
        <w:rPr>
          <w:sz w:val="23"/>
          <w:szCs w:val="23"/>
        </w:rPr>
        <w:t>Nariadenie Európskeho parlamentu a Rady (ES) č. 1393/2007 z 13. novembra 2007 o doručovaní súdnych a mimosúdnych písomností v občianskych a obchodných veciach v členských štátoch (doručovanie písomností) a o zrušení nariadenia Rady (ES) č. 1348/2000 (Ú. v. EÚ L 324, 10.12.2007) v platnom znení</w:t>
      </w:r>
      <w:r w:rsidR="00B52E0A">
        <w:rPr>
          <w:sz w:val="23"/>
          <w:szCs w:val="23"/>
        </w:rPr>
        <w:t>.</w:t>
      </w:r>
      <w:r w:rsidRPr="00997B4F">
        <w:rPr>
          <w:sz w:val="23"/>
          <w:szCs w:val="23"/>
        </w:rPr>
        <w:t xml:space="preserve"> </w:t>
      </w:r>
    </w:p>
    <w:p w14:paraId="585CB430" w14:textId="77777777" w:rsidR="00997B4F" w:rsidRPr="00997B4F" w:rsidRDefault="00997B4F" w:rsidP="00997B4F">
      <w:pPr>
        <w:pStyle w:val="Default"/>
        <w:jc w:val="both"/>
        <w:rPr>
          <w:sz w:val="23"/>
          <w:szCs w:val="23"/>
        </w:rPr>
      </w:pPr>
    </w:p>
    <w:p w14:paraId="777973FF" w14:textId="3AC83E01" w:rsidR="00997B4F" w:rsidRPr="00997B4F" w:rsidRDefault="00997B4F" w:rsidP="00997B4F">
      <w:pPr>
        <w:pStyle w:val="Default"/>
        <w:jc w:val="both"/>
        <w:rPr>
          <w:sz w:val="23"/>
          <w:szCs w:val="23"/>
        </w:rPr>
      </w:pPr>
      <w:r w:rsidRPr="00997B4F">
        <w:rPr>
          <w:sz w:val="23"/>
          <w:szCs w:val="23"/>
        </w:rPr>
        <w:t>Rozhodnutie predstaviteľov vlád členských štátov, ktorí s</w:t>
      </w:r>
      <w:r w:rsidR="00B52E0A">
        <w:rPr>
          <w:sz w:val="23"/>
          <w:szCs w:val="23"/>
        </w:rPr>
        <w:t>a zišli v rámci zasadnutia Rady</w:t>
      </w:r>
      <w:r w:rsidRPr="00997B4F">
        <w:rPr>
          <w:sz w:val="23"/>
          <w:szCs w:val="23"/>
        </w:rPr>
        <w:t xml:space="preserve"> z 19.</w:t>
      </w:r>
      <w:r w:rsidR="00B52E0A">
        <w:rPr>
          <w:sz w:val="23"/>
          <w:szCs w:val="23"/>
        </w:rPr>
        <w:t> </w:t>
      </w:r>
      <w:r w:rsidRPr="00997B4F">
        <w:rPr>
          <w:sz w:val="23"/>
          <w:szCs w:val="23"/>
        </w:rPr>
        <w:t>decembra 1995 o ochrane občanov Európskej únie prostredníctvom diplomatických a konzulárnych zastúpení (95/553/ES) (Ú. v. EÚ L 314 , 28.12.1995)</w:t>
      </w:r>
      <w:r w:rsidR="00B52E0A">
        <w:rPr>
          <w:sz w:val="23"/>
          <w:szCs w:val="23"/>
        </w:rPr>
        <w:t>.</w:t>
      </w:r>
      <w:r w:rsidRPr="00997B4F">
        <w:rPr>
          <w:sz w:val="23"/>
          <w:szCs w:val="23"/>
        </w:rPr>
        <w:t xml:space="preserve"> </w:t>
      </w:r>
    </w:p>
    <w:p w14:paraId="0963EEB5" w14:textId="77777777" w:rsidR="00997B4F" w:rsidRPr="00997B4F" w:rsidRDefault="00997B4F" w:rsidP="00997B4F">
      <w:pPr>
        <w:pStyle w:val="Default"/>
        <w:jc w:val="both"/>
        <w:rPr>
          <w:sz w:val="23"/>
          <w:szCs w:val="23"/>
        </w:rPr>
      </w:pPr>
    </w:p>
    <w:p w14:paraId="59C94CFA" w14:textId="2EFF7FE9" w:rsidR="00997B4F" w:rsidRPr="00997B4F" w:rsidRDefault="00997B4F" w:rsidP="00997B4F">
      <w:pPr>
        <w:pStyle w:val="Default"/>
        <w:jc w:val="both"/>
        <w:rPr>
          <w:sz w:val="23"/>
          <w:szCs w:val="23"/>
        </w:rPr>
      </w:pPr>
      <w:r w:rsidRPr="00997B4F">
        <w:rPr>
          <w:sz w:val="23"/>
          <w:szCs w:val="23"/>
        </w:rPr>
        <w:t>Smernica Rady 2000/43/ES z 29. júna 2000, ktorou sa zavádza zásada rovnakého zaobchádzania s osobami bez ohľadu na rasový alebo etnický pôvod (Ú. v. ES L 180, 19.7.2000, Mimoriadne vydanie v slovenskom jazyku: Kapitola 20 Zväzok 001)</w:t>
      </w:r>
      <w:r w:rsidR="00B52E0A">
        <w:rPr>
          <w:sz w:val="23"/>
          <w:szCs w:val="23"/>
        </w:rPr>
        <w:t>.</w:t>
      </w:r>
      <w:r w:rsidRPr="00997B4F">
        <w:rPr>
          <w:sz w:val="23"/>
          <w:szCs w:val="23"/>
        </w:rPr>
        <w:t xml:space="preserve"> </w:t>
      </w:r>
    </w:p>
    <w:p w14:paraId="1A9AE7A4" w14:textId="77777777" w:rsidR="00997B4F" w:rsidRPr="00997B4F" w:rsidRDefault="00997B4F" w:rsidP="00997B4F">
      <w:pPr>
        <w:pStyle w:val="Default"/>
        <w:jc w:val="both"/>
        <w:rPr>
          <w:sz w:val="23"/>
          <w:szCs w:val="23"/>
        </w:rPr>
      </w:pPr>
    </w:p>
    <w:p w14:paraId="43B549BB" w14:textId="1ADAD56E" w:rsidR="00997B4F" w:rsidRPr="00997B4F" w:rsidRDefault="00997B4F" w:rsidP="00997B4F">
      <w:pPr>
        <w:pStyle w:val="Default"/>
        <w:jc w:val="both"/>
        <w:rPr>
          <w:sz w:val="23"/>
          <w:szCs w:val="23"/>
        </w:rPr>
      </w:pPr>
      <w:r w:rsidRPr="00997B4F">
        <w:rPr>
          <w:sz w:val="23"/>
          <w:szCs w:val="23"/>
        </w:rPr>
        <w:t>Smernica Rady 2000/78/ES z 27. novembra 2000, ktorá ustanovuje všeobecný rámec pre rovnaké zaobchádzanie v zamestnaní a povolaní (Ú. v. ES L 303, 2.12.2000, Mimoriadne vydanie  slovenskom jazyku: Kapitola 05 Zväzok 004)</w:t>
      </w:r>
      <w:r w:rsidR="00B52E0A">
        <w:rPr>
          <w:sz w:val="23"/>
          <w:szCs w:val="23"/>
        </w:rPr>
        <w:t>.</w:t>
      </w:r>
    </w:p>
    <w:p w14:paraId="1CDA6BE5" w14:textId="77777777" w:rsidR="00997B4F" w:rsidRPr="00997B4F" w:rsidRDefault="00997B4F" w:rsidP="00997B4F">
      <w:pPr>
        <w:pStyle w:val="Default"/>
        <w:jc w:val="both"/>
        <w:rPr>
          <w:sz w:val="23"/>
          <w:szCs w:val="23"/>
        </w:rPr>
      </w:pPr>
    </w:p>
    <w:p w14:paraId="0269E552" w14:textId="77777777" w:rsidR="00997B4F" w:rsidRPr="00997B4F" w:rsidRDefault="00997B4F" w:rsidP="00997B4F">
      <w:pPr>
        <w:pStyle w:val="Default"/>
        <w:jc w:val="both"/>
        <w:rPr>
          <w:sz w:val="23"/>
          <w:szCs w:val="23"/>
        </w:rPr>
      </w:pPr>
      <w:r w:rsidRPr="00997B4F">
        <w:rPr>
          <w:sz w:val="23"/>
          <w:szCs w:val="23"/>
        </w:rPr>
        <w:t xml:space="preserve">Smernica Európskeho parlamentu a Rady 2006/54/ES z 5. júla 2006 o vykonávaní zásady rovnosti príležitostí a rovnakého zaobchádzania s mužmi a ženami vo veciach zamestnanosti a povolania (prepracované znenie) (Ú. v. EÚ L 204, 26. 7. 2006). </w:t>
      </w:r>
    </w:p>
    <w:p w14:paraId="338F25F3" w14:textId="77777777" w:rsidR="00997B4F" w:rsidRDefault="00997B4F" w:rsidP="00997B4F">
      <w:pPr>
        <w:pStyle w:val="Default"/>
        <w:jc w:val="both"/>
        <w:rPr>
          <w:sz w:val="23"/>
          <w:szCs w:val="23"/>
        </w:rPr>
      </w:pPr>
    </w:p>
    <w:p w14:paraId="76ED6883" w14:textId="561A2AB2" w:rsidR="00C81565" w:rsidRPr="00AD643E" w:rsidRDefault="00C81565" w:rsidP="00C81565">
      <w:pPr>
        <w:pStyle w:val="Default"/>
        <w:jc w:val="both"/>
        <w:rPr>
          <w:sz w:val="23"/>
          <w:szCs w:val="23"/>
        </w:rPr>
      </w:pPr>
      <w:r w:rsidRPr="00AD643E">
        <w:rPr>
          <w:sz w:val="23"/>
          <w:szCs w:val="23"/>
        </w:rPr>
        <w:t xml:space="preserve">Rozhodnutie zástupcov vlád členských štátov EÚ, ktorí sa zišli na zasadnutí Rady 96/409/SZBP z 25. júna 1996 o zavedení </w:t>
      </w:r>
      <w:r w:rsidR="00125DE4" w:rsidRPr="00AD643E">
        <w:rPr>
          <w:sz w:val="23"/>
          <w:szCs w:val="23"/>
        </w:rPr>
        <w:t xml:space="preserve">náhradného </w:t>
      </w:r>
      <w:r w:rsidRPr="00AD643E">
        <w:rPr>
          <w:sz w:val="23"/>
          <w:szCs w:val="23"/>
        </w:rPr>
        <w:t>cestovného preukazu (Ú. v. ES L 168, 6.7.1996, Mimoriadne vydanie v slovenskom jazyku: Kapitola 18 Zväzok 001) v platnom znení.</w:t>
      </w:r>
    </w:p>
    <w:p w14:paraId="45373084" w14:textId="77777777" w:rsidR="00C81565" w:rsidRPr="00AD643E" w:rsidRDefault="00C81565" w:rsidP="00997B4F">
      <w:pPr>
        <w:pStyle w:val="Default"/>
        <w:jc w:val="both"/>
        <w:rPr>
          <w:sz w:val="23"/>
          <w:szCs w:val="23"/>
        </w:rPr>
      </w:pPr>
    </w:p>
    <w:p w14:paraId="2E765A12" w14:textId="3083A2E8" w:rsidR="005B1425" w:rsidRPr="00AD643E" w:rsidRDefault="00997B4F" w:rsidP="00997B4F">
      <w:pPr>
        <w:pStyle w:val="Default"/>
        <w:jc w:val="both"/>
        <w:rPr>
          <w:sz w:val="23"/>
          <w:szCs w:val="23"/>
        </w:rPr>
      </w:pPr>
      <w:r w:rsidRPr="00AD643E">
        <w:rPr>
          <w:sz w:val="23"/>
          <w:szCs w:val="23"/>
        </w:rPr>
        <w:t>Smernica Rady 91/533/EHS zo 14. októbra 1991 o povinnosti zamestnávateľa informovať zamestnancov o podmienkach vzťahujúcich sa na zmluvu alebo na pracovno-právny vzťah (Ú. v. ES L 288, 18.10.1991, Mimoriadne vydanie v slovenskom jazyku: Kapitola 05 Zväzok 002).</w:t>
      </w:r>
    </w:p>
    <w:p w14:paraId="450D7BB8" w14:textId="77777777" w:rsidR="00997B4F" w:rsidRPr="00AD643E" w:rsidRDefault="00997B4F" w:rsidP="00997B4F">
      <w:pPr>
        <w:pStyle w:val="Default"/>
        <w:jc w:val="both"/>
        <w:rPr>
          <w:sz w:val="23"/>
          <w:szCs w:val="23"/>
        </w:rPr>
      </w:pPr>
    </w:p>
    <w:p w14:paraId="230B6643" w14:textId="77777777" w:rsidR="006635C4" w:rsidRPr="00AD643E" w:rsidRDefault="00CD51DA" w:rsidP="00EE6CC3">
      <w:pPr>
        <w:pStyle w:val="Default"/>
        <w:jc w:val="both"/>
        <w:rPr>
          <w:sz w:val="23"/>
          <w:szCs w:val="23"/>
        </w:rPr>
      </w:pPr>
      <w:r w:rsidRPr="00AD643E">
        <w:rPr>
          <w:sz w:val="23"/>
          <w:szCs w:val="23"/>
        </w:rPr>
        <w:t xml:space="preserve">b) </w:t>
      </w:r>
      <w:r w:rsidR="006635C4" w:rsidRPr="00AD643E">
        <w:rPr>
          <w:sz w:val="23"/>
          <w:szCs w:val="23"/>
        </w:rPr>
        <w:t xml:space="preserve">nie je obsiahnutá v judikatúre Súdneho dvora Európskej únie. </w:t>
      </w:r>
    </w:p>
    <w:p w14:paraId="075EECB6" w14:textId="77777777" w:rsidR="006635C4" w:rsidRPr="00AD643E" w:rsidRDefault="006635C4" w:rsidP="00EE6CC3">
      <w:pPr>
        <w:pStyle w:val="Default"/>
        <w:jc w:val="both"/>
        <w:rPr>
          <w:sz w:val="23"/>
          <w:szCs w:val="23"/>
        </w:rPr>
      </w:pPr>
    </w:p>
    <w:p w14:paraId="5FABC9D2" w14:textId="77777777" w:rsidR="006635C4" w:rsidRPr="00AD643E" w:rsidRDefault="006635C4" w:rsidP="00EE6CC3">
      <w:pPr>
        <w:pStyle w:val="Default"/>
        <w:jc w:val="both"/>
        <w:rPr>
          <w:sz w:val="23"/>
          <w:szCs w:val="23"/>
        </w:rPr>
      </w:pPr>
      <w:r w:rsidRPr="00AD643E">
        <w:rPr>
          <w:sz w:val="23"/>
          <w:szCs w:val="23"/>
        </w:rPr>
        <w:t xml:space="preserve">4. Záväzky Slovenskej republiky vo vzťahu k Európskej únii: </w:t>
      </w:r>
    </w:p>
    <w:p w14:paraId="57262DF5" w14:textId="77777777" w:rsidR="005B1425" w:rsidRPr="00AD643E" w:rsidRDefault="005B1425" w:rsidP="00EE6CC3">
      <w:pPr>
        <w:pStyle w:val="Default"/>
        <w:spacing w:after="27"/>
        <w:jc w:val="both"/>
        <w:rPr>
          <w:sz w:val="23"/>
          <w:szCs w:val="23"/>
        </w:rPr>
      </w:pPr>
    </w:p>
    <w:p w14:paraId="5C6A76F9" w14:textId="0A220BAA" w:rsidR="006635C4" w:rsidRPr="00AD643E" w:rsidRDefault="006635C4" w:rsidP="00EE6CC3">
      <w:pPr>
        <w:pStyle w:val="Default"/>
        <w:spacing w:after="27"/>
        <w:jc w:val="both"/>
        <w:rPr>
          <w:sz w:val="23"/>
          <w:szCs w:val="23"/>
        </w:rPr>
      </w:pPr>
      <w:r w:rsidRPr="00AD643E">
        <w:rPr>
          <w:sz w:val="23"/>
          <w:szCs w:val="23"/>
        </w:rPr>
        <w:t>a) lehota na prebratie smernice alebo lehota na implem</w:t>
      </w:r>
      <w:r w:rsidR="00CD51DA" w:rsidRPr="00AD643E">
        <w:rPr>
          <w:sz w:val="23"/>
          <w:szCs w:val="23"/>
        </w:rPr>
        <w:t>entáciu nariadenia alebo rozhod</w:t>
      </w:r>
      <w:r w:rsidRPr="00AD643E">
        <w:rPr>
          <w:sz w:val="23"/>
          <w:szCs w:val="23"/>
        </w:rPr>
        <w:t xml:space="preserve">nutia, </w:t>
      </w:r>
    </w:p>
    <w:p w14:paraId="583A90E3" w14:textId="77777777" w:rsidR="00B52E0A" w:rsidRPr="00AD643E" w:rsidRDefault="00B52E0A" w:rsidP="00EE6CC3">
      <w:pPr>
        <w:pStyle w:val="Default"/>
        <w:spacing w:after="27"/>
        <w:jc w:val="both"/>
        <w:rPr>
          <w:sz w:val="23"/>
          <w:szCs w:val="23"/>
        </w:rPr>
      </w:pPr>
    </w:p>
    <w:p w14:paraId="7B6307B1" w14:textId="77777777" w:rsidR="00CD51DA" w:rsidRPr="00AD643E" w:rsidRDefault="00CD51DA" w:rsidP="00B52E0A">
      <w:pPr>
        <w:pStyle w:val="Default"/>
        <w:spacing w:after="27"/>
        <w:jc w:val="both"/>
        <w:rPr>
          <w:sz w:val="23"/>
          <w:szCs w:val="23"/>
        </w:rPr>
      </w:pPr>
      <w:r w:rsidRPr="00AD643E">
        <w:rPr>
          <w:sz w:val="23"/>
          <w:szCs w:val="23"/>
        </w:rPr>
        <w:t>Smernica Rady (EÚ) 2015/637 z 20. apríla 2015 o opatreniach koordinácie a spolupráce na uľahčenie konzulárnej ochrany nezastúpených občanov Únie v tretích krajinách a o zrušení rozhodnutia 95/553/ES – termín pre transpozíciu je 1. 5. 2018</w:t>
      </w:r>
    </w:p>
    <w:p w14:paraId="212B1E51" w14:textId="77777777" w:rsidR="00CD51DA" w:rsidRPr="00AD643E" w:rsidRDefault="00CD51DA" w:rsidP="00EE6CC3">
      <w:pPr>
        <w:pStyle w:val="Default"/>
        <w:spacing w:after="27"/>
        <w:jc w:val="both"/>
        <w:rPr>
          <w:sz w:val="23"/>
          <w:szCs w:val="23"/>
        </w:rPr>
      </w:pPr>
    </w:p>
    <w:p w14:paraId="0E36DD93" w14:textId="77777777" w:rsidR="00CD51DA" w:rsidRPr="00AD643E" w:rsidRDefault="006635C4" w:rsidP="00EE6CC3">
      <w:pPr>
        <w:pStyle w:val="Default"/>
        <w:spacing w:after="27"/>
        <w:jc w:val="both"/>
        <w:rPr>
          <w:sz w:val="23"/>
          <w:szCs w:val="23"/>
        </w:rPr>
      </w:pPr>
      <w:r w:rsidRPr="00AD643E">
        <w:rPr>
          <w:sz w:val="23"/>
          <w:szCs w:val="23"/>
        </w:rPr>
        <w:t>b) lehota určená na predloženie návrhu právneho predpisu na rokovanie vlády podľ</w:t>
      </w:r>
      <w:r w:rsidR="00CD51DA" w:rsidRPr="00AD643E">
        <w:rPr>
          <w:sz w:val="23"/>
          <w:szCs w:val="23"/>
        </w:rPr>
        <w:t>a ur</w:t>
      </w:r>
      <w:r w:rsidRPr="00AD643E">
        <w:rPr>
          <w:sz w:val="23"/>
          <w:szCs w:val="23"/>
        </w:rPr>
        <w:t>čenia gestorských ústredných orgánov štátnej správy zodpovedných za transpozíciu smerníc a vypracovanie tabuliek zhody k návrhom všeobecne záväzných právnych predpisov,</w:t>
      </w:r>
    </w:p>
    <w:p w14:paraId="69DF0334" w14:textId="33F6878A" w:rsidR="00CD51DA" w:rsidRPr="00AD643E" w:rsidRDefault="005B1425" w:rsidP="00EE6CC3">
      <w:pPr>
        <w:pStyle w:val="Default"/>
        <w:spacing w:after="27"/>
        <w:jc w:val="both"/>
        <w:rPr>
          <w:sz w:val="23"/>
          <w:szCs w:val="23"/>
        </w:rPr>
      </w:pPr>
      <w:r w:rsidRPr="00AD643E">
        <w:rPr>
          <w:sz w:val="23"/>
          <w:szCs w:val="23"/>
        </w:rPr>
        <w:t xml:space="preserve">31. </w:t>
      </w:r>
      <w:r w:rsidR="00EE6CC3" w:rsidRPr="00AD643E">
        <w:rPr>
          <w:sz w:val="23"/>
          <w:szCs w:val="23"/>
        </w:rPr>
        <w:t>8</w:t>
      </w:r>
      <w:r w:rsidRPr="00AD643E">
        <w:rPr>
          <w:sz w:val="23"/>
          <w:szCs w:val="23"/>
        </w:rPr>
        <w:t>. 201</w:t>
      </w:r>
      <w:r w:rsidR="00EE6CC3" w:rsidRPr="00AD643E">
        <w:rPr>
          <w:sz w:val="23"/>
          <w:szCs w:val="23"/>
        </w:rPr>
        <w:t>7</w:t>
      </w:r>
    </w:p>
    <w:p w14:paraId="2B8AC193" w14:textId="77777777" w:rsidR="006635C4" w:rsidRPr="00AD643E" w:rsidRDefault="006635C4" w:rsidP="00EE6CC3">
      <w:pPr>
        <w:pStyle w:val="Default"/>
        <w:spacing w:after="27"/>
        <w:jc w:val="both"/>
        <w:rPr>
          <w:sz w:val="23"/>
          <w:szCs w:val="23"/>
        </w:rPr>
      </w:pPr>
      <w:r w:rsidRPr="00AD643E">
        <w:rPr>
          <w:sz w:val="23"/>
          <w:szCs w:val="23"/>
        </w:rPr>
        <w:t xml:space="preserve"> </w:t>
      </w:r>
    </w:p>
    <w:p w14:paraId="0530FC86" w14:textId="77777777" w:rsidR="006635C4" w:rsidRPr="00AD643E" w:rsidRDefault="006635C4" w:rsidP="00EE6CC3">
      <w:pPr>
        <w:pStyle w:val="Default"/>
        <w:spacing w:after="27"/>
        <w:jc w:val="both"/>
        <w:rPr>
          <w:sz w:val="23"/>
          <w:szCs w:val="23"/>
        </w:rPr>
      </w:pPr>
      <w:r w:rsidRPr="00AD643E">
        <w:rPr>
          <w:sz w:val="23"/>
          <w:szCs w:val="23"/>
        </w:rPr>
        <w:t xml:space="preserve">c) informácia o konaní začatom proti Slovenskej republike o porušení podľa čl. 258 až 260 Zmluvy o fungovaní Európskej únie, </w:t>
      </w:r>
    </w:p>
    <w:p w14:paraId="4354452B" w14:textId="42FF9389" w:rsidR="00CD51DA" w:rsidRPr="00AD643E" w:rsidRDefault="00E87A6B" w:rsidP="00EE6CC3">
      <w:pPr>
        <w:pStyle w:val="Default"/>
        <w:spacing w:after="27"/>
        <w:jc w:val="both"/>
        <w:rPr>
          <w:sz w:val="23"/>
          <w:szCs w:val="23"/>
        </w:rPr>
      </w:pPr>
      <w:r w:rsidRPr="00AD643E">
        <w:rPr>
          <w:sz w:val="23"/>
          <w:szCs w:val="23"/>
        </w:rPr>
        <w:t>konanie nebolo začaté</w:t>
      </w:r>
    </w:p>
    <w:p w14:paraId="3CBCA92D" w14:textId="77777777" w:rsidR="00E87A6B" w:rsidRPr="00AD643E" w:rsidRDefault="00E87A6B" w:rsidP="00EE6CC3">
      <w:pPr>
        <w:pStyle w:val="Default"/>
        <w:spacing w:after="27"/>
        <w:jc w:val="both"/>
        <w:rPr>
          <w:sz w:val="23"/>
          <w:szCs w:val="23"/>
        </w:rPr>
      </w:pPr>
    </w:p>
    <w:p w14:paraId="12EE6E12" w14:textId="77777777" w:rsidR="006635C4" w:rsidRPr="00AD643E" w:rsidRDefault="006635C4" w:rsidP="00EE6CC3">
      <w:pPr>
        <w:pStyle w:val="Default"/>
        <w:jc w:val="both"/>
        <w:rPr>
          <w:sz w:val="23"/>
          <w:szCs w:val="23"/>
        </w:rPr>
      </w:pPr>
      <w:r w:rsidRPr="00AD643E">
        <w:rPr>
          <w:sz w:val="23"/>
          <w:szCs w:val="23"/>
        </w:rPr>
        <w:t>d) informácia o prá</w:t>
      </w:r>
      <w:bookmarkStart w:id="0" w:name="_GoBack"/>
      <w:bookmarkEnd w:id="0"/>
      <w:r w:rsidRPr="00AD643E">
        <w:rPr>
          <w:sz w:val="23"/>
          <w:szCs w:val="23"/>
        </w:rPr>
        <w:t xml:space="preserve">vnych predpisoch, v ktorých sú preberané smernice už prebraté spolu s uvedením rozsahu tohto prebratia. </w:t>
      </w:r>
    </w:p>
    <w:p w14:paraId="60016E25" w14:textId="6D30336E" w:rsidR="006635C4" w:rsidRPr="00AD643E" w:rsidRDefault="003609EE" w:rsidP="00AD643E">
      <w:pPr>
        <w:pStyle w:val="Default"/>
        <w:tabs>
          <w:tab w:val="left" w:pos="1755"/>
        </w:tabs>
        <w:jc w:val="both"/>
        <w:rPr>
          <w:sz w:val="23"/>
          <w:szCs w:val="23"/>
        </w:rPr>
      </w:pPr>
      <w:r w:rsidRPr="00AD643E">
        <w:rPr>
          <w:sz w:val="23"/>
          <w:szCs w:val="23"/>
        </w:rPr>
        <w:t>bezpredmetné</w:t>
      </w:r>
      <w:r w:rsidR="00AD643E" w:rsidRPr="00AD643E">
        <w:rPr>
          <w:sz w:val="23"/>
          <w:szCs w:val="23"/>
        </w:rPr>
        <w:tab/>
      </w:r>
    </w:p>
    <w:p w14:paraId="068D1779" w14:textId="77777777" w:rsidR="005B1425" w:rsidRPr="00AD643E" w:rsidRDefault="005B1425" w:rsidP="00EE6CC3">
      <w:pPr>
        <w:pStyle w:val="Default"/>
        <w:jc w:val="both"/>
        <w:rPr>
          <w:sz w:val="23"/>
          <w:szCs w:val="23"/>
        </w:rPr>
      </w:pPr>
    </w:p>
    <w:p w14:paraId="31EB77D4" w14:textId="77777777" w:rsidR="006635C4" w:rsidRDefault="006635C4" w:rsidP="00EE6CC3">
      <w:pPr>
        <w:pStyle w:val="Default"/>
        <w:jc w:val="both"/>
        <w:rPr>
          <w:sz w:val="23"/>
          <w:szCs w:val="23"/>
        </w:rPr>
      </w:pPr>
      <w:r w:rsidRPr="00AD643E">
        <w:rPr>
          <w:sz w:val="23"/>
          <w:szCs w:val="23"/>
        </w:rPr>
        <w:t>5. Stupeň zlučiteľnosti návrhu právneho predpisu alebo návrhu legislatívneho zámeru s právom Európskej únie:</w:t>
      </w:r>
      <w:r>
        <w:rPr>
          <w:sz w:val="23"/>
          <w:szCs w:val="23"/>
        </w:rPr>
        <w:t xml:space="preserve"> </w:t>
      </w:r>
    </w:p>
    <w:p w14:paraId="3D945424" w14:textId="624C4535" w:rsidR="006635C4" w:rsidRDefault="00EE6CC3" w:rsidP="00EE6CC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úpl</w:t>
      </w:r>
      <w:r w:rsidR="006635C4">
        <w:rPr>
          <w:sz w:val="23"/>
          <w:szCs w:val="23"/>
        </w:rPr>
        <w:t xml:space="preserve">ný </w:t>
      </w:r>
    </w:p>
    <w:p w14:paraId="53EBAA5C" w14:textId="12F38063" w:rsidR="00A8101C" w:rsidRDefault="00A8101C" w:rsidP="00EE6CC3">
      <w:pPr>
        <w:pStyle w:val="Default"/>
        <w:spacing w:after="27"/>
        <w:jc w:val="both"/>
        <w:rPr>
          <w:sz w:val="23"/>
          <w:szCs w:val="23"/>
        </w:rPr>
      </w:pPr>
    </w:p>
    <w:p w14:paraId="7E6CC9E2" w14:textId="1EFA488B" w:rsidR="006635C4" w:rsidRDefault="00A8101C" w:rsidP="00EE6CC3">
      <w:pPr>
        <w:pStyle w:val="Default"/>
        <w:jc w:val="both"/>
        <w:rPr>
          <w:color w:val="auto"/>
        </w:rPr>
      </w:pPr>
      <w:r w:rsidRPr="00A8101C">
        <w:rPr>
          <w:color w:val="auto"/>
        </w:rPr>
        <w:t>6. Gestor a spolupracujúce rezorty</w:t>
      </w:r>
    </w:p>
    <w:p w14:paraId="02BDBBE4" w14:textId="141C02B9" w:rsidR="00A8101C" w:rsidRPr="00A8101C" w:rsidRDefault="00A8101C" w:rsidP="00EE6CC3">
      <w:pPr>
        <w:pStyle w:val="Default"/>
        <w:jc w:val="both"/>
        <w:rPr>
          <w:color w:val="auto"/>
        </w:rPr>
      </w:pPr>
      <w:r w:rsidRPr="00A8101C">
        <w:rPr>
          <w:color w:val="auto"/>
        </w:rPr>
        <w:t xml:space="preserve">Ministerstvo zahraničných </w:t>
      </w:r>
      <w:r>
        <w:rPr>
          <w:color w:val="auto"/>
        </w:rPr>
        <w:t>vecí a európskych záležitostí SR</w:t>
      </w:r>
    </w:p>
    <w:sectPr w:rsidR="00A8101C" w:rsidRPr="00A8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F9"/>
    <w:rsid w:val="00011E7C"/>
    <w:rsid w:val="00125DE4"/>
    <w:rsid w:val="003609EE"/>
    <w:rsid w:val="003E0A09"/>
    <w:rsid w:val="004F2AFF"/>
    <w:rsid w:val="00504C4B"/>
    <w:rsid w:val="0056399C"/>
    <w:rsid w:val="005B1425"/>
    <w:rsid w:val="006635C4"/>
    <w:rsid w:val="007E0EFF"/>
    <w:rsid w:val="00997B4F"/>
    <w:rsid w:val="00A8101C"/>
    <w:rsid w:val="00AD643E"/>
    <w:rsid w:val="00B52E0A"/>
    <w:rsid w:val="00C81565"/>
    <w:rsid w:val="00CD51DA"/>
    <w:rsid w:val="00D844BB"/>
    <w:rsid w:val="00E87A6B"/>
    <w:rsid w:val="00EA4AF9"/>
    <w:rsid w:val="00EC1A15"/>
    <w:rsid w:val="00E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4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63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635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35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35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35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35C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5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63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635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35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35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35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35C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_zlucitelnosti"/>
    <f:field ref="objsubject" par="" edit="true" text=""/>
    <f:field ref="objcreatedby" par="" text="Valla, Viktor, Mgr."/>
    <f:field ref="objcreatedat" par="" text="2.6.2017 11:15:35"/>
    <f:field ref="objchangedby" par="" text="Administrator, System"/>
    <f:field ref="objmodifiedat" par="" text="2.6.2017 11:15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9B1D9C9-2C4F-4517-814D-F7DF4F30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Lysina Peter /OPEU/MZV</dc:creator>
  <cp:lastModifiedBy>Viktor VALLA</cp:lastModifiedBy>
  <cp:revision>2</cp:revision>
  <dcterms:created xsi:type="dcterms:W3CDTF">2017-08-16T12:17:00Z</dcterms:created>
  <dcterms:modified xsi:type="dcterms:W3CDTF">2017-08-16T12:17:00Z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&lt;h2 style="text-align: center;"&gt;&lt;strong&gt;Scenár 1: Verejnosť je informovaná o tvorbe právneho predpisu&lt;/strong&gt;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Medzinárodné právo_x000d_
Právo EÚ_x000d_
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Viktor Valla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151/2010 Z. z. o zahraničnej službe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>Ministerstvo zahraničných vecí a európskych záležitostí Slovenskej republiky, Ministerstvo zahraničných vecí a európskych záležitostí Slovenskej republiky, Ministerstvo zahraničných vecí a európskych záležitostí Slovenskej republiky, Ministerstvo zahranič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2017</vt:lpwstr>
  </property>
  <property fmtid="{D5CDD505-2E9C-101B-9397-08002B2CF9AE}" pid="23" name="FSC#SKEDITIONSLOVLEX@103.510:plnynazovpredpis">
    <vt:lpwstr> Zákon, ktorým sa mení a dopĺňa zákon č. 151/2010 Z. z. o zahraničnej službe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014783/2017-LEG1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LP/2017/154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18, čl. 20, čl. 21 ods. 2, čl. 23, čl. 45, čl. 151 a čl. 153 Zmluvy o fungovaní Európskej únie</vt:lpwstr>
  </property>
  <property fmtid="{D5CDD505-2E9C-101B-9397-08002B2CF9AE}" pid="47" name="FSC#SKEDITIONSLOVLEX@103.510:AttrStrListDocPropSekundarneLegPravoPO">
    <vt:lpwstr>Smernica Rady (EÚ) 2015/637 z 20. apríla 2015 o opatreniach koordinácie a spolupráce na uľahčenie konzulárnej ochrany nezastúpených občanov Únie v tretích krajinách a o zrušení rozhodnutia 95/553/ES (Ú. v. EÚ L 106, 24.4.2015, s. 1 – 13)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Európskeho parlamentu a Rady (ES) č. 810/2009 z 13. júla 2009, ktorým sa ustanovuje vízový kódex Spoločenstva (vízový kódex) (Ú. v. EÚ L 243, 15.9.2009) v platnom znení_x000d_
Nariadenie Európskeho parlamentu a Rady (ES) č. 1393/2007 z 13. novembra 2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Smernica Rady (EÚ) 2015/637 z 20. apríla 2015 o opatreniach koordinácie a spolupráce na uľahčenie konzulárnej ochrany nezastúpených občanov Únie v tretích krajinách a o zrušení rozhodnutia 95/553/ES – termín pre transpozíciu je 1. 5. 2018</vt:lpwstr>
  </property>
  <property fmtid="{D5CDD505-2E9C-101B-9397-08002B2CF9AE}" pid="53" name="FSC#SKEDITIONSLOVLEX@103.510:AttrStrListDocPropLehotaNaPredlozenie">
    <vt:lpwstr>31. 8. 2017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uvedením rozsahu tohto prebratia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zahraničných vecí a európskych záležitostí Slovenskej republiky</vt:lpwstr>
  </property>
  <property fmtid="{D5CDD505-2E9C-101B-9397-08002B2CF9AE}" pid="58" name="FSC#SKEDITIONSLOVLEX@103.510:AttrDateDocPropZaciatokPKK">
    <vt:lpwstr>15. 6. 2017</vt:lpwstr>
  </property>
  <property fmtid="{D5CDD505-2E9C-101B-9397-08002B2CF9AE}" pid="59" name="FSC#SKEDITIONSLOVLEX@103.510:AttrDateDocPropUkonceniePKK">
    <vt:lpwstr>28. 6. 2017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Neboli posudzované alternatívne riešenia.</vt:lpwstr>
  </property>
  <property fmtid="{D5CDD505-2E9C-101B-9397-08002B2CF9AE}" pid="67" name="FSC#SKEDITIONSLOVLEX@103.510:AttrStrListDocPropStanoviskoGest">
    <vt:lpwstr>Komisia pre posudzovanie vybraných vplyvov vyslovila s predloženým materiálom súhlasné stanovisko. Pripomienka Komisie k bodu 4.1 týkajúca sa doplnenia opisu hodnoteného opatrenia a kvantifikácie jeho sociálneho vplyvu (v časti týkajúcej sa kvantifikácie)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151/2010 Z. z. o zahraničnej službe a o zmene a doplnení niektorých zákonov v znení neskorších predpisov.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zahraničných vecí a&amp;nbsp;európskych záležitostí Slovenskej republiky (ďalej len „ministerstvo“) predkladá do medzirezortného pripomienkového konania návrh zákona, ktorým sa mení a dopĺňa zákon č. 151/2010 Z. z.</vt:lpwstr>
  </property>
  <property fmtid="{D5CDD505-2E9C-101B-9397-08002B2CF9AE}" pid="150" name="FSC#COOSYSTEM@1.1:Container">
    <vt:lpwstr>COO.2145.1000.3.1996264</vt:lpwstr>
  </property>
  <property fmtid="{D5CDD505-2E9C-101B-9397-08002B2CF9AE}" pid="151" name="FSC#FSCFOLIO@1.1001:docpropproject">
    <vt:lpwstr/>
  </property>
</Properties>
</file>