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5543" w:rsidRPr="00F04CCD" w14:paraId="644DBCD8" w14:textId="77777777" w:rsidTr="007B62AD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F228EEA" w14:textId="77777777" w:rsidR="00665543" w:rsidRPr="00042C66" w:rsidRDefault="00665543" w:rsidP="007B62A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14:paraId="6BD1A256" w14:textId="77777777" w:rsidR="00665543" w:rsidRPr="00F04CCD" w:rsidRDefault="00665543" w:rsidP="007B62AD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665543" w:rsidRPr="00F04CCD" w14:paraId="1B990621" w14:textId="77777777" w:rsidTr="007B62AD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5529133" w14:textId="77777777" w:rsidR="00665543" w:rsidRPr="00042C66" w:rsidRDefault="00665543" w:rsidP="007B62AD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665543" w:rsidRPr="00F04CCD" w14:paraId="19551342" w14:textId="77777777" w:rsidTr="007B62AD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665543" w:rsidRPr="00F04CCD" w14:paraId="495ECFA9" w14:textId="77777777" w:rsidTr="007B62AD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8CE718" w14:textId="77777777" w:rsidR="00665543" w:rsidRPr="00F04CCD" w:rsidRDefault="00665543" w:rsidP="007B62A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08A6C05" w14:textId="77777777" w:rsidR="00665543" w:rsidRPr="00F04CCD" w:rsidRDefault="00665543" w:rsidP="007B62AD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665543" w:rsidRPr="00F04CCD" w14:paraId="4D9197A9" w14:textId="77777777" w:rsidTr="007B62AD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516A0C" w14:textId="77777777" w:rsidR="00665543" w:rsidRPr="00F04CCD" w:rsidRDefault="00665543" w:rsidP="007B62A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F5E3E87" w14:textId="77777777" w:rsidR="00665543" w:rsidRPr="00F04CCD" w:rsidRDefault="00665543" w:rsidP="007B62AD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665543" w:rsidRPr="00F04CCD" w14:paraId="4D7A594B" w14:textId="77777777" w:rsidTr="007B62AD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5740755" w14:textId="77777777" w:rsidR="00665543" w:rsidRPr="00F04CCD" w:rsidRDefault="00665543" w:rsidP="007B62A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F4A3906" w14:textId="77777777" w:rsidR="00665543" w:rsidRPr="00F04CCD" w:rsidRDefault="00665543" w:rsidP="007B62AD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69C08256" w14:textId="77777777" w:rsidR="00665543" w:rsidRPr="00F04CCD" w:rsidRDefault="00665543" w:rsidP="007B62AD">
            <w:pPr>
              <w:rPr>
                <w:b/>
              </w:rPr>
            </w:pPr>
          </w:p>
        </w:tc>
      </w:tr>
      <w:tr w:rsidR="00665543" w:rsidRPr="00F04CCD" w14:paraId="30434354" w14:textId="77777777" w:rsidTr="007B62AD">
        <w:tc>
          <w:tcPr>
            <w:tcW w:w="9212" w:type="dxa"/>
            <w:shd w:val="clear" w:color="auto" w:fill="D9D9D9" w:themeFill="background1" w:themeFillShade="D9"/>
          </w:tcPr>
          <w:p w14:paraId="6FD081AC" w14:textId="77777777" w:rsidR="00665543" w:rsidRPr="00042C66" w:rsidRDefault="00665543" w:rsidP="007B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14:paraId="2D0B9441" w14:textId="77777777" w:rsidR="00665543" w:rsidRPr="00F04CCD" w:rsidRDefault="00665543" w:rsidP="007B62AD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5543" w:rsidRPr="00F04CCD" w14:paraId="4036CE29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1F7AAC75" w14:textId="77777777" w:rsidR="00665543" w:rsidRPr="00F04CCD" w:rsidRDefault="00665543" w:rsidP="007B62AD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  <w:r>
              <w:rPr>
                <w:i/>
              </w:rPr>
              <w:t xml:space="preserve"> </w:t>
            </w:r>
            <w:r w:rsidRPr="00F04CCD">
              <w:rPr>
                <w:i/>
              </w:rPr>
              <w:t>Aký je ich počet?</w:t>
            </w:r>
          </w:p>
        </w:tc>
      </w:tr>
      <w:tr w:rsidR="00665543" w:rsidRPr="00F04CCD" w14:paraId="0F18A786" w14:textId="77777777" w:rsidTr="007B62AD">
        <w:trPr>
          <w:trHeight w:val="619"/>
        </w:trPr>
        <w:tc>
          <w:tcPr>
            <w:tcW w:w="9212" w:type="dxa"/>
            <w:tcBorders>
              <w:bottom w:val="single" w:sz="4" w:space="0" w:color="auto"/>
            </w:tcBorders>
          </w:tcPr>
          <w:p w14:paraId="67A0EDC7" w14:textId="5866D30E" w:rsidR="00E51224" w:rsidRDefault="00DD5200" w:rsidP="007B62AD">
            <w:pPr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Dotknut</w:t>
            </w:r>
            <w:r>
              <w:rPr>
                <w:sz w:val="22"/>
                <w:szCs w:val="22"/>
              </w:rPr>
              <w:t>ými</w:t>
            </w:r>
            <w:r w:rsidRPr="00771847">
              <w:rPr>
                <w:sz w:val="22"/>
                <w:szCs w:val="22"/>
              </w:rPr>
              <w:t xml:space="preserve"> subjekt</w:t>
            </w:r>
            <w:r>
              <w:rPr>
                <w:sz w:val="22"/>
                <w:szCs w:val="22"/>
              </w:rPr>
              <w:t>mi</w:t>
            </w:r>
            <w:r w:rsidRPr="00771847">
              <w:rPr>
                <w:sz w:val="22"/>
                <w:szCs w:val="22"/>
              </w:rPr>
              <w:t xml:space="preserve"> </w:t>
            </w:r>
            <w:r w:rsidR="00EE75E3" w:rsidRPr="00771847">
              <w:rPr>
                <w:sz w:val="22"/>
                <w:szCs w:val="22"/>
              </w:rPr>
              <w:t xml:space="preserve">budú predovšetkým </w:t>
            </w:r>
            <w:r w:rsidR="00425B5E">
              <w:rPr>
                <w:sz w:val="22"/>
                <w:szCs w:val="22"/>
              </w:rPr>
              <w:t>prijímatelia</w:t>
            </w:r>
            <w:r w:rsidR="00EE75E3" w:rsidRPr="00771847">
              <w:rPr>
                <w:sz w:val="22"/>
                <w:szCs w:val="22"/>
              </w:rPr>
              <w:t xml:space="preserve"> investičnej pomoci a ich priami a nepriami </w:t>
            </w:r>
            <w:r w:rsidR="00E51224">
              <w:rPr>
                <w:sz w:val="22"/>
                <w:szCs w:val="22"/>
              </w:rPr>
              <w:t>dodávatelia, resp.</w:t>
            </w:r>
            <w:r w:rsidR="00EE75E3" w:rsidRPr="00771847">
              <w:rPr>
                <w:sz w:val="22"/>
                <w:szCs w:val="22"/>
              </w:rPr>
              <w:t xml:space="preserve"> </w:t>
            </w:r>
            <w:r w:rsidR="00E51224" w:rsidRPr="00303C6A">
              <w:rPr>
                <w:sz w:val="22"/>
                <w:szCs w:val="22"/>
              </w:rPr>
              <w:t>klient</w:t>
            </w:r>
            <w:r w:rsidR="00E51224">
              <w:rPr>
                <w:sz w:val="22"/>
                <w:szCs w:val="22"/>
              </w:rPr>
              <w:t>i</w:t>
            </w:r>
            <w:r w:rsidR="00425B5E">
              <w:rPr>
                <w:sz w:val="22"/>
                <w:szCs w:val="22"/>
              </w:rPr>
              <w:t xml:space="preserve"> podporených spoločností</w:t>
            </w:r>
            <w:r w:rsidR="00E51224" w:rsidRPr="00303C6A">
              <w:rPr>
                <w:sz w:val="22"/>
                <w:szCs w:val="22"/>
              </w:rPr>
              <w:t>.</w:t>
            </w:r>
          </w:p>
          <w:p w14:paraId="5BBA5524" w14:textId="645993ED" w:rsidR="00E51224" w:rsidRPr="00303C6A" w:rsidRDefault="00E51224" w:rsidP="00E51224">
            <w:pPr>
              <w:jc w:val="both"/>
              <w:rPr>
                <w:sz w:val="22"/>
                <w:szCs w:val="22"/>
              </w:rPr>
            </w:pPr>
          </w:p>
          <w:p w14:paraId="16613067" w14:textId="63785189" w:rsidR="00E51224" w:rsidRPr="00303C6A" w:rsidRDefault="00E51224" w:rsidP="00E51224">
            <w:pPr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>Ovplyvnené budú aj ostatné, tzv. obslužné spoločnosti, ako napr. firmy v oblasti stravovacích, bezpečnostných, dopravných</w:t>
            </w:r>
            <w:r w:rsidR="00020CB2">
              <w:rPr>
                <w:sz w:val="22"/>
                <w:szCs w:val="22"/>
              </w:rPr>
              <w:t>,</w:t>
            </w:r>
            <w:r w:rsidRPr="00303C6A">
              <w:rPr>
                <w:sz w:val="22"/>
                <w:szCs w:val="22"/>
              </w:rPr>
              <w:t xml:space="preserve"> upratovacích služieb a pod. </w:t>
            </w:r>
          </w:p>
          <w:p w14:paraId="298AAF98" w14:textId="77777777" w:rsidR="00E51224" w:rsidRPr="00303C6A" w:rsidRDefault="00E51224" w:rsidP="00E51224">
            <w:pPr>
              <w:jc w:val="both"/>
              <w:rPr>
                <w:sz w:val="22"/>
                <w:szCs w:val="22"/>
              </w:rPr>
            </w:pPr>
          </w:p>
          <w:p w14:paraId="7B4C1B37" w14:textId="10974D20" w:rsidR="00E51224" w:rsidRPr="00303C6A" w:rsidRDefault="00E51224" w:rsidP="00E51224">
            <w:pPr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Ovplyvnená bude aj konkurencia </w:t>
            </w:r>
            <w:r w:rsidR="00425B5E">
              <w:rPr>
                <w:sz w:val="22"/>
                <w:szCs w:val="22"/>
              </w:rPr>
              <w:t>prijímateľov</w:t>
            </w:r>
            <w:r w:rsidRPr="00303C6A">
              <w:rPr>
                <w:sz w:val="22"/>
                <w:szCs w:val="22"/>
              </w:rPr>
              <w:t xml:space="preserve"> </w:t>
            </w:r>
            <w:r w:rsidR="00425B5E">
              <w:rPr>
                <w:sz w:val="22"/>
                <w:szCs w:val="22"/>
              </w:rPr>
              <w:t>investičnej pomoci</w:t>
            </w:r>
            <w:r w:rsidRPr="00303C6A">
              <w:rPr>
                <w:sz w:val="22"/>
                <w:szCs w:val="22"/>
              </w:rPr>
              <w:t xml:space="preserve">. Potenciálny negatívny dopad je kompenzovaný transparentnosťou opatrení a možnosťou </w:t>
            </w:r>
            <w:r w:rsidR="00425B5E">
              <w:rPr>
                <w:sz w:val="22"/>
                <w:szCs w:val="22"/>
              </w:rPr>
              <w:t xml:space="preserve">konkurentov </w:t>
            </w:r>
            <w:r w:rsidRPr="00303C6A">
              <w:rPr>
                <w:sz w:val="22"/>
                <w:szCs w:val="22"/>
              </w:rPr>
              <w:t>uchádzať sa o investičnú pomoc</w:t>
            </w:r>
            <w:r w:rsidR="00425B5E">
              <w:rPr>
                <w:sz w:val="22"/>
                <w:szCs w:val="22"/>
              </w:rPr>
              <w:t>, nakoľko ňou disponujú</w:t>
            </w:r>
            <w:r w:rsidRPr="00303C6A">
              <w:rPr>
                <w:sz w:val="22"/>
                <w:szCs w:val="22"/>
              </w:rPr>
              <w:t xml:space="preserve"> všetk</w:t>
            </w:r>
            <w:r w:rsidR="00425B5E">
              <w:rPr>
                <w:sz w:val="22"/>
                <w:szCs w:val="22"/>
              </w:rPr>
              <w:t>y právnické osoby a fyzické osoby - podnikatelia registrovaní</w:t>
            </w:r>
            <w:r w:rsidRPr="00303C6A">
              <w:rPr>
                <w:sz w:val="22"/>
                <w:szCs w:val="22"/>
              </w:rPr>
              <w:t xml:space="preserve"> v SR.</w:t>
            </w:r>
          </w:p>
          <w:p w14:paraId="27F06D59" w14:textId="77777777" w:rsidR="00E51224" w:rsidRDefault="00E51224" w:rsidP="007B62AD">
            <w:pPr>
              <w:jc w:val="both"/>
              <w:rPr>
                <w:sz w:val="22"/>
                <w:szCs w:val="22"/>
              </w:rPr>
            </w:pPr>
          </w:p>
          <w:p w14:paraId="212D8A9D" w14:textId="68491C8B" w:rsidR="00EE75E3" w:rsidRPr="00771847" w:rsidRDefault="00EE75E3" w:rsidP="007B62AD">
            <w:pPr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Očakávame, že subjekty z kategórie MSP budú využívať investičné stimuly vo väčšej miere ako doteraz.</w:t>
            </w:r>
            <w:r w:rsidR="00425B5E">
              <w:rPr>
                <w:sz w:val="22"/>
                <w:szCs w:val="22"/>
              </w:rPr>
              <w:t xml:space="preserve"> V súlade s legislatívou EÚ budú p</w:t>
            </w:r>
            <w:r w:rsidR="00736129">
              <w:rPr>
                <w:sz w:val="22"/>
                <w:szCs w:val="22"/>
              </w:rPr>
              <w:t xml:space="preserve">odniky kategórie MSP </w:t>
            </w:r>
            <w:r w:rsidR="00DD5200">
              <w:rPr>
                <w:sz w:val="22"/>
                <w:szCs w:val="22"/>
              </w:rPr>
              <w:t xml:space="preserve">v porovnaní s </w:t>
            </w:r>
            <w:r w:rsidR="00736129">
              <w:rPr>
                <w:sz w:val="22"/>
                <w:szCs w:val="22"/>
              </w:rPr>
              <w:t>veľkým</w:t>
            </w:r>
            <w:r w:rsidR="00DD5200">
              <w:rPr>
                <w:sz w:val="22"/>
                <w:szCs w:val="22"/>
              </w:rPr>
              <w:t>i</w:t>
            </w:r>
            <w:r w:rsidR="00736129">
              <w:rPr>
                <w:sz w:val="22"/>
                <w:szCs w:val="22"/>
              </w:rPr>
              <w:t xml:space="preserve"> podnik</w:t>
            </w:r>
            <w:r w:rsidR="00DD5200">
              <w:rPr>
                <w:sz w:val="22"/>
                <w:szCs w:val="22"/>
              </w:rPr>
              <w:t>mi</w:t>
            </w:r>
            <w:r w:rsidR="00736129">
              <w:rPr>
                <w:sz w:val="22"/>
                <w:szCs w:val="22"/>
              </w:rPr>
              <w:t xml:space="preserve"> zvýhodnené nižšími hodnotami podmienok na poskytnutie investičnej pomoci, vyššími maximálnymi intenzitami investičnej pomoci</w:t>
            </w:r>
            <w:r w:rsidR="00DD5200">
              <w:rPr>
                <w:sz w:val="22"/>
                <w:szCs w:val="22"/>
              </w:rPr>
              <w:t xml:space="preserve"> a</w:t>
            </w:r>
            <w:r w:rsidR="00736129">
              <w:rPr>
                <w:sz w:val="22"/>
                <w:szCs w:val="22"/>
              </w:rPr>
              <w:t xml:space="preserve"> zároveň kratšími lehotami podmienok udržania investície a pracovných miest.</w:t>
            </w:r>
          </w:p>
          <w:p w14:paraId="63A85502" w14:textId="77777777" w:rsidR="00EE75E3" w:rsidRPr="00771847" w:rsidRDefault="00EE75E3" w:rsidP="007B62AD">
            <w:pPr>
              <w:jc w:val="both"/>
              <w:rPr>
                <w:sz w:val="22"/>
                <w:szCs w:val="22"/>
              </w:rPr>
            </w:pPr>
          </w:p>
          <w:p w14:paraId="118FC394" w14:textId="307E54F1" w:rsidR="00665543" w:rsidRPr="00771847" w:rsidRDefault="00E51224" w:rsidP="007B62AD">
            <w:pPr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Počet </w:t>
            </w:r>
            <w:r w:rsidR="00020CB2">
              <w:rPr>
                <w:sz w:val="22"/>
                <w:szCs w:val="22"/>
              </w:rPr>
              <w:t xml:space="preserve">podnikateľských subjektov </w:t>
            </w:r>
            <w:r w:rsidRPr="00303C6A">
              <w:rPr>
                <w:sz w:val="22"/>
                <w:szCs w:val="22"/>
              </w:rPr>
              <w:t>nie je možné identifikovať, závisí od počtu a charakteru pr</w:t>
            </w:r>
            <w:r w:rsidR="00627A62">
              <w:rPr>
                <w:sz w:val="22"/>
                <w:szCs w:val="22"/>
              </w:rPr>
              <w:t>ijímateľov</w:t>
            </w:r>
            <w:r w:rsidRPr="00303C6A">
              <w:rPr>
                <w:sz w:val="22"/>
                <w:szCs w:val="22"/>
              </w:rPr>
              <w:t xml:space="preserve"> investičnej pomoci</w:t>
            </w:r>
            <w:r>
              <w:rPr>
                <w:sz w:val="22"/>
                <w:szCs w:val="22"/>
              </w:rPr>
              <w:t xml:space="preserve">. </w:t>
            </w:r>
            <w:r w:rsidR="00665543" w:rsidRPr="00771847">
              <w:rPr>
                <w:sz w:val="22"/>
                <w:szCs w:val="22"/>
              </w:rPr>
              <w:t>Nie je možné vopred presne odhadnúť, koľko žiadostí o inv</w:t>
            </w:r>
            <w:r w:rsidR="00425B5E">
              <w:rPr>
                <w:sz w:val="22"/>
                <w:szCs w:val="22"/>
              </w:rPr>
              <w:t>estičnú pomoc bude v budúcnosti</w:t>
            </w:r>
            <w:r w:rsidR="00665543" w:rsidRPr="00771847">
              <w:rPr>
                <w:sz w:val="22"/>
                <w:szCs w:val="22"/>
              </w:rPr>
              <w:t xml:space="preserve"> podaných. </w:t>
            </w:r>
          </w:p>
          <w:p w14:paraId="539886C4" w14:textId="77777777" w:rsidR="00E51224" w:rsidRDefault="00E51224" w:rsidP="007B62AD">
            <w:pPr>
              <w:jc w:val="both"/>
              <w:rPr>
                <w:sz w:val="22"/>
                <w:szCs w:val="22"/>
              </w:rPr>
            </w:pPr>
          </w:p>
          <w:p w14:paraId="1B56553B" w14:textId="70FC2380" w:rsidR="00E51224" w:rsidRPr="00303C6A" w:rsidRDefault="00665543" w:rsidP="00E51224">
            <w:pPr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V roku 2014 bolo schválených 12 investičných zámerov, v roku 2015 bolo schválených 16 investičných zámerov a v roku 2016 bolo schválených 8 investičných zámerov.</w:t>
            </w:r>
          </w:p>
          <w:p w14:paraId="534EBF95" w14:textId="153ABC92" w:rsidR="00E51224" w:rsidRPr="00F04CCD" w:rsidRDefault="00E51224" w:rsidP="00E51224">
            <w:pPr>
              <w:jc w:val="both"/>
              <w:rPr>
                <w:i/>
              </w:rPr>
            </w:pPr>
          </w:p>
        </w:tc>
      </w:tr>
      <w:tr w:rsidR="00665543" w:rsidRPr="00F04CCD" w14:paraId="500C1D7A" w14:textId="77777777" w:rsidTr="007B62AD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F84D7" w14:textId="77777777" w:rsidR="00665543" w:rsidRPr="00042C66" w:rsidRDefault="00665543" w:rsidP="007B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14:paraId="7CF7F8AE" w14:textId="77777777" w:rsidR="00665543" w:rsidRPr="00F04CCD" w:rsidRDefault="00665543" w:rsidP="007B62A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5543" w:rsidRPr="00F04CCD" w14:paraId="025FD550" w14:textId="77777777" w:rsidTr="007B62AD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BD3AB4E" w14:textId="77777777" w:rsidR="00665543" w:rsidRPr="000D2622" w:rsidRDefault="00665543" w:rsidP="007B62AD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  <w:r>
              <w:rPr>
                <w:i/>
              </w:rPr>
              <w:t xml:space="preserve"> </w:t>
            </w:r>
            <w:r w:rsidRPr="00F04CCD">
              <w:rPr>
                <w:i/>
              </w:rPr>
              <w:t>Ako dlho trvali konzultácie?</w:t>
            </w:r>
            <w:r>
              <w:rPr>
                <w:i/>
              </w:rPr>
              <w:t xml:space="preserve"> </w:t>
            </w: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665543" w:rsidRPr="00F04CCD" w14:paraId="40E24FE9" w14:textId="77777777" w:rsidTr="007B62AD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18708D9" w14:textId="33D9523D" w:rsidR="00665543" w:rsidRDefault="00665543" w:rsidP="007B62AD">
            <w:pPr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Pri príprave zákona boli zriadené 3 pracovné skupiny (1) podnikateľské zväzy a združenia - RÚZ, AZZZ, Klub 500, APZ (2) ústredné orgány štátnej správy – PMÚ SR, MF SR, MPSVaR SR, MDaV SR, SARIO, SIEA a (3) poradenské spoločnosti v oblasti poskytovania investičnej pomoci.</w:t>
            </w:r>
          </w:p>
          <w:p w14:paraId="3334ABE7" w14:textId="77777777" w:rsidR="00771847" w:rsidRPr="00771847" w:rsidRDefault="00771847" w:rsidP="007B62AD">
            <w:pPr>
              <w:jc w:val="both"/>
              <w:rPr>
                <w:sz w:val="22"/>
                <w:szCs w:val="22"/>
              </w:rPr>
            </w:pPr>
          </w:p>
          <w:p w14:paraId="246B3BD0" w14:textId="77777777" w:rsidR="00665543" w:rsidRPr="00A97C26" w:rsidRDefault="00665543" w:rsidP="007B62AD">
            <w:pPr>
              <w:jc w:val="both"/>
              <w:rPr>
                <w:sz w:val="24"/>
                <w:szCs w:val="24"/>
              </w:rPr>
            </w:pPr>
            <w:r w:rsidRPr="00771847">
              <w:rPr>
                <w:sz w:val="22"/>
                <w:szCs w:val="22"/>
              </w:rPr>
              <w:t xml:space="preserve">Konzultácie boli realizované v dvoch etapách, pri formulovaní celkovej stratégie smerovania zákona a pri predstavení konceptu zmeny právnej úpravy v oblasti poskytovania investičnej pomoci. Výstupy a návrhy zúčastnených strán boli zapracované do návrhu zákona. </w:t>
            </w:r>
          </w:p>
        </w:tc>
      </w:tr>
      <w:tr w:rsidR="00665543" w:rsidRPr="00F04CCD" w14:paraId="044266DE" w14:textId="77777777" w:rsidTr="007B62AD">
        <w:tc>
          <w:tcPr>
            <w:tcW w:w="9212" w:type="dxa"/>
            <w:shd w:val="clear" w:color="auto" w:fill="D9D9D9" w:themeFill="background1" w:themeFillShade="D9"/>
          </w:tcPr>
          <w:p w14:paraId="45208412" w14:textId="77777777" w:rsidR="00665543" w:rsidRPr="00042C66" w:rsidRDefault="00665543" w:rsidP="007B62AD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3</w:t>
            </w:r>
            <w:r w:rsidR="00BC733B">
              <w:rPr>
                <w:b/>
                <w:sz w:val="24"/>
              </w:rPr>
              <w:t>.</w:t>
            </w:r>
            <w:r w:rsidRPr="00042C66">
              <w:rPr>
                <w:b/>
                <w:sz w:val="24"/>
              </w:rPr>
              <w:t xml:space="preserve"> Náklady regulácie</w:t>
            </w:r>
          </w:p>
          <w:p w14:paraId="0B778BFF" w14:textId="77777777" w:rsidR="00665543" w:rsidRPr="00F04CCD" w:rsidRDefault="00665543" w:rsidP="007B62AD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5543" w:rsidRPr="00F04CCD" w14:paraId="46F614EC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02711317" w14:textId="77777777" w:rsidR="00665543" w:rsidRPr="003A0A55" w:rsidRDefault="00665543" w:rsidP="007B62A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</w:tc>
      </w:tr>
      <w:tr w:rsidR="00665543" w:rsidRPr="00F04CCD" w14:paraId="761DA44E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698D8B15" w14:textId="7F79CE5F" w:rsidR="00665543" w:rsidRPr="00E51224" w:rsidRDefault="00E51224" w:rsidP="00E51224">
            <w:pPr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Nepredpokladá sa zvyšovanie nákladov podnikov v dôsledku prijatia návrhu. </w:t>
            </w:r>
          </w:p>
        </w:tc>
      </w:tr>
      <w:tr w:rsidR="00665543" w:rsidRPr="00F04CCD" w14:paraId="15CA53F5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6A3531F4" w14:textId="77777777" w:rsidR="00665543" w:rsidRPr="003A0A55" w:rsidRDefault="00665543" w:rsidP="007B62A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</w:tc>
      </w:tr>
      <w:tr w:rsidR="00665543" w:rsidRPr="00F04CCD" w14:paraId="38DA19E7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0E038A37" w14:textId="2883995E" w:rsidR="00665543" w:rsidRPr="00E51224" w:rsidRDefault="00E51224" w:rsidP="00E51224">
            <w:pPr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Nepredpokladá sa zvyšovanie nákladov podnikov v dôsledku prijatia návrhu. </w:t>
            </w:r>
          </w:p>
        </w:tc>
      </w:tr>
      <w:tr w:rsidR="00665543" w:rsidRPr="00F04CCD" w14:paraId="235A9DF4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2220760E" w14:textId="3DC65F59" w:rsidR="00665543" w:rsidRDefault="00665543" w:rsidP="007B62A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14:paraId="525DC755" w14:textId="78D7D904" w:rsidR="00665543" w:rsidRDefault="00665543" w:rsidP="007B62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Návrh zákona znižuje administratívnu náročnosť pre prijímateľov investičnej pomoci</w:t>
            </w:r>
            <w:r w:rsidR="000760FD">
              <w:rPr>
                <w:sz w:val="22"/>
                <w:szCs w:val="22"/>
              </w:rPr>
              <w:t>, a to tak</w:t>
            </w:r>
            <w:r w:rsidRPr="00771847">
              <w:rPr>
                <w:sz w:val="22"/>
                <w:szCs w:val="22"/>
              </w:rPr>
              <w:t xml:space="preserve"> </w:t>
            </w:r>
            <w:r w:rsidRPr="00771847">
              <w:rPr>
                <w:sz w:val="22"/>
                <w:szCs w:val="22"/>
              </w:rPr>
              <w:lastRenderedPageBreak/>
              <w:t>v súvislosti s podávaním žiadosti o investičnú pomoc</w:t>
            </w:r>
            <w:r w:rsidR="000760FD">
              <w:rPr>
                <w:sz w:val="22"/>
                <w:szCs w:val="22"/>
              </w:rPr>
              <w:t>,</w:t>
            </w:r>
            <w:r w:rsidRPr="00771847">
              <w:rPr>
                <w:sz w:val="22"/>
                <w:szCs w:val="22"/>
              </w:rPr>
              <w:t xml:space="preserve"> a</w:t>
            </w:r>
            <w:r w:rsidR="000760FD">
              <w:rPr>
                <w:sz w:val="22"/>
                <w:szCs w:val="22"/>
              </w:rPr>
              <w:t>ko aj v súvislosti</w:t>
            </w:r>
            <w:r w:rsidR="00BC733B" w:rsidRPr="00771847">
              <w:rPr>
                <w:sz w:val="22"/>
                <w:szCs w:val="22"/>
              </w:rPr>
              <w:t xml:space="preserve"> s </w:t>
            </w:r>
            <w:r w:rsidRPr="00771847">
              <w:rPr>
                <w:sz w:val="22"/>
                <w:szCs w:val="22"/>
              </w:rPr>
              <w:t>kontrolou plnenia podmienok prostredníctvom</w:t>
            </w:r>
            <w:r w:rsidR="000760FD">
              <w:rPr>
                <w:sz w:val="22"/>
                <w:szCs w:val="22"/>
              </w:rPr>
              <w:t xml:space="preserve"> podávania</w:t>
            </w:r>
            <w:r w:rsidRPr="00771847">
              <w:rPr>
                <w:sz w:val="22"/>
                <w:szCs w:val="22"/>
              </w:rPr>
              <w:t xml:space="preserve"> investičných správ. Konkrétne ide o zníženie administratívnej náročnosti v oblastiach (1) formulár </w:t>
            </w:r>
            <w:r w:rsidR="000760FD">
              <w:rPr>
                <w:sz w:val="22"/>
                <w:szCs w:val="22"/>
              </w:rPr>
              <w:t>žiadosti o investičnú pomoc</w:t>
            </w:r>
            <w:r w:rsidRPr="00771847">
              <w:rPr>
                <w:sz w:val="22"/>
                <w:szCs w:val="22"/>
              </w:rPr>
              <w:t xml:space="preserve">, (2) </w:t>
            </w:r>
            <w:r w:rsidR="00DD5200">
              <w:rPr>
                <w:sz w:val="22"/>
                <w:szCs w:val="22"/>
              </w:rPr>
              <w:t>formulár</w:t>
            </w:r>
            <w:r w:rsidR="00DD5200" w:rsidRPr="00771847">
              <w:rPr>
                <w:sz w:val="22"/>
                <w:szCs w:val="22"/>
              </w:rPr>
              <w:t xml:space="preserve"> </w:t>
            </w:r>
            <w:r w:rsidRPr="00771847">
              <w:rPr>
                <w:sz w:val="22"/>
                <w:szCs w:val="22"/>
              </w:rPr>
              <w:t>akceptácie ponuky, (3) </w:t>
            </w:r>
            <w:r w:rsidR="00DD5200">
              <w:rPr>
                <w:sz w:val="22"/>
                <w:szCs w:val="22"/>
              </w:rPr>
              <w:t>formulár</w:t>
            </w:r>
            <w:r w:rsidR="00DD5200" w:rsidRPr="00771847">
              <w:rPr>
                <w:sz w:val="22"/>
                <w:szCs w:val="22"/>
              </w:rPr>
              <w:t xml:space="preserve"> </w:t>
            </w:r>
            <w:r w:rsidRPr="00771847">
              <w:rPr>
                <w:sz w:val="22"/>
                <w:szCs w:val="22"/>
              </w:rPr>
              <w:t xml:space="preserve">ročnej správy o priebehu realizácie investičného zámeru, (4) správy o ukončení investičného zámeru, (5) ročnej správy o využívaní investície, (6) záverečnej hodnotiacej správy a (7) </w:t>
            </w:r>
            <w:r w:rsidR="00BC733B" w:rsidRPr="00771847">
              <w:rPr>
                <w:sz w:val="22"/>
                <w:szCs w:val="22"/>
              </w:rPr>
              <w:t>náležitosti informačnej tabule.</w:t>
            </w:r>
          </w:p>
          <w:p w14:paraId="3F0C53B4" w14:textId="77777777" w:rsidR="00771847" w:rsidRPr="00771847" w:rsidRDefault="00771847" w:rsidP="007B62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2B4F652" w14:textId="77777777" w:rsidR="00665543" w:rsidRPr="00F04CCD" w:rsidRDefault="00665543" w:rsidP="007B62AD">
            <w:pPr>
              <w:jc w:val="both"/>
              <w:rPr>
                <w:i/>
              </w:rPr>
            </w:pPr>
            <w:r w:rsidRPr="00771847">
              <w:rPr>
                <w:sz w:val="22"/>
                <w:szCs w:val="22"/>
              </w:rPr>
              <w:t>Vzhľadom k tomu, že nie je možné vopred odhadnúť predpokladaný počet podaných investičných zámerov, ich rozsah a štruktúru, je problematické vyčísliť predpokladanú celkovú úsporu administratívnych nákladov.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5543" w:rsidRPr="00F04CCD" w14:paraId="5F8E6243" w14:textId="77777777" w:rsidTr="007B62AD">
        <w:trPr>
          <w:trHeight w:val="1965"/>
        </w:trPr>
        <w:tc>
          <w:tcPr>
            <w:tcW w:w="9212" w:type="dxa"/>
            <w:tcBorders>
              <w:bottom w:val="single" w:sz="4" w:space="0" w:color="auto"/>
            </w:tcBorders>
          </w:tcPr>
          <w:p w14:paraId="666A5E59" w14:textId="77777777" w:rsidR="00665543" w:rsidRPr="00F04CCD" w:rsidRDefault="00665543" w:rsidP="007B62AD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14:paraId="19B26BD4" w14:textId="77777777" w:rsidR="00665543" w:rsidRPr="00F04CCD" w:rsidRDefault="00665543" w:rsidP="007B62AD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665543" w:rsidRPr="00F04CCD" w14:paraId="52B13E00" w14:textId="77777777" w:rsidTr="007B62AD">
              <w:tc>
                <w:tcPr>
                  <w:tcW w:w="2993" w:type="dxa"/>
                </w:tcPr>
                <w:p w14:paraId="6CDF6247" w14:textId="77777777" w:rsidR="00665543" w:rsidRPr="00F04CCD" w:rsidRDefault="00665543" w:rsidP="007B62AD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50CA3BD2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7965D535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65543" w:rsidRPr="00F04CCD" w14:paraId="717E67A0" w14:textId="77777777" w:rsidTr="007B62AD">
              <w:tc>
                <w:tcPr>
                  <w:tcW w:w="2993" w:type="dxa"/>
                </w:tcPr>
                <w:p w14:paraId="74A467A1" w14:textId="77777777" w:rsidR="00665543" w:rsidRPr="00F04CCD" w:rsidRDefault="00665543" w:rsidP="007B62A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62287F53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46A98C76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65543" w:rsidRPr="00F04CCD" w14:paraId="7CF092BF" w14:textId="77777777" w:rsidTr="007B62AD">
              <w:tc>
                <w:tcPr>
                  <w:tcW w:w="2993" w:type="dxa"/>
                </w:tcPr>
                <w:p w14:paraId="195A6062" w14:textId="77777777" w:rsidR="00665543" w:rsidRPr="00F04CCD" w:rsidRDefault="00665543" w:rsidP="007B62A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3B3061CC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4A24B2EA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65543" w:rsidRPr="00F04CCD" w14:paraId="6F36684E" w14:textId="77777777" w:rsidTr="007B62AD">
              <w:tc>
                <w:tcPr>
                  <w:tcW w:w="2993" w:type="dxa"/>
                </w:tcPr>
                <w:p w14:paraId="343A9E20" w14:textId="77777777" w:rsidR="00665543" w:rsidRPr="00F04CCD" w:rsidRDefault="00665543" w:rsidP="007B62A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47D10B77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9B1A5E7" w14:textId="77777777" w:rsidR="00665543" w:rsidRPr="00F04CCD" w:rsidRDefault="00665543" w:rsidP="007B62A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65543" w:rsidRPr="00F04CCD" w14:paraId="5160D6DE" w14:textId="77777777" w:rsidTr="007B62AD">
              <w:tc>
                <w:tcPr>
                  <w:tcW w:w="2993" w:type="dxa"/>
                </w:tcPr>
                <w:p w14:paraId="154C6CED" w14:textId="77777777" w:rsidR="00665543" w:rsidRPr="00F04CCD" w:rsidRDefault="00665543" w:rsidP="007B62AD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FFB8BDA" w14:textId="77777777" w:rsidR="00665543" w:rsidRPr="00F04CCD" w:rsidRDefault="00665543" w:rsidP="007B62A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030F62C" w14:textId="77777777" w:rsidR="00665543" w:rsidRPr="00F04CCD" w:rsidRDefault="00665543" w:rsidP="007B62A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0B1FD72C" w14:textId="77777777" w:rsidR="00665543" w:rsidRPr="00F04CCD" w:rsidRDefault="00665543" w:rsidP="007B62AD">
            <w:pPr>
              <w:rPr>
                <w:i/>
              </w:rPr>
            </w:pPr>
          </w:p>
        </w:tc>
      </w:tr>
      <w:tr w:rsidR="00665543" w:rsidRPr="00F04CCD" w14:paraId="3691E0A0" w14:textId="77777777" w:rsidTr="007B62AD">
        <w:tc>
          <w:tcPr>
            <w:tcW w:w="9212" w:type="dxa"/>
            <w:shd w:val="clear" w:color="auto" w:fill="D9D9D9" w:themeFill="background1" w:themeFillShade="D9"/>
          </w:tcPr>
          <w:p w14:paraId="745C95C7" w14:textId="77777777" w:rsidR="00665543" w:rsidRPr="00042C66" w:rsidRDefault="00665543" w:rsidP="007B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14:paraId="1EEAF3A6" w14:textId="77777777" w:rsidR="00665543" w:rsidRPr="00F04CCD" w:rsidRDefault="00665543" w:rsidP="007B62AD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5543" w:rsidRPr="00F04CCD" w14:paraId="198B3F61" w14:textId="77777777" w:rsidTr="007B62AD">
        <w:tc>
          <w:tcPr>
            <w:tcW w:w="9212" w:type="dxa"/>
            <w:tcBorders>
              <w:bottom w:val="single" w:sz="4" w:space="0" w:color="auto"/>
            </w:tcBorders>
          </w:tcPr>
          <w:p w14:paraId="1563323E" w14:textId="77777777" w:rsidR="00665543" w:rsidRPr="00F04CCD" w:rsidRDefault="00665543" w:rsidP="007B62AD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</w:tc>
      </w:tr>
      <w:tr w:rsidR="00665543" w:rsidRPr="00F04CCD" w14:paraId="5E7002C2" w14:textId="77777777" w:rsidTr="007B62AD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7CDCECD2" w14:textId="41B03D3D" w:rsidR="00771847" w:rsidRDefault="00736129" w:rsidP="00771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847">
              <w:rPr>
                <w:sz w:val="22"/>
                <w:szCs w:val="22"/>
              </w:rPr>
              <w:t>Cieľom navrhovanej právnej úpravy je vytvorenie uceleného a transparentného právneho rámca pre poskytovanie regionálnej investičnej pomoci v súlade s európskou legislatívou v oblasti poskytovania štátnej pomoci. Navrhovaná právna úprava vytvorí priestor pre znižovanie regionálnych rozdielov v</w:t>
            </w:r>
            <w:r>
              <w:rPr>
                <w:sz w:val="22"/>
                <w:szCs w:val="22"/>
              </w:rPr>
              <w:t> </w:t>
            </w:r>
            <w:r w:rsidRPr="00771847">
              <w:rPr>
                <w:sz w:val="22"/>
                <w:szCs w:val="22"/>
              </w:rPr>
              <w:t>rámci Slovenskej republiky a zabezpečenie udržateľného hospodárskeho rozvoja a</w:t>
            </w:r>
            <w:r>
              <w:rPr>
                <w:sz w:val="22"/>
                <w:szCs w:val="22"/>
              </w:rPr>
              <w:t> </w:t>
            </w:r>
            <w:r w:rsidRPr="00771847">
              <w:rPr>
                <w:sz w:val="22"/>
                <w:szCs w:val="22"/>
              </w:rPr>
              <w:t>konkurencieschopnosti Slovenskej republiky</w:t>
            </w:r>
            <w:r w:rsidR="00DD5200">
              <w:rPr>
                <w:sz w:val="22"/>
                <w:szCs w:val="22"/>
              </w:rPr>
              <w:t xml:space="preserve"> v</w:t>
            </w:r>
            <w:r w:rsidRPr="00771847">
              <w:rPr>
                <w:sz w:val="22"/>
                <w:szCs w:val="22"/>
              </w:rPr>
              <w:t xml:space="preserve"> globálnom priestore. Nová legislatívna úprava bude adresnejšie zameraná na podporu investícií týkajúcich sa progresívnych technológií a činností s</w:t>
            </w:r>
            <w:r>
              <w:rPr>
                <w:sz w:val="22"/>
                <w:szCs w:val="22"/>
              </w:rPr>
              <w:t> </w:t>
            </w:r>
            <w:r w:rsidRPr="00771847">
              <w:rPr>
                <w:sz w:val="22"/>
                <w:szCs w:val="22"/>
              </w:rPr>
              <w:t>vysokou pridanou hodnotou.</w:t>
            </w:r>
            <w:r>
              <w:rPr>
                <w:sz w:val="22"/>
                <w:szCs w:val="22"/>
              </w:rPr>
              <w:t xml:space="preserve"> </w:t>
            </w:r>
          </w:p>
          <w:p w14:paraId="54FEB22F" w14:textId="5DBE269A" w:rsidR="00771847" w:rsidRDefault="00771847" w:rsidP="00771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DE5809A" w14:textId="10CA79DE" w:rsidR="00736129" w:rsidRDefault="00736129" w:rsidP="00771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Vzhľadom na zvýhodnenie niektorých podmienok pre podniky kategórie MSP očakávame </w:t>
            </w:r>
            <w:r w:rsidR="0094196F">
              <w:rPr>
                <w:sz w:val="22"/>
                <w:szCs w:val="22"/>
              </w:rPr>
              <w:t xml:space="preserve">vyššiu podporu konkurencieschopnosti podnikov tejto kategórie. </w:t>
            </w:r>
          </w:p>
          <w:p w14:paraId="42B1FAD6" w14:textId="5ED4A755" w:rsidR="00E51224" w:rsidRDefault="00E51224" w:rsidP="00771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1106874" w14:textId="0FCA77FB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Znížením podmienok tvorby pracovných miest v oblastiach </w:t>
            </w:r>
            <w:r w:rsidR="00020CB2">
              <w:rPr>
                <w:sz w:val="22"/>
                <w:szCs w:val="22"/>
              </w:rPr>
              <w:t xml:space="preserve">s </w:t>
            </w:r>
            <w:r w:rsidRPr="00303C6A">
              <w:rPr>
                <w:sz w:val="22"/>
                <w:szCs w:val="22"/>
              </w:rPr>
              <w:t>vysokou pridanou hodnotou bud</w:t>
            </w:r>
            <w:r w:rsidR="00020CB2">
              <w:rPr>
                <w:sz w:val="22"/>
                <w:szCs w:val="22"/>
              </w:rPr>
              <w:t>e</w:t>
            </w:r>
            <w:r w:rsidRPr="00303C6A">
              <w:rPr>
                <w:sz w:val="22"/>
                <w:szCs w:val="22"/>
              </w:rPr>
              <w:t xml:space="preserve"> podporená konkurencieschopnos</w:t>
            </w:r>
            <w:r w:rsidR="00020CB2">
              <w:rPr>
                <w:sz w:val="22"/>
                <w:szCs w:val="22"/>
              </w:rPr>
              <w:t>ť</w:t>
            </w:r>
            <w:r w:rsidRPr="00303C6A">
              <w:rPr>
                <w:sz w:val="22"/>
                <w:szCs w:val="22"/>
              </w:rPr>
              <w:t xml:space="preserve"> podnikov, vrátane podnikov kategórie MSP a z toho vyplývajúca podpora konkurencieschopnosti celého hospodárstva SR.</w:t>
            </w:r>
          </w:p>
          <w:p w14:paraId="1D842F97" w14:textId="64A7DEC6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Smerovaním priamej </w:t>
            </w:r>
            <w:r w:rsidR="000760FD">
              <w:rPr>
                <w:sz w:val="22"/>
                <w:szCs w:val="22"/>
              </w:rPr>
              <w:t>pomoci</w:t>
            </w:r>
            <w:r w:rsidRPr="00303C6A">
              <w:rPr>
                <w:sz w:val="22"/>
                <w:szCs w:val="22"/>
              </w:rPr>
              <w:t xml:space="preserve"> predovšetkým do </w:t>
            </w:r>
            <w:r w:rsidR="00020CB2">
              <w:rPr>
                <w:sz w:val="22"/>
                <w:szCs w:val="22"/>
              </w:rPr>
              <w:t xml:space="preserve">prioritných </w:t>
            </w:r>
            <w:r w:rsidRPr="00303C6A">
              <w:rPr>
                <w:sz w:val="22"/>
                <w:szCs w:val="22"/>
              </w:rPr>
              <w:t xml:space="preserve">segmentov </w:t>
            </w:r>
            <w:r w:rsidR="000760FD">
              <w:rPr>
                <w:sz w:val="22"/>
                <w:szCs w:val="22"/>
              </w:rPr>
              <w:t>hospodárstva</w:t>
            </w:r>
            <w:r w:rsidRPr="00303C6A">
              <w:rPr>
                <w:sz w:val="22"/>
                <w:szCs w:val="22"/>
              </w:rPr>
              <w:t xml:space="preserve"> SR budú vo väčšej miere podporené spoločnosti </w:t>
            </w:r>
            <w:r w:rsidR="000760FD">
              <w:rPr>
                <w:sz w:val="22"/>
                <w:szCs w:val="22"/>
              </w:rPr>
              <w:t xml:space="preserve">pôsobiace v týchto segmentoch, čím </w:t>
            </w:r>
            <w:r w:rsidRPr="00303C6A">
              <w:rPr>
                <w:sz w:val="22"/>
                <w:szCs w:val="22"/>
              </w:rPr>
              <w:t>sa podporí aj dodávateľské prostredie a následne aj spoločnosti kategórie MSP pôsobiace alebo plánujúce pôsobiť v uvedených segmentoch.</w:t>
            </w:r>
          </w:p>
          <w:p w14:paraId="73227AA9" w14:textId="55C016AF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Zavedením nájmu </w:t>
            </w:r>
            <w:r w:rsidR="000F3316">
              <w:rPr>
                <w:sz w:val="22"/>
                <w:szCs w:val="22"/>
              </w:rPr>
              <w:t>dlhodobého hmotného</w:t>
            </w:r>
            <w:r w:rsidRPr="00303C6A">
              <w:rPr>
                <w:sz w:val="22"/>
                <w:szCs w:val="22"/>
              </w:rPr>
              <w:t xml:space="preserve"> majetku</w:t>
            </w:r>
            <w:r w:rsidR="000F3316">
              <w:rPr>
                <w:sz w:val="22"/>
                <w:szCs w:val="22"/>
              </w:rPr>
              <w:t xml:space="preserve"> vo forme pozemkov a budov</w:t>
            </w:r>
            <w:r w:rsidRPr="00303C6A">
              <w:rPr>
                <w:sz w:val="22"/>
                <w:szCs w:val="22"/>
              </w:rPr>
              <w:t xml:space="preserve"> a finančného leasingu strojov prístrojov a zariadení do oprávnených nákladov umožníme pr</w:t>
            </w:r>
            <w:r w:rsidR="00BC52A2">
              <w:rPr>
                <w:sz w:val="22"/>
                <w:szCs w:val="22"/>
              </w:rPr>
              <w:t>ijímateľom</w:t>
            </w:r>
            <w:r w:rsidRPr="00303C6A">
              <w:rPr>
                <w:sz w:val="22"/>
                <w:szCs w:val="22"/>
              </w:rPr>
              <w:t xml:space="preserve"> investičnej pomoci využívať moderné formy financovania investičných zámerov v kombinácii s investičnou pomocou. Očakávame</w:t>
            </w:r>
            <w:r w:rsidR="00505B44">
              <w:rPr>
                <w:sz w:val="22"/>
                <w:szCs w:val="22"/>
              </w:rPr>
              <w:t>,</w:t>
            </w:r>
            <w:r w:rsidRPr="00303C6A">
              <w:rPr>
                <w:sz w:val="22"/>
                <w:szCs w:val="22"/>
              </w:rPr>
              <w:t xml:space="preserve"> že toto opatrenie pozitívne ovplyvní predovšetkým podniky kategórie MSP.</w:t>
            </w:r>
          </w:p>
          <w:p w14:paraId="0CC89830" w14:textId="171A4120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Odstránením podmienky realizovania investičného zámeru v priemyselnej výrobe na jednom mieste zabezpečíme možnosť </w:t>
            </w:r>
            <w:r w:rsidR="000760FD">
              <w:rPr>
                <w:sz w:val="22"/>
                <w:szCs w:val="22"/>
              </w:rPr>
              <w:t>prijímateľov</w:t>
            </w:r>
            <w:r w:rsidRPr="00303C6A">
              <w:rPr>
                <w:sz w:val="22"/>
                <w:szCs w:val="22"/>
              </w:rPr>
              <w:t xml:space="preserve"> investičnej pomoci využívať moderné podnikateľské prevádzkové modely. Toto opatrenie pozitívne ovplyvní aj </w:t>
            </w:r>
            <w:r w:rsidR="00020CB2">
              <w:rPr>
                <w:sz w:val="22"/>
                <w:szCs w:val="22"/>
              </w:rPr>
              <w:t>dynamickejší rozvoj dodávateľských reťazcov</w:t>
            </w:r>
            <w:r w:rsidRPr="00303C6A">
              <w:rPr>
                <w:sz w:val="22"/>
                <w:szCs w:val="22"/>
              </w:rPr>
              <w:t xml:space="preserve"> podporených subjektov. Predpokladáme, že pôjde vo veľkej miere o podniky kategórie MSP.</w:t>
            </w:r>
          </w:p>
          <w:p w14:paraId="06832768" w14:textId="77777777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>Zjednodušením čerpania jednotlivých foriem investičnej pomoci budú pozitívne ovplyvnení všetci prijímatelia investičnej pomoci.</w:t>
            </w:r>
          </w:p>
          <w:p w14:paraId="708B7C92" w14:textId="77777777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Opatrením zabezpečíme podporu ďalšej expanzie už etablovaných podnikov a s tým súvisiace pozitívne efekty pre ich dodávateľov a subdodávateľov. </w:t>
            </w:r>
          </w:p>
          <w:p w14:paraId="3236EB4B" w14:textId="77777777" w:rsidR="00E51224" w:rsidRPr="00303C6A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lastRenderedPageBreak/>
              <w:t>Opatrenie umožní väčšiu podporu podnikov v menej rozvinutých regiónoch. Vzhľadom na štruktúru podnikov v hospodárstve SR očakávame zvýšenie podpory aj podnikov kategórie MSP.</w:t>
            </w:r>
          </w:p>
          <w:p w14:paraId="7FED78A1" w14:textId="65413161" w:rsidR="00E51224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303C6A">
              <w:rPr>
                <w:sz w:val="22"/>
                <w:szCs w:val="22"/>
              </w:rPr>
              <w:t xml:space="preserve">Zmenou podmienky pre technologické centrá a centrá podnikových </w:t>
            </w:r>
            <w:r w:rsidR="007E6FF3">
              <w:rPr>
                <w:sz w:val="22"/>
                <w:szCs w:val="22"/>
              </w:rPr>
              <w:t xml:space="preserve">služieb </w:t>
            </w:r>
            <w:r w:rsidRPr="00303C6A">
              <w:rPr>
                <w:sz w:val="22"/>
                <w:szCs w:val="22"/>
              </w:rPr>
              <w:t>v oblasti zamestnávania VŠ vzdelaných ľudí podporíme skutočný inovačný potenciál uvedených spoločností</w:t>
            </w:r>
            <w:r w:rsidR="00505B44">
              <w:rPr>
                <w:sz w:val="22"/>
                <w:szCs w:val="22"/>
              </w:rPr>
              <w:t>.</w:t>
            </w:r>
          </w:p>
          <w:p w14:paraId="1F245EA4" w14:textId="18EBB97A" w:rsidR="00E51224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 w:rsidRPr="00E51224">
              <w:rPr>
                <w:sz w:val="22"/>
                <w:szCs w:val="22"/>
              </w:rPr>
              <w:t>Umožnením kombinácie investičných zámerov v oblasti priemyselnej výroby a technologických centier podporíme inovačný potenciál spoločností</w:t>
            </w:r>
            <w:r>
              <w:rPr>
                <w:sz w:val="22"/>
                <w:szCs w:val="22"/>
              </w:rPr>
              <w:t>.</w:t>
            </w:r>
          </w:p>
          <w:p w14:paraId="263729FB" w14:textId="715051AE" w:rsidR="00E51224" w:rsidRDefault="00E51224" w:rsidP="00E51224">
            <w:pPr>
              <w:ind w:left="22"/>
              <w:jc w:val="both"/>
              <w:rPr>
                <w:sz w:val="22"/>
                <w:szCs w:val="22"/>
              </w:rPr>
            </w:pPr>
          </w:p>
          <w:p w14:paraId="315A6A50" w14:textId="11103E64" w:rsidR="00E51224" w:rsidRDefault="00E51224" w:rsidP="00E512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Možný negatívny dopad na konkurentov </w:t>
            </w:r>
            <w:r w:rsidR="00505B44">
              <w:rPr>
                <w:sz w:val="22"/>
                <w:szCs w:val="22"/>
              </w:rPr>
              <w:t xml:space="preserve">prijímateľov </w:t>
            </w:r>
            <w:r>
              <w:rPr>
                <w:sz w:val="22"/>
                <w:szCs w:val="22"/>
              </w:rPr>
              <w:t>investičnej pomoci je kompenzovaný transparentnosťou procesu poskytovania investičnej pomoci a možnosťou uchádzať sa o investičnú pomoc každého podnikateľského subjektu, ktorý je registrovaný v Slovenskej republike a spĺňa podmienky zákona o regionálnej investičnej pomoci.</w:t>
            </w:r>
          </w:p>
          <w:p w14:paraId="1C98E042" w14:textId="2D59D685" w:rsidR="00E51224" w:rsidRDefault="00E51224" w:rsidP="00E512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553FD7B" w14:textId="77777777" w:rsidR="00E51224" w:rsidRDefault="00E51224" w:rsidP="00E51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Hlavné pozitívne dôsledky sú:</w:t>
            </w:r>
          </w:p>
          <w:p w14:paraId="62304E12" w14:textId="77777777" w:rsidR="00E51224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Zvýšenie konkurencieschopnosti spoločností pôsobiacich na Slovensku.</w:t>
            </w:r>
          </w:p>
          <w:p w14:paraId="722FE213" w14:textId="3736483D" w:rsidR="00E51224" w:rsidRDefault="00E51224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Zvýšenie inovačného potenciálu slovenských spoločnost</w:t>
            </w:r>
            <w:r w:rsidR="00505B44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.</w:t>
            </w:r>
          </w:p>
          <w:p w14:paraId="3200F56E" w14:textId="40DB4352" w:rsidR="00E51224" w:rsidRDefault="00104C17" w:rsidP="00E5122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Zvýšenie exportného potenciálu s</w:t>
            </w:r>
            <w:r w:rsidR="00E51224">
              <w:rPr>
                <w:sz w:val="22"/>
                <w:szCs w:val="22"/>
              </w:rPr>
              <w:t>lovenských spoločností.</w:t>
            </w:r>
          </w:p>
          <w:p w14:paraId="0E0B3153" w14:textId="387E11B2" w:rsidR="00665543" w:rsidRPr="00E51224" w:rsidRDefault="00E51224" w:rsidP="00505B44">
            <w:pPr>
              <w:pStyle w:val="Odsekzoznamu"/>
              <w:numPr>
                <w:ilvl w:val="0"/>
                <w:numId w:val="1"/>
              </w:numPr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Motivovanie podnikateľov do </w:t>
            </w:r>
            <w:r w:rsidR="00505B44">
              <w:rPr>
                <w:sz w:val="22"/>
                <w:szCs w:val="22"/>
              </w:rPr>
              <w:t>rozvoja</w:t>
            </w:r>
            <w:r w:rsidR="000760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svojich aktivít smerom k tvorbe pridanej hodnoty.</w:t>
            </w:r>
          </w:p>
        </w:tc>
      </w:tr>
      <w:tr w:rsidR="00665543" w:rsidRPr="00F04CCD" w14:paraId="213187D1" w14:textId="77777777" w:rsidTr="007B62AD">
        <w:tc>
          <w:tcPr>
            <w:tcW w:w="9212" w:type="dxa"/>
            <w:shd w:val="clear" w:color="auto" w:fill="D9D9D9" w:themeFill="background1" w:themeFillShade="D9"/>
          </w:tcPr>
          <w:p w14:paraId="0A26C2DE" w14:textId="77777777" w:rsidR="00665543" w:rsidRPr="00042C66" w:rsidRDefault="00665543" w:rsidP="007B62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14:paraId="0C0E71D4" w14:textId="77777777" w:rsidR="00665543" w:rsidRPr="00F04CCD" w:rsidRDefault="00665543" w:rsidP="007B62A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5543" w:rsidRPr="00F04CCD" w14:paraId="5ECD356A" w14:textId="77777777" w:rsidTr="007B62AD">
        <w:tc>
          <w:tcPr>
            <w:tcW w:w="9212" w:type="dxa"/>
          </w:tcPr>
          <w:p w14:paraId="04342071" w14:textId="77777777" w:rsidR="00665543" w:rsidRPr="00B727AB" w:rsidRDefault="00665543" w:rsidP="007B62AD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</w:tc>
      </w:tr>
      <w:tr w:rsidR="00665543" w:rsidRPr="00F04CCD" w14:paraId="32B21101" w14:textId="77777777" w:rsidTr="007B62AD">
        <w:trPr>
          <w:trHeight w:val="449"/>
        </w:trPr>
        <w:tc>
          <w:tcPr>
            <w:tcW w:w="9212" w:type="dxa"/>
          </w:tcPr>
          <w:p w14:paraId="0186FD5A" w14:textId="5779A2B8" w:rsidR="00665543" w:rsidRPr="00B727AB" w:rsidRDefault="00665543" w:rsidP="0094196F">
            <w:pPr>
              <w:jc w:val="both"/>
              <w:rPr>
                <w:i/>
              </w:rPr>
            </w:pPr>
            <w:r w:rsidRPr="0094196F">
              <w:rPr>
                <w:sz w:val="22"/>
                <w:szCs w:val="22"/>
              </w:rPr>
              <w:t>V nadväznosti na bod 3.4 je možné očakávať zvýšený záujem investorov o</w:t>
            </w:r>
            <w:r w:rsidR="00104C17">
              <w:rPr>
                <w:sz w:val="22"/>
                <w:szCs w:val="22"/>
              </w:rPr>
              <w:t> inovačný,</w:t>
            </w:r>
            <w:r w:rsidRPr="0094196F">
              <w:rPr>
                <w:sz w:val="22"/>
                <w:szCs w:val="22"/>
              </w:rPr>
              <w:t xml:space="preserve"> výskumný a vývojový potenciál, resp. o výrazný rozvoj a budovanie výskumno-vývojových kapacít.</w:t>
            </w:r>
            <w:r w:rsidR="0094196F">
              <w:rPr>
                <w:sz w:val="22"/>
                <w:szCs w:val="22"/>
              </w:rPr>
              <w:t xml:space="preserve"> Uvedené sa týka aj podnikov kategórie MSP</w:t>
            </w:r>
            <w:r w:rsidR="00505B44">
              <w:rPr>
                <w:sz w:val="22"/>
                <w:szCs w:val="22"/>
              </w:rPr>
              <w:t>.</w:t>
            </w:r>
            <w:r w:rsidR="0094196F">
              <w:rPr>
                <w:sz w:val="22"/>
                <w:szCs w:val="22"/>
              </w:rPr>
              <w:t xml:space="preserve"> </w:t>
            </w:r>
          </w:p>
        </w:tc>
      </w:tr>
    </w:tbl>
    <w:p w14:paraId="3F373A7F" w14:textId="01BB8F95" w:rsidR="00826D7B" w:rsidRDefault="00826D7B"/>
    <w:sectPr w:rsidR="00826D7B" w:rsidSect="007E6F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9A67" w14:textId="77777777" w:rsidR="00164D0F" w:rsidRDefault="00164D0F">
      <w:r>
        <w:separator/>
      </w:r>
    </w:p>
  </w:endnote>
  <w:endnote w:type="continuationSeparator" w:id="0">
    <w:p w14:paraId="184FCF96" w14:textId="77777777" w:rsidR="00164D0F" w:rsidRDefault="0016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766C" w14:textId="73E041BE" w:rsidR="00944632" w:rsidRDefault="00944632">
    <w:pPr>
      <w:pStyle w:val="Pta"/>
      <w:jc w:val="right"/>
    </w:pPr>
  </w:p>
  <w:p w14:paraId="41A6255A" w14:textId="77777777" w:rsidR="009F2DFA" w:rsidRDefault="00012F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FDA4" w14:textId="77777777" w:rsidR="00164D0F" w:rsidRDefault="00164D0F">
      <w:r>
        <w:separator/>
      </w:r>
    </w:p>
  </w:footnote>
  <w:footnote w:type="continuationSeparator" w:id="0">
    <w:p w14:paraId="68180A0E" w14:textId="77777777" w:rsidR="00164D0F" w:rsidRDefault="0016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F093" w14:textId="77777777" w:rsidR="009F2DFA" w:rsidRDefault="00665543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1190EF14" w14:textId="77777777" w:rsidR="009F2DFA" w:rsidRDefault="00012F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D36"/>
    <w:multiLevelType w:val="hybridMultilevel"/>
    <w:tmpl w:val="00E80AFC"/>
    <w:lvl w:ilvl="0" w:tplc="B6DA6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3"/>
    <w:rsid w:val="00012FB9"/>
    <w:rsid w:val="00020CB2"/>
    <w:rsid w:val="00041A14"/>
    <w:rsid w:val="000760FD"/>
    <w:rsid w:val="000F3316"/>
    <w:rsid w:val="00104C17"/>
    <w:rsid w:val="00164D0F"/>
    <w:rsid w:val="002C03EA"/>
    <w:rsid w:val="00303C6A"/>
    <w:rsid w:val="003C7EC5"/>
    <w:rsid w:val="00425B5E"/>
    <w:rsid w:val="004A0D6A"/>
    <w:rsid w:val="00505B44"/>
    <w:rsid w:val="00627A62"/>
    <w:rsid w:val="00665543"/>
    <w:rsid w:val="006A41DF"/>
    <w:rsid w:val="00705B88"/>
    <w:rsid w:val="00736129"/>
    <w:rsid w:val="00763A8B"/>
    <w:rsid w:val="00771847"/>
    <w:rsid w:val="007E6FF3"/>
    <w:rsid w:val="00826D7B"/>
    <w:rsid w:val="0094196F"/>
    <w:rsid w:val="00944632"/>
    <w:rsid w:val="00960811"/>
    <w:rsid w:val="00987A8A"/>
    <w:rsid w:val="00AE312E"/>
    <w:rsid w:val="00BC52A2"/>
    <w:rsid w:val="00BC733B"/>
    <w:rsid w:val="00BD6F2E"/>
    <w:rsid w:val="00BF287D"/>
    <w:rsid w:val="00CB03E2"/>
    <w:rsid w:val="00DD5200"/>
    <w:rsid w:val="00E51224"/>
    <w:rsid w:val="00E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8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5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5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55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5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5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54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6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5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5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55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5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5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54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6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revision>2</cp:revision>
  <dcterms:created xsi:type="dcterms:W3CDTF">2017-10-26T09:38:00Z</dcterms:created>
  <dcterms:modified xsi:type="dcterms:W3CDTF">2017-10-26T09:38:00Z</dcterms:modified>
</cp:coreProperties>
</file>