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7B71A4">
              <w:sdt>
                <w:sdtPr>
                  <w:id w:val="43339831"/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463D54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753939" w:rsidTr="00F15A62">
        <w:trPr>
          <w:trHeight w:val="523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Default="00753939" w:rsidP="007B71A4">
            <w:r w:rsidRPr="00753939">
              <w:t>Pozemkové spoločenstvá</w:t>
            </w:r>
            <w:r w:rsidR="00231AF5">
              <w:t>.</w:t>
            </w:r>
          </w:p>
          <w:p w:rsidR="00753939" w:rsidRPr="00753939" w:rsidRDefault="00231AF5" w:rsidP="007B71A4">
            <w:r>
              <w:t>Približne 3 000.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3969EA" w:rsidRPr="00607BBC" w:rsidRDefault="003969EA" w:rsidP="00654802">
            <w:pPr>
              <w:jc w:val="both"/>
            </w:pPr>
            <w:r>
              <w:t>MPRV</w:t>
            </w:r>
            <w:r w:rsidRPr="003969EA">
              <w:t xml:space="preserve"> SR na portáli Slov-lex zverejnil predbežnú informáciu o pripravovanom návrhu právneho predpisu, pričom verejnosť mala možnosť zapojiť sa do prípravy právneho predpisu formou zasielania podnetov alebo návrhov</w:t>
            </w:r>
            <w:r w:rsidRPr="00607BBC">
              <w:t>.</w:t>
            </w:r>
            <w:r w:rsidR="00F15A62" w:rsidRPr="00607BBC">
              <w:t xml:space="preserve"> Konzultácie boli vykonané zverejnením na webovom sídle MPRV SR od 25.4. do 25.5.2017.</w:t>
            </w:r>
          </w:p>
          <w:p w:rsidR="009F2DFA" w:rsidRPr="003969EA" w:rsidRDefault="003969EA" w:rsidP="00654802">
            <w:pPr>
              <w:jc w:val="both"/>
            </w:pPr>
            <w:r w:rsidRPr="00607BBC">
              <w:t xml:space="preserve">MPRV SR </w:t>
            </w:r>
            <w:r w:rsidR="00F15A62" w:rsidRPr="00607BBC">
              <w:t xml:space="preserve">v rámci konzultácií </w:t>
            </w:r>
            <w:r w:rsidRPr="00607BBC">
              <w:t>prizvalo</w:t>
            </w:r>
            <w:r>
              <w:t xml:space="preserve"> k vypracovaniu tohto návrhu komisiu, ktorú tvorili zástupcovia </w:t>
            </w:r>
            <w:r w:rsidR="009E4648">
              <w:t>jednotlivých inštitúcií ako sú LESY Slovenskej republiky. š. p., Únia regionálnych združení vlastníkov neštátnych lesov Slovenska, Združenie vlastníkov spoločenstevných a súkromných lesov Banskobystrického kraja, Slovenský pozemkový fond a zamestnancov Okresných úradov Žilina, Vranov nad Topľou a Žiar nad Hronom, odbor pozemkový a</w:t>
            </w:r>
            <w:r w:rsidR="00753939">
              <w:t> </w:t>
            </w:r>
            <w:r w:rsidR="009E4648">
              <w:t>le</w:t>
            </w:r>
            <w:r w:rsidR="00753939">
              <w:t>sný a tiež konzultovalo aj s Úradom geodézie, kartografie a katastra Slovenskej republiky.</w:t>
            </w:r>
            <w:r w:rsidR="00F15A62">
              <w:t xml:space="preserve"> </w:t>
            </w:r>
            <w:r w:rsidR="009E4648">
              <w:t>Konzultácie preb</w:t>
            </w:r>
            <w:r w:rsidR="00753939">
              <w:t xml:space="preserve">iehali počas  celého procesu, </w:t>
            </w:r>
            <w:r w:rsidRPr="003969EA">
              <w:t xml:space="preserve">výsledky konzultácií </w:t>
            </w:r>
            <w:r w:rsidR="00753939">
              <w:t xml:space="preserve">boli zapracované </w:t>
            </w:r>
            <w:r w:rsidRPr="003969EA">
              <w:t>do návrhu právneho predpisu.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  <w:bookmarkStart w:id="0" w:name="_GoBack"/>
            <w:bookmarkEnd w:id="0"/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Dochádza k zvýšeniu/zníženiu priamych finančných nákladov (poplatky, odvody, dane clá...)? Ak áno, popíšte a</w:t>
            </w:r>
            <w:r w:rsidR="00654802">
              <w:rPr>
                <w:i/>
              </w:rPr>
              <w:t> </w:t>
            </w:r>
            <w:r w:rsidRPr="00F04CCD">
              <w:rPr>
                <w:i/>
              </w:rPr>
              <w:t xml:space="preserve">vyčíslite ich. Uveďte tiež spôsob ich výpočtu. </w:t>
            </w:r>
          </w:p>
        </w:tc>
      </w:tr>
      <w:tr w:rsidR="009F2DFA" w:rsidRPr="00F04CCD" w:rsidTr="00F15A62">
        <w:trPr>
          <w:trHeight w:val="26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31AF5" w:rsidP="00F15A62">
            <w:pPr>
              <w:tabs>
                <w:tab w:val="left" w:pos="1290"/>
              </w:tabs>
              <w:rPr>
                <w:b/>
                <w:i/>
              </w:rPr>
            </w:pPr>
            <w:r>
              <w:t>D</w:t>
            </w:r>
            <w:r w:rsidR="003969EA" w:rsidRPr="003969EA">
              <w:t>ochádza</w:t>
            </w:r>
            <w:r>
              <w:t xml:space="preserve"> k zníženiu správneho poplatku pri zápise zmien do registra pozemkových spoločenstiev</w:t>
            </w:r>
            <w:r w:rsidR="003969EA">
              <w:t>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3969EA" w:rsidP="00F15A62">
            <w:pPr>
              <w:rPr>
                <w:b/>
                <w:i/>
              </w:rPr>
            </w:pPr>
            <w:r w:rsidRPr="003969EA">
              <w:t>Nevyžaduje.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F15A62" w:rsidP="00654802">
            <w:pPr>
              <w:jc w:val="both"/>
              <w:rPr>
                <w:b/>
                <w:i/>
              </w:rPr>
            </w:pPr>
            <w:r w:rsidRPr="00607BBC">
              <w:t>V rámci prechodných ustanovení sa ukladá prispôsobiť právne pomery novele zákona do určeného dátumu.</w:t>
            </w:r>
            <w:r w:rsidR="00231AF5">
              <w:t xml:space="preserve"> Zverejnením údajov registra pozemkových spoločenstiev </w:t>
            </w:r>
            <w:r w:rsidR="00654802">
              <w:t xml:space="preserve">sa </w:t>
            </w:r>
            <w:r w:rsidR="00231AF5">
              <w:t>zníži</w:t>
            </w:r>
            <w:r w:rsidR="00654802">
              <w:t>a</w:t>
            </w:r>
            <w:r w:rsidR="00231AF5">
              <w:t xml:space="preserve"> administratívne bariéry pre potreby informovania podnikateľov o pozemkových spoločenstvách. </w:t>
            </w:r>
          </w:p>
        </w:tc>
      </w:tr>
      <w:tr w:rsidR="009F2DFA" w:rsidRPr="00F04CCD" w:rsidTr="00F15A62">
        <w:trPr>
          <w:trHeight w:val="1853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</w:t>
            </w:r>
            <w:r>
              <w:rPr>
                <w:i/>
              </w:rPr>
              <w:lastRenderedPageBreak/>
              <w:t xml:space="preserve">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F15A62">
        <w:trPr>
          <w:trHeight w:val="303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3969EA" w:rsidRDefault="003969EA" w:rsidP="007B71A4">
            <w:r w:rsidRPr="003969EA">
              <w:lastRenderedPageBreak/>
              <w:t>Nedochádza.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654802">
            <w:pPr>
              <w:jc w:val="both"/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654802">
            <w:pPr>
              <w:jc w:val="both"/>
            </w:pPr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F15A62">
        <w:trPr>
          <w:trHeight w:val="164"/>
        </w:trPr>
        <w:tc>
          <w:tcPr>
            <w:tcW w:w="9212" w:type="dxa"/>
          </w:tcPr>
          <w:p w:rsidR="009F2DFA" w:rsidRPr="003969EA" w:rsidRDefault="003969EA" w:rsidP="007B71A4">
            <w:r w:rsidRPr="003969EA">
              <w:t>Žiadne.</w:t>
            </w: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>
      <w:pPr>
        <w:rPr>
          <w:b/>
          <w:sz w:val="24"/>
        </w:rPr>
      </w:pPr>
    </w:p>
    <w:sectPr w:rsidR="009F2DFA" w:rsidSect="007B31C0">
      <w:footerReference w:type="default" r:id="rId9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66" w:rsidRDefault="00D43D66" w:rsidP="009F2DFA">
      <w:r>
        <w:separator/>
      </w:r>
    </w:p>
  </w:endnote>
  <w:endnote w:type="continuationSeparator" w:id="0">
    <w:p w:rsidR="00D43D66" w:rsidRDefault="00D43D66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895102972"/>
      <w:docPartObj>
        <w:docPartGallery w:val="Page Numbers (Bottom of Page)"/>
        <w:docPartUnique/>
      </w:docPartObj>
    </w:sdtPr>
    <w:sdtContent>
      <w:p w:rsidR="007B31C0" w:rsidRPr="007B31C0" w:rsidRDefault="007B31C0">
        <w:pPr>
          <w:pStyle w:val="Pta"/>
          <w:jc w:val="center"/>
          <w:rPr>
            <w:sz w:val="24"/>
            <w:szCs w:val="24"/>
          </w:rPr>
        </w:pPr>
        <w:r w:rsidRPr="007B31C0">
          <w:rPr>
            <w:sz w:val="24"/>
            <w:szCs w:val="24"/>
          </w:rPr>
          <w:fldChar w:fldCharType="begin"/>
        </w:r>
        <w:r w:rsidRPr="007B31C0">
          <w:rPr>
            <w:sz w:val="24"/>
            <w:szCs w:val="24"/>
          </w:rPr>
          <w:instrText>PAGE   \* MERGEFORMAT</w:instrText>
        </w:r>
        <w:r w:rsidRPr="007B31C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16</w:t>
        </w:r>
        <w:r w:rsidRPr="007B31C0">
          <w:rPr>
            <w:sz w:val="24"/>
            <w:szCs w:val="24"/>
          </w:rPr>
          <w:fldChar w:fldCharType="end"/>
        </w:r>
      </w:p>
    </w:sdtContent>
  </w:sdt>
  <w:p w:rsidR="009F2DFA" w:rsidRPr="007B31C0" w:rsidRDefault="009F2DFA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66" w:rsidRDefault="00D43D66" w:rsidP="009F2DFA">
      <w:r>
        <w:separator/>
      </w:r>
    </w:p>
  </w:footnote>
  <w:footnote w:type="continuationSeparator" w:id="0">
    <w:p w:rsidR="00D43D66" w:rsidRDefault="00D43D66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C13"/>
    <w:rsid w:val="000F6002"/>
    <w:rsid w:val="00154881"/>
    <w:rsid w:val="00231AF5"/>
    <w:rsid w:val="002B1108"/>
    <w:rsid w:val="003969EA"/>
    <w:rsid w:val="00463D54"/>
    <w:rsid w:val="0052297F"/>
    <w:rsid w:val="00607BBC"/>
    <w:rsid w:val="00654802"/>
    <w:rsid w:val="00683F1B"/>
    <w:rsid w:val="006F29CE"/>
    <w:rsid w:val="00753939"/>
    <w:rsid w:val="00780BA6"/>
    <w:rsid w:val="007B31C0"/>
    <w:rsid w:val="00837639"/>
    <w:rsid w:val="008A1252"/>
    <w:rsid w:val="008B511A"/>
    <w:rsid w:val="00904C9B"/>
    <w:rsid w:val="009E4648"/>
    <w:rsid w:val="009F2DFA"/>
    <w:rsid w:val="00B31A8E"/>
    <w:rsid w:val="00BA073A"/>
    <w:rsid w:val="00CB3623"/>
    <w:rsid w:val="00D43D66"/>
    <w:rsid w:val="00DA1DE6"/>
    <w:rsid w:val="00E86AD1"/>
    <w:rsid w:val="00EB369F"/>
    <w:rsid w:val="00F04CDC"/>
    <w:rsid w:val="00F15A62"/>
    <w:rsid w:val="00F41620"/>
    <w:rsid w:val="00FB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D199A-CD28-4521-8A06-36E98B20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alýza-vplyvov-na-podnikateľské-prostredie"/>
    <f:field ref="objsubject" par="" edit="true" text=""/>
    <f:field ref="objcreatedby" par="" text="Illáš, Martin, Mgr."/>
    <f:field ref="objcreatedat" par="" text="15.8.2017 19:48:40"/>
    <f:field ref="objchangedby" par="" text="Administrator, System"/>
    <f:field ref="objmodifiedat" par="" text="15.8.2017 19:48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074CD76-32B5-44FB-9C0F-AF933BD3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Illáš Martin</cp:lastModifiedBy>
  <cp:revision>11</cp:revision>
  <dcterms:created xsi:type="dcterms:W3CDTF">2017-06-19T12:25:00Z</dcterms:created>
  <dcterms:modified xsi:type="dcterms:W3CDTF">2017-10-24T09:16:00Z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Nehnuteľnosti_x000d_
Vecné práva_x000d_
Lesy a lesné hospodárstvo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Martin Illáš</vt:lpwstr>
  </property>
  <property fmtid="{D5CDD505-2E9C-101B-9397-08002B2CF9AE}" pid="12" name="FSC#SKEDITIONSLOVLEX@103.510:zodppredkladatel">
    <vt:lpwstr>Gabriela Matečná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97/2013 Z. z. o pozemkových spoločenstvách v znení zákona č. 34/2014 Z. z.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č. 3 na mesiac október z PLÚ VSR na rok 2017_x000d_
</vt:lpwstr>
  </property>
  <property fmtid="{D5CDD505-2E9C-101B-9397-08002B2CF9AE}" pid="23" name="FSC#SKEDITIONSLOVLEX@103.510:plnynazovpredpis">
    <vt:lpwstr> Zákon, ktorým sa mení a dopĺňa zákon č. 97/2013 Z. z. o pozemkových spoločenstvách v znení zákona č. 34/2014 Z. z.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2829/2017-410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LP/2017/614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pôdohospodárstva a rozvoja vidieka Slovenskej republiky</vt:lpwstr>
  </property>
  <property fmtid="{D5CDD505-2E9C-101B-9397-08002B2CF9AE}" pid="58" name="FSC#SKEDITIONSLOVLEX@103.510:AttrDateDocPropZaciatokPKK">
    <vt:lpwstr>27. 7. 2017</vt:lpwstr>
  </property>
  <property fmtid="{D5CDD505-2E9C-101B-9397-08002B2CF9AE}" pid="59" name="FSC#SKEDITIONSLOVLEX@103.510:AttrDateDocPropUkonceniePKK">
    <vt:lpwstr>9. 8. 2017</vt:lpwstr>
  </property>
  <property fmtid="{D5CDD505-2E9C-101B-9397-08002B2CF9AE}" pid="60" name="FSC#SKEDITIONSLOVLEX@103.510:AttrStrDocPropVplyvRozpocetVS">
    <vt:lpwstr>Pozitívne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</vt:lpwstr>
  </property>
  <property fmtid="{D5CDD505-2E9C-101B-9397-08002B2CF9AE}" pid="67" name="FSC#SKEDITIONSLOVLEX@103.510:AttrStrListDocPropStanoviskoGest">
    <vt:lpwstr>I. Úvod: Ministerstvo pôdohospodárstva a rozvoja vidieka Slovenskej republiky dňa 26. júla 2017 predložilo Stálej pracovnej komisii na posudzovanie vybraných vplyvov (ďalej len „Komisia“) na predbežné pripomienkové konanie materiál „Zákon, ktorým sa mení 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97/2013 Z. z. o pozemkových spoločenstvách v znení zákona č. 34/2014 Z. z. a o zmene a doplnení niektorých zák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pôdohospodárstva a rozvoja vidieka Slovenskej republiky</vt:lpwstr>
  </property>
  <property fmtid="{D5CDD505-2E9C-101B-9397-08002B2CF9AE}" pid="142" name="FSC#SKEDITIONSLOVLEX@103.510:funkciaZodpPredAkuzativ">
    <vt:lpwstr>ministerka pôdohospodárstva a rozvoja vidieka Slovenskej republiky</vt:lpwstr>
  </property>
  <property fmtid="{D5CDD505-2E9C-101B-9397-08002B2CF9AE}" pid="143" name="FSC#SKEDITIONSLOVLEX@103.510:funkciaZodpPredDativ">
    <vt:lpwstr>ministerka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Gabriela Matečná_x000d_
ministerka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pôdohospodárstva a&amp;nbsp;rozvoja vidieka Slovenskej republiky predkladá návrh zákona, ktorým sa mení a&amp;nbsp;dopĺňa zákon č. 97/2013 Z. z. o&amp;nbsp;pozemkových spoločenstvách v&amp;nbsp;znení zákona č. 34/2014 Z. z. a&amp;</vt:lpwstr>
  </property>
  <property fmtid="{D5CDD505-2E9C-101B-9397-08002B2CF9AE}" pid="150" name="FSC#SKEDITIONSLOVLEX@103.510:vytvorenedna">
    <vt:lpwstr>15. 8. 2017</vt:lpwstr>
  </property>
  <property fmtid="{D5CDD505-2E9C-101B-9397-08002B2CF9AE}" pid="151" name="FSC#COOSYSTEM@1.1:Container">
    <vt:lpwstr>COO.2145.1000.3.2124675</vt:lpwstr>
  </property>
  <property fmtid="{D5CDD505-2E9C-101B-9397-08002B2CF9AE}" pid="152" name="FSC#FSCFOLIO@1.1001:docpropproject">
    <vt:lpwstr/>
  </property>
</Properties>
</file>