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748" w:rsidRPr="007D5748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  <w:bookmarkStart w:id="0" w:name="_GoBack"/>
      <w:bookmarkEnd w:id="0"/>
    </w:p>
    <w:p w:rsidR="007D5748" w:rsidRPr="007D5748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E963A3" w:rsidRPr="00212894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Pr="00212894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1289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:rsidR="00E963A3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7D5748" w:rsidRPr="007D5748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1 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67"/>
        <w:gridCol w:w="1267"/>
        <w:gridCol w:w="1267"/>
        <w:gridCol w:w="1267"/>
      </w:tblGrid>
      <w:tr w:rsidR="007D5748" w:rsidRPr="007D5748" w:rsidTr="00C43889">
        <w:trPr>
          <w:cantSplit/>
          <w:trHeight w:val="194"/>
          <w:jc w:val="center"/>
        </w:trPr>
        <w:tc>
          <w:tcPr>
            <w:tcW w:w="4661" w:type="dxa"/>
            <w:vMerge w:val="restart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1" w:name="OLE_LINK1"/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BB31B5" w:rsidRPr="007D5748" w:rsidTr="00C43889">
        <w:trPr>
          <w:cantSplit/>
          <w:trHeight w:val="70"/>
          <w:jc w:val="center"/>
        </w:trPr>
        <w:tc>
          <w:tcPr>
            <w:tcW w:w="4661" w:type="dxa"/>
            <w:vMerge/>
            <w:shd w:val="clear" w:color="auto" w:fill="BFBFBF" w:themeFill="background1" w:themeFillShade="BF"/>
            <w:vAlign w:val="center"/>
          </w:tcPr>
          <w:p w:rsidR="00BB31B5" w:rsidRPr="007D5748" w:rsidRDefault="00BB31B5" w:rsidP="00BB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BB31B5" w:rsidRPr="007D5748" w:rsidRDefault="00BB31B5" w:rsidP="00BB3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BB31B5" w:rsidRPr="007D5748" w:rsidRDefault="00BB31B5" w:rsidP="00BB3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BB31B5" w:rsidRPr="007D5748" w:rsidRDefault="00BB31B5" w:rsidP="00BB3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BB31B5" w:rsidRPr="007D5748" w:rsidRDefault="00BB31B5" w:rsidP="00BB3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2021</w:t>
            </w:r>
          </w:p>
        </w:tc>
      </w:tr>
      <w:tr w:rsidR="007D5748" w:rsidRPr="007D5748" w:rsidTr="00C43889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7D5748" w:rsidRDefault="00F273DC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5 800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7D5748" w:rsidRDefault="00F273DC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32 500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7D5748" w:rsidRDefault="00F273DC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109 500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7D5748" w:rsidRDefault="00F273DC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261 500</w:t>
            </w:r>
          </w:p>
        </w:tc>
      </w:tr>
      <w:tr w:rsidR="003C5865" w:rsidRPr="007D5748" w:rsidTr="00180CF8">
        <w:trPr>
          <w:trHeight w:val="132"/>
          <w:jc w:val="center"/>
        </w:trPr>
        <w:tc>
          <w:tcPr>
            <w:tcW w:w="4661" w:type="dxa"/>
            <w:noWrap/>
            <w:vAlign w:val="center"/>
          </w:tcPr>
          <w:p w:rsidR="003C5865" w:rsidRPr="007D5748" w:rsidRDefault="003C5865" w:rsidP="00975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67" w:type="dxa"/>
            <w:noWrap/>
            <w:vAlign w:val="center"/>
          </w:tcPr>
          <w:p w:rsidR="003C5865" w:rsidRPr="008C1663" w:rsidRDefault="003C5865" w:rsidP="007E6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3C5865" w:rsidRPr="008C1663" w:rsidRDefault="003C5865" w:rsidP="007E6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3C5865" w:rsidRPr="008C1663" w:rsidRDefault="003C5865" w:rsidP="007E6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3C5865" w:rsidRPr="008C1663" w:rsidRDefault="003C5865" w:rsidP="007E6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3C5865" w:rsidRPr="007D5748" w:rsidTr="00F07039">
        <w:trPr>
          <w:trHeight w:val="132"/>
          <w:jc w:val="center"/>
        </w:trPr>
        <w:tc>
          <w:tcPr>
            <w:tcW w:w="4661" w:type="dxa"/>
            <w:noWrap/>
            <w:vAlign w:val="center"/>
          </w:tcPr>
          <w:p w:rsidR="003C5865" w:rsidRDefault="003C5865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3C5865" w:rsidRPr="008C1663" w:rsidRDefault="00F6555C" w:rsidP="007E6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- 13 000</w:t>
            </w:r>
          </w:p>
        </w:tc>
        <w:tc>
          <w:tcPr>
            <w:tcW w:w="1267" w:type="dxa"/>
            <w:noWrap/>
            <w:vAlign w:val="center"/>
          </w:tcPr>
          <w:p w:rsidR="003C5865" w:rsidRPr="008C1663" w:rsidRDefault="00F6555C" w:rsidP="007E6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- 22 000</w:t>
            </w:r>
          </w:p>
        </w:tc>
        <w:tc>
          <w:tcPr>
            <w:tcW w:w="1267" w:type="dxa"/>
            <w:noWrap/>
            <w:vAlign w:val="center"/>
          </w:tcPr>
          <w:p w:rsidR="003C5865" w:rsidRPr="008C1663" w:rsidRDefault="00F6555C" w:rsidP="007E6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- 20 000</w:t>
            </w:r>
          </w:p>
        </w:tc>
        <w:tc>
          <w:tcPr>
            <w:tcW w:w="1267" w:type="dxa"/>
            <w:noWrap/>
            <w:vAlign w:val="center"/>
          </w:tcPr>
          <w:p w:rsidR="003C5865" w:rsidRPr="008C1663" w:rsidRDefault="00F6555C" w:rsidP="00F655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- 18 000</w:t>
            </w:r>
          </w:p>
        </w:tc>
      </w:tr>
      <w:tr w:rsidR="00836AA3" w:rsidRPr="007D5748" w:rsidTr="00C43889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836AA3" w:rsidRPr="007D5748" w:rsidRDefault="00836AA3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 (vplyv na príjmy kapitoly Všeobecná pokladničná správa)</w:t>
            </w:r>
          </w:p>
        </w:tc>
        <w:tc>
          <w:tcPr>
            <w:tcW w:w="1267" w:type="dxa"/>
            <w:noWrap/>
            <w:vAlign w:val="center"/>
          </w:tcPr>
          <w:p w:rsidR="00836AA3" w:rsidRPr="00836AA3" w:rsidRDefault="00836AA3" w:rsidP="00BD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36A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- 13 000</w:t>
            </w:r>
          </w:p>
        </w:tc>
        <w:tc>
          <w:tcPr>
            <w:tcW w:w="1267" w:type="dxa"/>
            <w:noWrap/>
            <w:vAlign w:val="center"/>
          </w:tcPr>
          <w:p w:rsidR="00836AA3" w:rsidRPr="00836AA3" w:rsidRDefault="00836AA3" w:rsidP="00BD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36A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- 22 000</w:t>
            </w:r>
          </w:p>
        </w:tc>
        <w:tc>
          <w:tcPr>
            <w:tcW w:w="1267" w:type="dxa"/>
            <w:noWrap/>
            <w:vAlign w:val="center"/>
          </w:tcPr>
          <w:p w:rsidR="00836AA3" w:rsidRPr="00836AA3" w:rsidRDefault="00836AA3" w:rsidP="00BD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36A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- 20 000</w:t>
            </w:r>
          </w:p>
        </w:tc>
        <w:tc>
          <w:tcPr>
            <w:tcW w:w="1267" w:type="dxa"/>
            <w:noWrap/>
            <w:vAlign w:val="center"/>
          </w:tcPr>
          <w:p w:rsidR="00836AA3" w:rsidRPr="00836AA3" w:rsidRDefault="00836AA3" w:rsidP="00BD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36A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- 18 000</w:t>
            </w:r>
          </w:p>
        </w:tc>
      </w:tr>
      <w:tr w:rsidR="003C5865" w:rsidRPr="007D5748" w:rsidTr="00AD368D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3C5865" w:rsidRPr="007D5748" w:rsidRDefault="003C5865" w:rsidP="00BB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E6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E6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E6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E6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3C5865" w:rsidRPr="007D5748" w:rsidTr="00C43889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3C5865" w:rsidRPr="007D5748" w:rsidRDefault="003C5865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3C5865" w:rsidRPr="00E4730B" w:rsidRDefault="003C5865" w:rsidP="007E6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C5865" w:rsidRPr="00E4730B" w:rsidRDefault="003C5865" w:rsidP="007E6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C5865" w:rsidRPr="00E4730B" w:rsidRDefault="003C5865" w:rsidP="007E6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C5865" w:rsidRPr="00E4730B" w:rsidRDefault="003C5865" w:rsidP="007E68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3C5865" w:rsidRPr="007D5748" w:rsidTr="00C43889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3C5865" w:rsidRPr="007D5748" w:rsidRDefault="003C5865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CF1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CF1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CF1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CF1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3C5865" w:rsidRPr="007D5748" w:rsidTr="00836AA3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 </w:t>
            </w:r>
            <w:r w:rsidR="00836AA3" w:rsidRPr="0003604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(Slovenský pozemkový fond)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83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8C16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18 800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83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8C16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54</w:t>
            </w:r>
            <w:r w:rsidRPr="008C16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500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83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8C16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129</w:t>
            </w:r>
            <w:r w:rsidRPr="008C16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</w:t>
            </w:r>
            <w:r w:rsidRPr="008C16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00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83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8C16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279</w:t>
            </w:r>
            <w:r w:rsidRPr="008C16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500</w:t>
            </w:r>
          </w:p>
        </w:tc>
      </w:tr>
      <w:tr w:rsidR="003C5865" w:rsidRPr="007D5748" w:rsidTr="00180CF8">
        <w:trPr>
          <w:trHeight w:val="125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3C5865" w:rsidRPr="008C1663" w:rsidRDefault="003C5865" w:rsidP="00BD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3C5865" w:rsidRPr="008C1663" w:rsidRDefault="003C5865" w:rsidP="00BD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3C5865" w:rsidRPr="008C1663" w:rsidRDefault="003C5865" w:rsidP="00BD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3C5865" w:rsidRPr="008C1663" w:rsidRDefault="003C5865" w:rsidP="00BD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0   </w:t>
            </w:r>
          </w:p>
        </w:tc>
      </w:tr>
      <w:tr w:rsidR="003C5865" w:rsidRPr="007D5748" w:rsidTr="00180CF8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3C5865" w:rsidRPr="007D5748" w:rsidRDefault="003C5865" w:rsidP="00BB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/ program zvlášť</w:t>
            </w:r>
          </w:p>
        </w:tc>
        <w:tc>
          <w:tcPr>
            <w:tcW w:w="1267" w:type="dxa"/>
            <w:noWrap/>
            <w:vAlign w:val="center"/>
          </w:tcPr>
          <w:p w:rsidR="003C5865" w:rsidRPr="008C1663" w:rsidRDefault="003C5865" w:rsidP="00BD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C5865" w:rsidRPr="008C1663" w:rsidRDefault="003C5865" w:rsidP="00BD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C5865" w:rsidRPr="008C1663" w:rsidRDefault="003C5865" w:rsidP="00BD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C5865" w:rsidRPr="008C1663" w:rsidRDefault="003C5865" w:rsidP="00BD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3C5865" w:rsidRPr="007D5748" w:rsidTr="00F07039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3C5865" w:rsidRPr="007D5748" w:rsidTr="00C43889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3C5865" w:rsidRPr="007D5748" w:rsidTr="00C43889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3C5865" w:rsidRPr="007D5748" w:rsidTr="00C43889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3C5865" w:rsidRPr="007D5748" w:rsidTr="00C43889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3C5865" w:rsidRPr="007D5748" w:rsidRDefault="003C5865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3C5865" w:rsidRPr="007D5748" w:rsidTr="00C43889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3C5865" w:rsidRPr="007D5748" w:rsidTr="00C43889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3C5865" w:rsidRPr="007D5748" w:rsidTr="00C43889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3C5865" w:rsidRPr="007D5748" w:rsidTr="00180CF8">
        <w:trPr>
          <w:trHeight w:val="125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3C5865" w:rsidRPr="007D5748" w:rsidTr="00180CF8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3C5865" w:rsidRPr="007D5748" w:rsidTr="00F07039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3C5865" w:rsidRPr="007D5748" w:rsidTr="00C43889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3C5865" w:rsidRPr="007D5748" w:rsidTr="00C43889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3C5865" w:rsidRPr="007D5748" w:rsidTr="00180CF8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 w:rsidR="003C5865" w:rsidRPr="007D5748" w:rsidTr="00180CF8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3C5865" w:rsidRPr="007D5748" w:rsidTr="00F07039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3C5865" w:rsidRPr="007D5748" w:rsidTr="00C43889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3C5865" w:rsidRPr="007D5748" w:rsidTr="00C43889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3C5865" w:rsidRPr="007D5748" w:rsidTr="00180CF8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3C5865" w:rsidRPr="007D5748" w:rsidTr="00180CF8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/ program zvlášť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3C5865" w:rsidRPr="007D5748" w:rsidTr="00180CF8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3C5865" w:rsidRPr="007D5748" w:rsidTr="00180CF8">
        <w:trPr>
          <w:trHeight w:val="70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3C5865" w:rsidRPr="007D5748" w:rsidRDefault="003C586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bookmarkEnd w:id="1"/>
    </w:tbl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Default="00E963A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br w:type="page"/>
      </w: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2.1.1. Financovanie návrhu - Návrh na riešenie úbytku príjmov alebo zvýšených výdavkov podľa § 33 ods. 1 zákona č. 523/2004 Z. z. o rozpočtových pravidlách verejnej správy:</w:t>
      </w: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sk-SK"/>
        </w:rPr>
      </w:pPr>
    </w:p>
    <w:p w:rsidR="007D5748" w:rsidRPr="00BF7F75" w:rsidRDefault="00BF7F75" w:rsidP="00F33D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BF7F7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Vzhľadom na minimálny vplyv na príjmy štátneho </w:t>
      </w:r>
      <w:r w:rsidR="0030427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rozpočtu</w:t>
      </w:r>
      <w:r w:rsidRPr="00BF7F7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30427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kapitoly </w:t>
      </w:r>
      <w:r w:rsidR="0097593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Všeobecná pokladničná správa</w:t>
      </w:r>
      <w:r w:rsidRPr="00BF7F7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sa nenavrhujú osobitné riešenia úbytku príjmov vznikajúcich so zmeny sadzby správneho poplatku.</w:t>
      </w:r>
    </w:p>
    <w:p w:rsidR="007D5748" w:rsidRPr="007D5748" w:rsidRDefault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Akú problematiku návrh rieši? Kto bude návrh implementovať? Kde sa budú služby poskytovať?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F41B22" w:rsidRDefault="00C43889" w:rsidP="00F41B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1B22">
        <w:rPr>
          <w:rFonts w:ascii="Times New Roman" w:hAnsi="Times New Roman" w:cs="Times New Roman"/>
          <w:sz w:val="24"/>
          <w:szCs w:val="24"/>
        </w:rPr>
        <w:t>Návrh zákona rieši nedostatky vyplývajúce z aplikačnej praxe zákona tak na strane orgánov štátnej správy ako aj na strane pozemkových spoločenstiev a ich členov, ako aj dlhodobé problematické otázky vyplývajúce z existencie špecifického typu nedeliteľného spoluvlastníctva (spoločná nehnuteľnosť) a jeho organizačného substrátu (pozemkové spoločenstvo, ďalej len „spoločenstvo“), ktoré pretrvávajú v našom právnom poriadku ako určitý anachronizmus feudálneho práva. Návrh zákona sa preto dotýka niektorých systematických problémov, vo väčšej miere sa týka vnútornej organizácie a fungovania pozemkových spoločenstiev, vzťahu pozemkových spoločenstiev so Slovenským pozemkovým fondom (ďalej len „fond“) a správcom lesného majetku štátu (ďalej len „správca“), ďalej zabezpečenia riadnej starostlivosti a obhospodarovania poľnohospodárskych a lesných pozemkov, resp. lesných porastov, zásadným spôsobom zasiahne do konaní okresných úradov pri vedení registra pozemkových spoločenstiev (ďalej len „register“) a rieši aj viac detailnejších nedostatkov súčasnej právnej úpravy.</w:t>
      </w:r>
    </w:p>
    <w:p w:rsidR="002462EB" w:rsidRPr="00F41B22" w:rsidRDefault="00C43889" w:rsidP="00F41B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B22">
        <w:rPr>
          <w:rFonts w:ascii="Times New Roman" w:hAnsi="Times New Roman" w:cs="Times New Roman"/>
          <w:sz w:val="24"/>
          <w:szCs w:val="24"/>
        </w:rPr>
        <w:tab/>
        <w:t xml:space="preserve">Vo vzťahu k rozpočtu verejnej správy </w:t>
      </w:r>
    </w:p>
    <w:p w:rsidR="00C43889" w:rsidRPr="00F41B22" w:rsidRDefault="00C43889" w:rsidP="00F41B22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41B22">
        <w:rPr>
          <w:rFonts w:ascii="Times New Roman" w:hAnsi="Times New Roman" w:cs="Times New Roman"/>
          <w:sz w:val="24"/>
          <w:szCs w:val="24"/>
        </w:rPr>
        <w:t>rieši úpravu postavenia fondu pri užívaní podielov spoločnej nehnuteľnosti vypustením povinnosti uzatvárať nájomné zmluvy so spoločenstvom, čím dôjde k zvýšeniu príjmo</w:t>
      </w:r>
      <w:r w:rsidR="002462EB" w:rsidRPr="00F41B22">
        <w:rPr>
          <w:rFonts w:ascii="Times New Roman" w:hAnsi="Times New Roman" w:cs="Times New Roman"/>
          <w:sz w:val="24"/>
          <w:szCs w:val="24"/>
        </w:rPr>
        <w:t>v fondu;</w:t>
      </w:r>
    </w:p>
    <w:p w:rsidR="002462EB" w:rsidRPr="00F41B22" w:rsidRDefault="002462EB" w:rsidP="00F41B22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41B22">
        <w:rPr>
          <w:rFonts w:ascii="Times New Roman" w:hAnsi="Times New Roman" w:cs="Times New Roman"/>
          <w:sz w:val="24"/>
          <w:szCs w:val="24"/>
        </w:rPr>
        <w:t>zmenu spôsobu zápisov zmien spoločenstiev v registri spoločenstiev, keď vypúšťa rozhodovanie o zápisoch zmien, pretože tieto nemajú konštitutívny, ale len evidenčný charakte</w:t>
      </w:r>
      <w:r w:rsidR="00E46081">
        <w:rPr>
          <w:rFonts w:ascii="Times New Roman" w:hAnsi="Times New Roman" w:cs="Times New Roman"/>
          <w:sz w:val="24"/>
          <w:szCs w:val="24"/>
        </w:rPr>
        <w:t>r; pretože sa znižuje náročnosť</w:t>
      </w:r>
      <w:r w:rsidRPr="00F41B22">
        <w:rPr>
          <w:rFonts w:ascii="Times New Roman" w:hAnsi="Times New Roman" w:cs="Times New Roman"/>
          <w:sz w:val="24"/>
          <w:szCs w:val="24"/>
        </w:rPr>
        <w:t xml:space="preserve"> úkonov vykonávaných orgánmi štátnej správy, navrhuje sa aj zníženie správneho poplatku.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</w:t>
      </w:r>
      <w:r w:rsidR="002462EB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>x</w:t>
      </w:r>
      <w:r w:rsidRPr="007D5748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</w:t>
      </w:r>
      <w:r w:rsidRPr="007D574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="002462EB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>x</w:t>
      </w: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:rsidR="007D5748" w:rsidRPr="007D5748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sz w:val="20"/>
          <w:szCs w:val="20"/>
          <w:lang w:eastAsia="sk-SK"/>
        </w:rPr>
        <w:lastRenderedPageBreak/>
        <w:t xml:space="preserve">Tabuľka č. 2 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7D5748" w:rsidRPr="007D5748" w:rsidTr="002462EB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4536" w:type="dxa"/>
            <w:gridSpan w:val="4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 w:rsidR="007D5748" w:rsidRPr="007D5748" w:rsidTr="00C43889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D5748" w:rsidRDefault="002462EB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D5748" w:rsidRDefault="002462EB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D5748" w:rsidRDefault="002462EB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D5748" w:rsidRDefault="002462EB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2021</w:t>
            </w:r>
          </w:p>
        </w:tc>
      </w:tr>
      <w:tr w:rsidR="007D5748" w:rsidRPr="007D5748" w:rsidTr="00C43889">
        <w:trPr>
          <w:trHeight w:val="70"/>
        </w:trPr>
        <w:tc>
          <w:tcPr>
            <w:tcW w:w="4530" w:type="dxa"/>
          </w:tcPr>
          <w:p w:rsidR="007D5748" w:rsidRPr="007D5748" w:rsidRDefault="002462EB" w:rsidP="00E24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Počet zápisov zmien v registri </w:t>
            </w:r>
          </w:p>
        </w:tc>
        <w:tc>
          <w:tcPr>
            <w:tcW w:w="1134" w:type="dxa"/>
          </w:tcPr>
          <w:p w:rsidR="007D5748" w:rsidRPr="007D5748" w:rsidRDefault="002462EB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530</w:t>
            </w:r>
          </w:p>
        </w:tc>
        <w:tc>
          <w:tcPr>
            <w:tcW w:w="1134" w:type="dxa"/>
          </w:tcPr>
          <w:p w:rsidR="007D5748" w:rsidRPr="007D5748" w:rsidRDefault="002462EB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530</w:t>
            </w:r>
          </w:p>
        </w:tc>
        <w:tc>
          <w:tcPr>
            <w:tcW w:w="1134" w:type="dxa"/>
          </w:tcPr>
          <w:p w:rsidR="007D5748" w:rsidRPr="007D5748" w:rsidRDefault="002462EB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530</w:t>
            </w:r>
          </w:p>
        </w:tc>
        <w:tc>
          <w:tcPr>
            <w:tcW w:w="1134" w:type="dxa"/>
          </w:tcPr>
          <w:p w:rsidR="007D5748" w:rsidRPr="007D5748" w:rsidRDefault="002462EB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530</w:t>
            </w:r>
          </w:p>
        </w:tc>
      </w:tr>
      <w:tr w:rsidR="007D5748" w:rsidRPr="007D5748" w:rsidTr="00C43889">
        <w:trPr>
          <w:trHeight w:val="70"/>
        </w:trPr>
        <w:tc>
          <w:tcPr>
            <w:tcW w:w="4530" w:type="dxa"/>
          </w:tcPr>
          <w:p w:rsidR="007D5748" w:rsidRPr="007D5748" w:rsidRDefault="002462EB" w:rsidP="00E248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Počet spoločenstiev uhrádzajúcich podiely na zisku </w:t>
            </w:r>
            <w:r w:rsidR="00E24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fondu</w:t>
            </w:r>
          </w:p>
        </w:tc>
        <w:tc>
          <w:tcPr>
            <w:tcW w:w="1134" w:type="dxa"/>
          </w:tcPr>
          <w:p w:rsidR="007D5748" w:rsidRPr="007D5748" w:rsidRDefault="00BB31B5" w:rsidP="008C16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650</w:t>
            </w:r>
          </w:p>
        </w:tc>
        <w:tc>
          <w:tcPr>
            <w:tcW w:w="1134" w:type="dxa"/>
          </w:tcPr>
          <w:p w:rsidR="007D5748" w:rsidRPr="007D5748" w:rsidRDefault="00F41B22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750</w:t>
            </w:r>
          </w:p>
        </w:tc>
        <w:tc>
          <w:tcPr>
            <w:tcW w:w="1134" w:type="dxa"/>
          </w:tcPr>
          <w:p w:rsidR="007D5748" w:rsidRPr="007D5748" w:rsidRDefault="00F41B22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1 000</w:t>
            </w:r>
          </w:p>
        </w:tc>
        <w:tc>
          <w:tcPr>
            <w:tcW w:w="1134" w:type="dxa"/>
          </w:tcPr>
          <w:p w:rsidR="007D5748" w:rsidRPr="007D5748" w:rsidRDefault="00F41B22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1 500</w:t>
            </w:r>
          </w:p>
        </w:tc>
      </w:tr>
    </w:tbl>
    <w:p w:rsid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41B22" w:rsidRDefault="00F41B22" w:rsidP="004F34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roku 2015 bolo orgánmi štátnej správy lesného hospodárstva evidovaných 511 konaní o zápise zmien v registri a v roku 2016 </w:t>
      </w:r>
      <w:r w:rsidR="004D7663">
        <w:rPr>
          <w:rFonts w:ascii="Times New Roman" w:eastAsia="Times New Roman" w:hAnsi="Times New Roman" w:cs="Times New Roman"/>
          <w:sz w:val="24"/>
          <w:szCs w:val="24"/>
          <w:lang w:eastAsia="sk-SK"/>
        </w:rPr>
        <w:t>evidovali 555 takýchto konaní. V roku 2014 bolo evidovaných až 1472 konaní, pretože však išlo o prvý rok aplikácie zákona, vo vzťahu k povinnosti prispôsobiť právne pomery novej právnej úprave bol v predmetnom roku evidovaný vyšší počet riešených prípadov a nie je možné ho použiť na predikciu vývoja na nasledujúce obdobie.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4D7663" w:rsidRDefault="00E24839" w:rsidP="004F34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F</w:t>
      </w:r>
      <w:r w:rsidR="004D7663">
        <w:rPr>
          <w:rFonts w:ascii="Times New Roman" w:eastAsia="Times New Roman" w:hAnsi="Times New Roman" w:cs="Times New Roman"/>
          <w:sz w:val="24"/>
          <w:szCs w:val="24"/>
          <w:lang w:eastAsia="sk-SK"/>
        </w:rPr>
        <w:t>ond evidoval k 31.12.2016 543 uzatvorených nájomných zmlúv na podiely v jeho správe, v roku 2017 je rozpracovaných ďalších 71 nájomných zmlúv</w:t>
      </w:r>
      <w:r w:rsidR="00BB31B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(spolu 614 zmlúv)</w:t>
      </w:r>
      <w:r w:rsidR="004D7663">
        <w:rPr>
          <w:rFonts w:ascii="Times New Roman" w:eastAsia="Times New Roman" w:hAnsi="Times New Roman" w:cs="Times New Roman"/>
          <w:sz w:val="24"/>
          <w:szCs w:val="24"/>
          <w:lang w:eastAsia="sk-SK"/>
        </w:rPr>
        <w:t>. Vypustením povinnosti uzatvárať nájomné zmluvy budú spoločenstvá uhrádzať podiely</w:t>
      </w:r>
      <w:r w:rsidR="00E4608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zisku SPF rovnako, ako iným</w:t>
      </w:r>
      <w:r w:rsidR="004D766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členom pozemkového spoločenstva, preto sa predpokladá postupný nárast spoločenstiev, ktoré budú podiely na zisku prislúchajúce SPF uhrádzať. Z celkového počtu takmer 2 800 pozemkových spoločenstiev nie sú všetky ziskové a uhrádzajú </w:t>
      </w:r>
      <w:r w:rsidR="004F34C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každý rok </w:t>
      </w:r>
      <w:r w:rsidR="004D766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podiely na zisku, </w:t>
      </w:r>
      <w:r w:rsidR="004F34C4">
        <w:rPr>
          <w:rFonts w:ascii="Times New Roman" w:eastAsia="Times New Roman" w:hAnsi="Times New Roman" w:cs="Times New Roman"/>
          <w:sz w:val="24"/>
          <w:szCs w:val="24"/>
          <w:lang w:eastAsia="sk-SK"/>
        </w:rPr>
        <w:t>preto sa v objeme aktivít neuvádza celkový počet spoločenstiev, ale sa len odhaduje možný nárast počtu, ktoré v jednotlivých rokoch budú vyplácať členom podiely na zisku spoločenstva.</w:t>
      </w:r>
    </w:p>
    <w:p w:rsidR="00F41B22" w:rsidRDefault="00F41B22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41B22" w:rsidRPr="007D5748" w:rsidRDefault="00F41B22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Uveďte najdôležitejšie výpočty, ktoré boli použité na stanovenie vplyvov na príjmy a výdavky, ako aj predpoklady, z ktorých ste vychádzali. Predkladateľ by mal jasne odlíšiť podklady od kapitol a organizácií, aby bolo jasne vidieť základ použitý na výpočty.</w:t>
      </w:r>
    </w:p>
    <w:p w:rsidR="007D5748" w:rsidRDefault="00E24839" w:rsidP="00E248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</w:p>
    <w:p w:rsidR="00E24839" w:rsidRDefault="00E24839" w:rsidP="00E248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 xml:space="preserve">Pri výpočte dopadov vyplývajúcich z úpravy sadzby správneho poplatku sa vychádzalo z počtu konaní uvedených v časti 2.2.3. vychádzajúcich z údajov orgánov štátnej správy lesného hospodárstva a výšky sadzby uvedenej v zákone č. 145/1995 Z. z. o správnych poplatkoch v znení neskorších predpisov </w:t>
      </w:r>
      <w:r w:rsidR="00D15B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 navrhovanej úpravy sadzby. Podľa položky 34 je poplatok za zápis zmeny v registri 65 €, pričom z dôvodu výrazného zníženia náročnosti procesu vykonania zmien sa navrhuje poplatok 16 €. Na jeden zápis zmeny tak dochádza k zníženiu príjmov štátneho rozpočtu o maximálne 49 €. Vzhľadom na zavádzanie e-</w:t>
      </w:r>
      <w:proofErr w:type="spellStart"/>
      <w:r w:rsidR="00D15B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governmentu</w:t>
      </w:r>
      <w:proofErr w:type="spellEnd"/>
      <w:r w:rsidR="00D15B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 povinnosti štatutárov všetkých spoločenstiev mať v roku 2019 elektronickú schránku na komunikáciu s orgánmi verejnej moci, predpokladá sa výrazný nárast podaní v elektronickej forme, pri ktorej je sadza poplatku 50 % so sadzby uvedenej v sadzobníku poplatkov. Z uvedeného dôvodu sa aj pri rovnakom počte konaní predpokladá postupné znižovani</w:t>
      </w:r>
      <w:r w:rsidR="0097593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e</w:t>
      </w:r>
      <w:r w:rsidR="00D15B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negatívneho dopadu, pretože tento negatívny dopad by bol aj pri zachovaní súčasnej sadzby správneho poplatku. </w:t>
      </w:r>
      <w:r w:rsidR="008C166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 roku 2018 sa vzhľadom na predpokladanú účinnosť návrhu (01.07.2018) počíta len s polovičnou výškou dopadu. </w:t>
      </w:r>
      <w:r w:rsidR="00D15BA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Dopad vyplývajúci so zmeny sadzby je uvedený v tabuľke 3-1, pričom </w:t>
      </w:r>
      <w:r w:rsidR="0097593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navrhovanou zmenou je dotknutá kapitola Všeobecná pokladničná správa</w:t>
      </w:r>
      <w:r w:rsidR="008C166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:rsidR="00107001" w:rsidRDefault="00107001" w:rsidP="00E248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107001" w:rsidRPr="007D5748" w:rsidRDefault="00107001" w:rsidP="00E248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 xml:space="preserve">Pri výpočte dopadov na príjmy fondu sa vychádzalo z predložených údajov fondu, podľa ktorých mal fond k 31.12.2016 uzatvorených 543 nájomných zmlúv a v roku 2017 rozpracovaných 71 nájomných zmlúv s celkovou výškou nájomného 320 464 €, ktorá bola </w:t>
      </w:r>
      <w:r w:rsidR="00CC5B2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použitá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ako základná referenčná hodnota pre výpočet dopadov. Podľa stanoviska fondu príjem fondu od pozemkových spoločenstiev, vyplývajúci z predkladaného návrhu zákona, môže presiahnuť 1 mil. €. Predkladateľ v nadväznosti na dôvody uvedené v časti 2.2.3., ako</w:t>
      </w:r>
      <w:r w:rsidR="00BB31B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aj</w:t>
      </w:r>
      <w:r w:rsidR="00BB31B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 dôvodu predpokladu postupného uhrádzania aj menšími pozemkovými spoločenstvami, pri</w:t>
      </w:r>
      <w:r w:rsidR="00BB31B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predpokladoch vývoja objemu aktivít vychádza z konzervatívnejších odhadov a pri výpočte odhadoval zníženie priemernej sumy uhrádzanej jedným spoločenstvom v roku 2019 na 500</w:t>
      </w:r>
      <w:r w:rsidR="00BB31B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€, v roku 2020 na 450 € a roku 2021 na 400 €, pričom</w:t>
      </w:r>
      <w:r w:rsidR="00BB31B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hodnota na jednu nájomnú zmluvu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 súčasnosti dosahuje </w:t>
      </w:r>
      <w:r w:rsidR="00BB31B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521,93 € a táto bola použitá aj pre odhad v roku 2018. Dopad vyplývajúci zo zrušenia povinnosti fondu uzatvárať nájomné zmluvy je vyčíslený v tabuľke 3-2.</w:t>
      </w:r>
    </w:p>
    <w:p w:rsidR="008C1663" w:rsidRPr="007D5748" w:rsidRDefault="008C1663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sectPr w:rsidR="007D5748" w:rsidRPr="007D5748" w:rsidSect="00D43DA2">
          <w:headerReference w:type="even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276" w:left="1417" w:header="708" w:footer="708" w:gutter="0"/>
          <w:pgNumType w:start="9"/>
          <w:cols w:space="708"/>
          <w:docGrid w:linePitch="360"/>
        </w:sectPr>
      </w:pPr>
    </w:p>
    <w:p w:rsidR="00E24839" w:rsidRPr="007D5748" w:rsidRDefault="0097593E" w:rsidP="00E24839">
      <w:pPr>
        <w:tabs>
          <w:tab w:val="num" w:pos="1080"/>
          <w:tab w:val="right" w:pos="1389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>Všeobecná pokladničná správa</w:t>
      </w:r>
      <w:r w:rsidR="00E2483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="00E24839"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Tabuľka č. 3</w:t>
      </w:r>
      <w:r w:rsidR="00E2483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-1</w:t>
      </w:r>
      <w:r w:rsidR="00E24839"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tbl>
      <w:tblPr>
        <w:tblpPr w:leftFromText="141" w:rightFromText="141" w:horzAnchor="margin" w:tblpXSpec="center" w:tblpY="533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7D5748" w:rsidRPr="007D5748" w:rsidTr="00C43889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2462EB" w:rsidRPr="007D5748" w:rsidTr="00E72F75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B" w:rsidRPr="007D5748" w:rsidRDefault="002462EB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462EB" w:rsidRPr="007D5748" w:rsidRDefault="002462EB" w:rsidP="00E23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462EB" w:rsidRPr="007D5748" w:rsidRDefault="002462EB" w:rsidP="00E23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462EB" w:rsidRPr="007D5748" w:rsidRDefault="002462EB" w:rsidP="00E23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462EB" w:rsidRPr="007D5748" w:rsidRDefault="002462EB" w:rsidP="00E237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2021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2EB" w:rsidRPr="007D5748" w:rsidRDefault="002462EB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7D5748" w:rsidTr="00C43889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C43889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8C1663" w:rsidRDefault="008C1663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C16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- 13 000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8C1663" w:rsidRDefault="008C1663" w:rsidP="008C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C16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- 22 000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8C1663" w:rsidRDefault="008C1663" w:rsidP="008C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C16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- 20 000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8C1663" w:rsidRDefault="008C1663" w:rsidP="008C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C16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- 18 000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C43889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C43889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C43889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01911" w:rsidRPr="007D5748" w:rsidTr="00C43889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01911" w:rsidRPr="007D5748" w:rsidRDefault="00201911" w:rsidP="00201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01911" w:rsidRPr="00201911" w:rsidRDefault="00201911" w:rsidP="00201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20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- 13 000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01911" w:rsidRPr="00201911" w:rsidRDefault="00201911" w:rsidP="00201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20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- 22 000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01911" w:rsidRPr="00201911" w:rsidRDefault="00201911" w:rsidP="00201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20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- 20 000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01911" w:rsidRPr="00201911" w:rsidRDefault="00201911" w:rsidP="00201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20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- 18 000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201911" w:rsidRPr="007D5748" w:rsidRDefault="00201911" w:rsidP="00201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BB31B5" w:rsidRDefault="00BB31B5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BB31B5" w:rsidRPr="007D5748" w:rsidRDefault="00BB31B5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E24839" w:rsidRPr="007D5748" w:rsidRDefault="00E24839" w:rsidP="00E24839">
      <w:pPr>
        <w:tabs>
          <w:tab w:val="num" w:pos="1080"/>
          <w:tab w:val="right" w:pos="1389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Slovenský pozemkový fond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Tabuľka č. 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-2</w:t>
      </w: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7D5748" w:rsidRPr="00BB31B5" w:rsidRDefault="007D5748" w:rsidP="00BB31B5">
      <w:pPr>
        <w:tabs>
          <w:tab w:val="num" w:pos="1080"/>
        </w:tabs>
        <w:spacing w:after="0" w:line="240" w:lineRule="auto"/>
        <w:ind w:right="-578"/>
        <w:rPr>
          <w:rFonts w:ascii="Times New Roman" w:eastAsia="Times New Roman" w:hAnsi="Times New Roman" w:cs="Times New Roman"/>
          <w:bCs/>
          <w:sz w:val="16"/>
          <w:szCs w:val="16"/>
          <w:lang w:eastAsia="sk-SK"/>
        </w:rPr>
      </w:pPr>
    </w:p>
    <w:tbl>
      <w:tblPr>
        <w:tblpPr w:leftFromText="141" w:rightFromText="141" w:vertAnchor="page" w:horzAnchor="margin" w:tblpY="6136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BB31B5" w:rsidRPr="007D5748" w:rsidTr="00BB31B5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B31B5" w:rsidRPr="007D5748" w:rsidRDefault="00BB31B5" w:rsidP="00BB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B31B5" w:rsidRPr="007D5748" w:rsidRDefault="00BB31B5" w:rsidP="00BB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BB31B5" w:rsidRPr="007D5748" w:rsidRDefault="00BB31B5" w:rsidP="00BB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BB31B5" w:rsidRPr="007D5748" w:rsidTr="00BB31B5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B5" w:rsidRPr="007D5748" w:rsidRDefault="00BB31B5" w:rsidP="00BB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B31B5" w:rsidRPr="007D5748" w:rsidRDefault="00BB31B5" w:rsidP="00BB3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B31B5" w:rsidRPr="007D5748" w:rsidRDefault="00BB31B5" w:rsidP="00BB3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B31B5" w:rsidRPr="007D5748" w:rsidRDefault="00BB31B5" w:rsidP="00BB3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B31B5" w:rsidRPr="007D5748" w:rsidRDefault="00BB31B5" w:rsidP="00BB3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2021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1B5" w:rsidRPr="007D5748" w:rsidRDefault="00BB31B5" w:rsidP="00BB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BB31B5" w:rsidRPr="007D5748" w:rsidTr="00BB31B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B5" w:rsidRPr="007D5748" w:rsidRDefault="00BB31B5" w:rsidP="00BB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1B5" w:rsidRPr="007D5748" w:rsidRDefault="00BB31B5" w:rsidP="00BB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1B5" w:rsidRPr="007D5748" w:rsidRDefault="00BB31B5" w:rsidP="00BB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1B5" w:rsidRPr="007D5748" w:rsidRDefault="00BB31B5" w:rsidP="00BB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1B5" w:rsidRPr="007D5748" w:rsidRDefault="00BB31B5" w:rsidP="00BB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1B5" w:rsidRPr="007D5748" w:rsidRDefault="00BB31B5" w:rsidP="00BB3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B31B5" w:rsidRPr="007D5748" w:rsidTr="00BB31B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B5" w:rsidRPr="007D5748" w:rsidRDefault="00BB31B5" w:rsidP="00BB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1B5" w:rsidRPr="008C1663" w:rsidRDefault="00BB31B5" w:rsidP="00BB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C16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18 800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1B5" w:rsidRPr="008C1663" w:rsidRDefault="00BB31B5" w:rsidP="00BB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C16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54</w:t>
            </w:r>
            <w:r w:rsidRPr="008C16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1B5" w:rsidRPr="008C1663" w:rsidRDefault="00BB31B5" w:rsidP="00BB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C16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129</w:t>
            </w:r>
            <w:r w:rsidRPr="008C16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</w:t>
            </w:r>
            <w:r w:rsidRPr="008C16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1B5" w:rsidRPr="008C1663" w:rsidRDefault="00BB31B5" w:rsidP="00BB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8C16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279</w:t>
            </w:r>
            <w:r w:rsidRPr="008C16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500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1B5" w:rsidRPr="007D5748" w:rsidRDefault="00BB31B5" w:rsidP="00BB3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B31B5" w:rsidRPr="007D5748" w:rsidTr="00BB31B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B5" w:rsidRPr="007D5748" w:rsidRDefault="00BB31B5" w:rsidP="00BB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1B5" w:rsidRPr="007D5748" w:rsidRDefault="00BB31B5" w:rsidP="00BB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1B5" w:rsidRPr="007D5748" w:rsidRDefault="00BB31B5" w:rsidP="00BB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1B5" w:rsidRPr="007D5748" w:rsidRDefault="00BB31B5" w:rsidP="00BB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1B5" w:rsidRPr="007D5748" w:rsidRDefault="00BB31B5" w:rsidP="00BB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1B5" w:rsidRPr="007D5748" w:rsidRDefault="00BB31B5" w:rsidP="00BB3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B31B5" w:rsidRPr="007D5748" w:rsidTr="00BB31B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B5" w:rsidRPr="007D5748" w:rsidRDefault="00BB31B5" w:rsidP="00BB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B31B5" w:rsidRPr="007D5748" w:rsidRDefault="00BB31B5" w:rsidP="00BB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B31B5" w:rsidRPr="007D5748" w:rsidRDefault="00BB31B5" w:rsidP="00BB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B31B5" w:rsidRPr="007D5748" w:rsidRDefault="00BB31B5" w:rsidP="00BB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B31B5" w:rsidRPr="007D5748" w:rsidRDefault="00BB31B5" w:rsidP="00BB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1B5" w:rsidRPr="007D5748" w:rsidRDefault="00BB31B5" w:rsidP="00BB3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BB31B5" w:rsidRPr="007D5748" w:rsidTr="00BB31B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B5" w:rsidRPr="007D5748" w:rsidRDefault="00BB31B5" w:rsidP="00BB3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B31B5" w:rsidRPr="007D5748" w:rsidRDefault="00BB31B5" w:rsidP="00BB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B31B5" w:rsidRPr="007D5748" w:rsidRDefault="00BB31B5" w:rsidP="00BB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B31B5" w:rsidRPr="007D5748" w:rsidRDefault="00BB31B5" w:rsidP="00BB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B31B5" w:rsidRPr="007D5748" w:rsidRDefault="00BB31B5" w:rsidP="00BB3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31B5" w:rsidRPr="007D5748" w:rsidRDefault="00BB31B5" w:rsidP="00BB31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201911" w:rsidRPr="007D5748" w:rsidTr="00BB31B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01911" w:rsidRPr="007D5748" w:rsidRDefault="00201911" w:rsidP="002019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01911" w:rsidRPr="00201911" w:rsidRDefault="00201911" w:rsidP="00201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20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+ 18 800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01911" w:rsidRPr="00201911" w:rsidRDefault="00201911" w:rsidP="00201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20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+ 54 500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01911" w:rsidRPr="00201911" w:rsidRDefault="00201911" w:rsidP="00201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20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+ 129 500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01911" w:rsidRPr="00201911" w:rsidRDefault="00201911" w:rsidP="00201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2019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+ 279 500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201911" w:rsidRPr="007D5748" w:rsidRDefault="00201911" w:rsidP="00201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4F34C4" w:rsidRPr="007D5748" w:rsidRDefault="004F34C4" w:rsidP="004F34C4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:rsidR="004F34C4" w:rsidRPr="007D5748" w:rsidRDefault="004F34C4" w:rsidP="004F34C4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4F34C4" w:rsidRPr="007D5748" w:rsidRDefault="004F34C4" w:rsidP="004F34C4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7D5748" w:rsidRDefault="004F34C4" w:rsidP="00BB31B5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201911" w:rsidRDefault="00201911" w:rsidP="00BB31B5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C42E4" w:rsidRPr="007C42E4" w:rsidRDefault="007C42E4" w:rsidP="007C42E4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Pr="007C42E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Tabuľka č. 4 </w:t>
      </w:r>
    </w:p>
    <w:p w:rsidR="007C42E4" w:rsidRPr="007C42E4" w:rsidRDefault="007C42E4" w:rsidP="007C42E4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tbl>
      <w:tblPr>
        <w:tblpPr w:leftFromText="141" w:rightFromText="141" w:vertAnchor="text" w:horzAnchor="page" w:tblpXSpec="center" w:tblpY="2"/>
        <w:tblW w:w="1476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4"/>
        <w:gridCol w:w="1472"/>
        <w:gridCol w:w="1472"/>
        <w:gridCol w:w="1472"/>
        <w:gridCol w:w="1472"/>
        <w:gridCol w:w="2121"/>
      </w:tblGrid>
      <w:tr w:rsidR="007C42E4" w:rsidRPr="007C42E4" w:rsidTr="007C42E4">
        <w:trPr>
          <w:cantSplit/>
          <w:trHeight w:val="190"/>
        </w:trPr>
        <w:tc>
          <w:tcPr>
            <w:tcW w:w="6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vAlign w:val="center"/>
          </w:tcPr>
          <w:p w:rsidR="007C42E4" w:rsidRPr="007C42E4" w:rsidRDefault="007C42E4" w:rsidP="00A23E1E">
            <w:pPr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C42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(v eurách)</w:t>
            </w:r>
          </w:p>
        </w:tc>
        <w:tc>
          <w:tcPr>
            <w:tcW w:w="5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C42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C42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C42E4" w:rsidRPr="007C42E4" w:rsidTr="007C42E4">
        <w:trPr>
          <w:cantSplit/>
          <w:trHeight w:val="190"/>
        </w:trPr>
        <w:tc>
          <w:tcPr>
            <w:tcW w:w="6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7C42E4" w:rsidRPr="007D5748" w:rsidRDefault="007C42E4" w:rsidP="007C4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7C42E4" w:rsidRPr="007D5748" w:rsidRDefault="007C42E4" w:rsidP="007C4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7C42E4" w:rsidRPr="007D5748" w:rsidRDefault="007C42E4" w:rsidP="007C4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7C42E4" w:rsidRPr="007D5748" w:rsidRDefault="007C42E4" w:rsidP="007C4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2021</w:t>
            </w: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7C42E4" w:rsidRPr="007C42E4" w:rsidTr="007C42E4">
        <w:trPr>
          <w:trHeight w:val="190"/>
        </w:trPr>
        <w:tc>
          <w:tcPr>
            <w:tcW w:w="6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C42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Bežné výdavky (600)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7C42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C42E4" w:rsidRPr="007C42E4" w:rsidTr="007C42E4">
        <w:trPr>
          <w:trHeight w:val="190"/>
        </w:trPr>
        <w:tc>
          <w:tcPr>
            <w:tcW w:w="6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7C42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Mzdy, platy, služobné príjmy a ostatné osobné vyrovnania (610)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7C42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C42E4" w:rsidRPr="007C42E4" w:rsidTr="007C42E4">
        <w:trPr>
          <w:trHeight w:val="190"/>
        </w:trPr>
        <w:tc>
          <w:tcPr>
            <w:tcW w:w="6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sk-SK"/>
              </w:rPr>
            </w:pPr>
            <w:r w:rsidRPr="007C42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Poistné a príspevok do poisťovní (620)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7C42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C42E4" w:rsidRPr="007C42E4" w:rsidTr="007C42E4">
        <w:trPr>
          <w:trHeight w:val="190"/>
        </w:trPr>
        <w:tc>
          <w:tcPr>
            <w:tcW w:w="6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sk-SK"/>
              </w:rPr>
            </w:pPr>
            <w:r w:rsidRPr="007C42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Tovary a služby (637005)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7C42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C42E4" w:rsidRPr="007C42E4" w:rsidTr="007C42E4">
        <w:trPr>
          <w:trHeight w:val="190"/>
        </w:trPr>
        <w:tc>
          <w:tcPr>
            <w:tcW w:w="6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7C42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Bežné transfery (640)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7C42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C42E4" w:rsidRPr="007C42E4" w:rsidTr="007C42E4">
        <w:trPr>
          <w:trHeight w:val="190"/>
        </w:trPr>
        <w:tc>
          <w:tcPr>
            <w:tcW w:w="6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7C42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Splácanie úrokov a ostatné platby súvisiace s úvermi, pôžičkami a NFV a finančným prenájom (650)</w:t>
            </w:r>
            <w:r w:rsidRPr="007C42E4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7C42E4" w:rsidRPr="007C42E4" w:rsidTr="007C42E4">
        <w:trPr>
          <w:trHeight w:val="190"/>
        </w:trPr>
        <w:tc>
          <w:tcPr>
            <w:tcW w:w="6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C42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Kapitálové výdavky (700)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7C42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C42E4" w:rsidRPr="007C42E4" w:rsidTr="007C42E4">
        <w:trPr>
          <w:trHeight w:val="190"/>
        </w:trPr>
        <w:tc>
          <w:tcPr>
            <w:tcW w:w="6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7C42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Obstarávanie kapitálových aktív (710)</w:t>
            </w:r>
            <w:r w:rsidRPr="007C42E4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7C42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C42E4" w:rsidRPr="007C42E4" w:rsidTr="007C42E4">
        <w:trPr>
          <w:trHeight w:val="190"/>
        </w:trPr>
        <w:tc>
          <w:tcPr>
            <w:tcW w:w="6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7C42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Kapitálové transfery (720)</w:t>
            </w:r>
            <w:r w:rsidRPr="007C42E4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7C42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C42E4" w:rsidRPr="007C42E4" w:rsidTr="007C42E4">
        <w:trPr>
          <w:trHeight w:val="190"/>
        </w:trPr>
        <w:tc>
          <w:tcPr>
            <w:tcW w:w="6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C42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C42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C42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C42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C42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7C42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C42E4" w:rsidRPr="007C42E4" w:rsidTr="007C42E4">
        <w:trPr>
          <w:trHeight w:val="190"/>
        </w:trPr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C42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Dopad na výdavky verejnej správy celkom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7C42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 </w:t>
            </w:r>
          </w:p>
        </w:tc>
      </w:tr>
    </w:tbl>
    <w:p w:rsidR="007C42E4" w:rsidRPr="007C42E4" w:rsidRDefault="007C42E4" w:rsidP="007C42E4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C42E4" w:rsidRPr="007C42E4" w:rsidRDefault="007C42E4" w:rsidP="007C42E4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C42E4" w:rsidRPr="007C42E4" w:rsidRDefault="007C42E4" w:rsidP="007C42E4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C42E4" w:rsidRPr="007C42E4" w:rsidRDefault="007C42E4" w:rsidP="007C42E4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C42E4" w:rsidRPr="007C42E4" w:rsidRDefault="007C42E4" w:rsidP="007C42E4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C42E4" w:rsidRPr="007C42E4" w:rsidRDefault="007C42E4" w:rsidP="007C42E4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C42E4" w:rsidRPr="007C42E4" w:rsidRDefault="007C42E4" w:rsidP="007C42E4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C42E4" w:rsidRPr="007C42E4" w:rsidRDefault="007C42E4" w:rsidP="007C42E4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C42E4" w:rsidRPr="007C42E4" w:rsidRDefault="007C42E4" w:rsidP="007C42E4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C42E4" w:rsidRPr="007C42E4" w:rsidRDefault="007C42E4" w:rsidP="007C42E4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C42E4" w:rsidRPr="007C42E4" w:rsidRDefault="007C42E4" w:rsidP="007C42E4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C42E4" w:rsidRPr="007C42E4" w:rsidRDefault="007C42E4" w:rsidP="007C42E4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C42E4" w:rsidRPr="007C42E4" w:rsidRDefault="007C42E4" w:rsidP="007C42E4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C42E4" w:rsidRPr="007C42E4" w:rsidRDefault="007C42E4" w:rsidP="007C42E4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C42E4" w:rsidRPr="007C42E4" w:rsidRDefault="007C42E4" w:rsidP="007C42E4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C42E4" w:rsidRPr="007C42E4" w:rsidRDefault="007C42E4" w:rsidP="007C42E4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C42E4" w:rsidRPr="007C42E4" w:rsidRDefault="007C42E4" w:rsidP="007C42E4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C42E4" w:rsidRPr="007C42E4" w:rsidRDefault="007C42E4" w:rsidP="007C42E4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C42E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A23E1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="00A23E1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="00A23E1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="00A23E1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="00A23E1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="00A23E1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="00A23E1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="00A23E1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="00A23E1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="00A23E1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="00A23E1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="00A23E1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="00A23E1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="00A23E1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="00A23E1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="00A23E1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="00A23E1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="00A23E1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Pr="007C42E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Tabuľka č. 5</w:t>
      </w:r>
    </w:p>
    <w:p w:rsidR="007C42E4" w:rsidRPr="007C42E4" w:rsidRDefault="007C42E4" w:rsidP="007C42E4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tbl>
      <w:tblPr>
        <w:tblW w:w="1543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899"/>
        <w:gridCol w:w="1842"/>
        <w:gridCol w:w="2187"/>
        <w:gridCol w:w="1620"/>
      </w:tblGrid>
      <w:tr w:rsidR="007C42E4" w:rsidRPr="007C42E4" w:rsidTr="007E686E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7C42E4" w:rsidRPr="007C42E4" w:rsidRDefault="007C42E4" w:rsidP="00A23E1E">
            <w:pPr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C42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76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7C42E4" w:rsidRPr="007C42E4" w:rsidRDefault="007C42E4" w:rsidP="00A23E1E">
            <w:pPr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C42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</w:tcPr>
          <w:p w:rsidR="007C42E4" w:rsidRPr="007C42E4" w:rsidRDefault="007C42E4" w:rsidP="00A23E1E">
            <w:pPr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C42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A23E1E" w:rsidRPr="007C42E4" w:rsidTr="00264A15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A23E1E" w:rsidRPr="007C42E4" w:rsidRDefault="00A23E1E" w:rsidP="00A23E1E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A23E1E" w:rsidRPr="007D5748" w:rsidRDefault="00A23E1E" w:rsidP="00A2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2018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A23E1E" w:rsidRPr="007D5748" w:rsidRDefault="00A23E1E" w:rsidP="00A2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A23E1E" w:rsidRPr="007D5748" w:rsidRDefault="00A23E1E" w:rsidP="00A2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A23E1E" w:rsidRPr="007D5748" w:rsidRDefault="00A23E1E" w:rsidP="00A2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2021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A23E1E" w:rsidRPr="007C42E4" w:rsidRDefault="00A23E1E" w:rsidP="00A23E1E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7C42E4" w:rsidRPr="007C42E4" w:rsidTr="00264A1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C42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celkom*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7C42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C42E4" w:rsidRPr="007C42E4" w:rsidTr="00264A1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C42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  <w:tr w:rsidR="007C42E4" w:rsidRPr="007C42E4" w:rsidTr="00264A1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C42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eurách)*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7C42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C42E4" w:rsidRPr="007C42E4" w:rsidTr="00264A1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7C42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7C42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7C42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7C42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7C42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7C42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C42E4" w:rsidRPr="007C42E4" w:rsidTr="00264A1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C42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7C42E4" w:rsidRPr="007C42E4" w:rsidRDefault="002E3FA0" w:rsidP="002E3FA0">
            <w:pPr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7C42E4" w:rsidRPr="007C42E4" w:rsidRDefault="002E3FA0" w:rsidP="002E3FA0">
            <w:pPr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7C42E4" w:rsidRPr="007C42E4" w:rsidRDefault="002E3FA0" w:rsidP="002E3FA0">
            <w:pPr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7C42E4" w:rsidRPr="007C42E4" w:rsidRDefault="002E3FA0" w:rsidP="002E3FA0">
            <w:pPr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C42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C42E4" w:rsidRPr="007C42E4" w:rsidTr="00264A1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C42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Mzdy, platy, služobné príjmy a ostatné osobné vyrovnania (610)*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C42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C42E4" w:rsidRPr="007C42E4" w:rsidTr="00264A1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7C42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7C42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C42E4" w:rsidRPr="007C42E4" w:rsidTr="00264A1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C42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(620)*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C42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C42E4" w:rsidRPr="007C42E4" w:rsidTr="00264A15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7C42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7C42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C42E4" w:rsidRPr="007C42E4" w:rsidTr="00264A15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C42E4" w:rsidRPr="007C42E4" w:rsidRDefault="007C42E4" w:rsidP="007C42E4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</w:tr>
    </w:tbl>
    <w:p w:rsidR="007C42E4" w:rsidRPr="007C42E4" w:rsidRDefault="007C42E4" w:rsidP="007C42E4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C42E4" w:rsidRPr="007C42E4" w:rsidRDefault="007C42E4" w:rsidP="007C42E4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sk-SK"/>
        </w:rPr>
      </w:pPr>
    </w:p>
    <w:p w:rsidR="00201911" w:rsidRPr="007D5748" w:rsidRDefault="00201911" w:rsidP="00BB31B5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sectPr w:rsidR="00201911" w:rsidRPr="007D5748" w:rsidSect="00BB31B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4BD" w:rsidRDefault="00BE54BD">
      <w:pPr>
        <w:spacing w:after="0" w:line="240" w:lineRule="auto"/>
      </w:pPr>
      <w:r>
        <w:separator/>
      </w:r>
    </w:p>
  </w:endnote>
  <w:endnote w:type="continuationSeparator" w:id="0">
    <w:p w:rsidR="00BE54BD" w:rsidRDefault="00BE5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889" w:rsidRDefault="00C43889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:rsidR="00C43889" w:rsidRDefault="00C43889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-309785637"/>
      <w:docPartObj>
        <w:docPartGallery w:val="Page Numbers (Bottom of Page)"/>
        <w:docPartUnique/>
      </w:docPartObj>
    </w:sdtPr>
    <w:sdtEndPr/>
    <w:sdtContent>
      <w:p w:rsidR="00D43DA2" w:rsidRPr="00D43DA2" w:rsidRDefault="00D43DA2">
        <w:pPr>
          <w:pStyle w:val="Pta"/>
          <w:jc w:val="center"/>
          <w:rPr>
            <w:sz w:val="24"/>
            <w:szCs w:val="24"/>
          </w:rPr>
        </w:pPr>
        <w:r w:rsidRPr="00D43DA2">
          <w:rPr>
            <w:sz w:val="24"/>
            <w:szCs w:val="24"/>
          </w:rPr>
          <w:fldChar w:fldCharType="begin"/>
        </w:r>
        <w:r w:rsidRPr="00D43DA2">
          <w:rPr>
            <w:sz w:val="24"/>
            <w:szCs w:val="24"/>
          </w:rPr>
          <w:instrText>PAGE   \* MERGEFORMAT</w:instrText>
        </w:r>
        <w:r w:rsidRPr="00D43DA2">
          <w:rPr>
            <w:sz w:val="24"/>
            <w:szCs w:val="24"/>
          </w:rPr>
          <w:fldChar w:fldCharType="separate"/>
        </w:r>
        <w:r w:rsidR="002C6BAA">
          <w:rPr>
            <w:noProof/>
            <w:sz w:val="24"/>
            <w:szCs w:val="24"/>
          </w:rPr>
          <w:t>15</w:t>
        </w:r>
        <w:r w:rsidRPr="00D43DA2">
          <w:rPr>
            <w:sz w:val="24"/>
            <w:szCs w:val="24"/>
          </w:rPr>
          <w:fldChar w:fldCharType="end"/>
        </w:r>
      </w:p>
    </w:sdtContent>
  </w:sdt>
  <w:p w:rsidR="00C43889" w:rsidRPr="00D43DA2" w:rsidRDefault="00C43889">
    <w:pPr>
      <w:pStyle w:val="Pta"/>
      <w:ind w:right="360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889" w:rsidRDefault="00C43889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:rsidR="00C43889" w:rsidRDefault="00C4388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4BD" w:rsidRDefault="00BE54BD">
      <w:pPr>
        <w:spacing w:after="0" w:line="240" w:lineRule="auto"/>
      </w:pPr>
      <w:r>
        <w:separator/>
      </w:r>
    </w:p>
  </w:footnote>
  <w:footnote w:type="continuationSeparator" w:id="0">
    <w:p w:rsidR="00BE54BD" w:rsidRDefault="00BE5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889" w:rsidRDefault="00C43889" w:rsidP="00C43889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:rsidR="00C43889" w:rsidRPr="00EB59C8" w:rsidRDefault="00C43889" w:rsidP="00C43889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889" w:rsidRPr="000A15AE" w:rsidRDefault="00C43889" w:rsidP="00C43889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D270D1"/>
    <w:multiLevelType w:val="hybridMultilevel"/>
    <w:tmpl w:val="E95E6D8C"/>
    <w:lvl w:ilvl="0" w:tplc="962EE3F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5EC"/>
    <w:rsid w:val="00035EB6"/>
    <w:rsid w:val="00036048"/>
    <w:rsid w:val="00057135"/>
    <w:rsid w:val="00100BA4"/>
    <w:rsid w:val="00107001"/>
    <w:rsid w:val="001127A8"/>
    <w:rsid w:val="00170D2B"/>
    <w:rsid w:val="001828FF"/>
    <w:rsid w:val="00200898"/>
    <w:rsid w:val="00201911"/>
    <w:rsid w:val="00212894"/>
    <w:rsid w:val="00214B7E"/>
    <w:rsid w:val="002462EB"/>
    <w:rsid w:val="00250C46"/>
    <w:rsid w:val="00264A15"/>
    <w:rsid w:val="002C6BAA"/>
    <w:rsid w:val="002E3FA0"/>
    <w:rsid w:val="0030427C"/>
    <w:rsid w:val="00317B90"/>
    <w:rsid w:val="00372CCC"/>
    <w:rsid w:val="003C5865"/>
    <w:rsid w:val="003F10B8"/>
    <w:rsid w:val="00456A0F"/>
    <w:rsid w:val="00487203"/>
    <w:rsid w:val="004D7663"/>
    <w:rsid w:val="004F34C4"/>
    <w:rsid w:val="005005EC"/>
    <w:rsid w:val="007246BD"/>
    <w:rsid w:val="007709CC"/>
    <w:rsid w:val="007C42E4"/>
    <w:rsid w:val="007D5748"/>
    <w:rsid w:val="00836AA3"/>
    <w:rsid w:val="008C1663"/>
    <w:rsid w:val="008D339D"/>
    <w:rsid w:val="008E2736"/>
    <w:rsid w:val="00943212"/>
    <w:rsid w:val="00962252"/>
    <w:rsid w:val="009706B7"/>
    <w:rsid w:val="0097593E"/>
    <w:rsid w:val="00A0433F"/>
    <w:rsid w:val="00A155B9"/>
    <w:rsid w:val="00A23E1E"/>
    <w:rsid w:val="00B27394"/>
    <w:rsid w:val="00B5535C"/>
    <w:rsid w:val="00BB31B5"/>
    <w:rsid w:val="00BE1511"/>
    <w:rsid w:val="00BE54BD"/>
    <w:rsid w:val="00BF7F75"/>
    <w:rsid w:val="00C15212"/>
    <w:rsid w:val="00C43889"/>
    <w:rsid w:val="00C51FD4"/>
    <w:rsid w:val="00CB3623"/>
    <w:rsid w:val="00CC5B2B"/>
    <w:rsid w:val="00CE299A"/>
    <w:rsid w:val="00CF1115"/>
    <w:rsid w:val="00D15BAD"/>
    <w:rsid w:val="00D43DA2"/>
    <w:rsid w:val="00DE5BF1"/>
    <w:rsid w:val="00E07CE9"/>
    <w:rsid w:val="00E24839"/>
    <w:rsid w:val="00E46081"/>
    <w:rsid w:val="00E4730B"/>
    <w:rsid w:val="00E963A3"/>
    <w:rsid w:val="00EA1E90"/>
    <w:rsid w:val="00EC2A59"/>
    <w:rsid w:val="00EE2940"/>
    <w:rsid w:val="00F273DC"/>
    <w:rsid w:val="00F33D4E"/>
    <w:rsid w:val="00F40136"/>
    <w:rsid w:val="00F41B22"/>
    <w:rsid w:val="00F6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5AB32B-F520-431A-89AF-621EA348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246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 ref="">
    <f:field ref="objname" par="" edit="true" text="Analyza--vplyvov-na-rozpocet-verejnej-správy"/>
    <f:field ref="objsubject" par="" edit="true" text=""/>
    <f:field ref="objcreatedby" par="" text="Fscclone"/>
    <f:field ref="objcreatedat" par="" text="13.9.2017 1:08:29"/>
    <f:field ref="objchangedby" par="" text="Fscclone"/>
    <f:field ref="objmodifiedat" par="" text="13.9.2017 1:08:5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C7B2B9-D707-4816-BA2E-943012690F17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704DE779-4EEE-4527-B20D-6312EF667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1563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10455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Illáš Martin</cp:lastModifiedBy>
  <cp:revision>7</cp:revision>
  <cp:lastPrinted>2017-10-17T06:49:00Z</cp:lastPrinted>
  <dcterms:created xsi:type="dcterms:W3CDTF">2017-10-16T13:34:00Z</dcterms:created>
  <dcterms:modified xsi:type="dcterms:W3CDTF">2017-10-24T09:17:00Z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&lt;table align="left" border="0" cellpadding="0" cellspacing="0" style="width:100.0%;" width="100%"&gt;	&lt;tbody&gt;		&lt;tr&gt;			&lt;td colspan="5" style="width:100.0%;height:27px;"&gt;			&lt;h2&gt;Správa o účasti verejnosti na tvorbe právneho predpisu&lt;/h2&gt;			&lt;p align="center"&gt;&lt;st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2017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Nehnuteľnosti_x000d_
Vecné práva_x000d_
Lesy a lesné hospodárstvo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Martin Illáš</vt:lpwstr>
  </property>
  <property fmtid="{D5CDD505-2E9C-101B-9397-08002B2CF9AE}" pid="12" name="FSC#SKEDITIONSLOVLEX@103.510:zodppredkladatel">
    <vt:lpwstr>Gabriela Matečná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97/2013 Z. z. o pozemkových spoločenstvách v znení zákona č. 34/2014 Z. z.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pôdohospodárstva a rozvoja vidieka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č. 3 na mesiac október z PLÚ VSR na rok 2017_x000d_
</vt:lpwstr>
  </property>
  <property fmtid="{D5CDD505-2E9C-101B-9397-08002B2CF9AE}" pid="23" name="FSC#SKEDITIONSLOVLEX@103.510:plnynazovpredpis">
    <vt:lpwstr> Zákon, ktorým sa mení a dopĺňa zákon č. 97/2013 Z. z. o pozemkových spoločenstvách v znení zákona č. 34/2014 Z. z.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2829/2017-410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LP/2017/614</vt:lpwstr>
  </property>
  <property fmtid="{D5CDD505-2E9C-101B-9397-08002B2CF9AE}" pid="37" name="FSC#SKEDITIONSLOVLEX@103.510:typsprievdok">
    <vt:lpwstr>Doložka vplyvov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upravená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>nie je obsiahnutá v judikatúre Súdneho dvora Európskej únie</vt:lpwstr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úplný</vt:lpwstr>
  </property>
  <property fmtid="{D5CDD505-2E9C-101B-9397-08002B2CF9AE}" pid="57" name="FSC#SKEDITIONSLOVLEX@103.510:AttrStrListDocPropGestorSpolupRezorty">
    <vt:lpwstr>Ministerstvo pôdohospodárstva a rozvoja vidieka Slovenskej republiky</vt:lpwstr>
  </property>
  <property fmtid="{D5CDD505-2E9C-101B-9397-08002B2CF9AE}" pid="58" name="FSC#SKEDITIONSLOVLEX@103.510:AttrDateDocPropZaciatokPKK">
    <vt:lpwstr>27. 7. 2017</vt:lpwstr>
  </property>
  <property fmtid="{D5CDD505-2E9C-101B-9397-08002B2CF9AE}" pid="59" name="FSC#SKEDITIONSLOVLEX@103.510:AttrDateDocPropUkonceniePKK">
    <vt:lpwstr>9. 8. 2017</vt:lpwstr>
  </property>
  <property fmtid="{D5CDD505-2E9C-101B-9397-08002B2CF9AE}" pid="60" name="FSC#SKEDITIONSLOVLEX@103.510:AttrStrDocPropVplyvRozpocetVS">
    <vt:lpwstr>Pozitívne</vt:lpwstr>
  </property>
  <property fmtid="{D5CDD505-2E9C-101B-9397-08002B2CF9AE}" pid="61" name="FSC#SKEDITIONSLOVLEX@103.510:AttrStrDocPropVplyvPodnikatelskeProstr">
    <vt:lpwstr>Pozitívne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Pozitívne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>nie</vt:lpwstr>
  </property>
  <property fmtid="{D5CDD505-2E9C-101B-9397-08002B2CF9AE}" pid="67" name="FSC#SKEDITIONSLOVLEX@103.510:AttrStrListDocPropStanoviskoGest">
    <vt:lpwstr>I. Úvod: Ministerstvo pôdohospodárstva a rozvoja vidieka Slovenskej republiky dňa 26. júla 2017 predložilo Stálej pracovnej komisii na posudzovanie vybraných vplyvov (ďalej len „Komisia“) na predbežné pripomienkové konanie materiál „Zákon, ktorým sa mení </vt:lpwstr>
  </property>
  <property fmtid="{D5CDD505-2E9C-101B-9397-08002B2CF9AE}" pid="68" name="FSC#SKEDITIONSLOVLEX@103.510:AttrStrListDocPropTextKomunike">
    <vt:lpwstr>Vláda Slovenskej republiky na svojom rokovaní dňa ....................... prerokovala a schválila návrh zákona, ktorým sa mení a dopĺňa zákon č. 97/2013 Z. z. o pozemkových spoločenstvách v znení zákona č. 34/2014 Z. z. a o zmene a doplnení niektorých zák</vt:lpwstr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ministerka pôdohospodárstva a rozvoja vidieka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ministerka pôdohospodárstva a rozvoja vidieka Slovenskej republiky</vt:lpwstr>
  </property>
  <property fmtid="{D5CDD505-2E9C-101B-9397-08002B2CF9AE}" pid="142" name="FSC#SKEDITIONSLOVLEX@103.510:funkciaZodpPredAkuzativ">
    <vt:lpwstr>ministerka pôdohospodárstva a rozvoja vidieka Slovenskej republiky</vt:lpwstr>
  </property>
  <property fmtid="{D5CDD505-2E9C-101B-9397-08002B2CF9AE}" pid="143" name="FSC#SKEDITIONSLOVLEX@103.510:funkciaZodpPredDativ">
    <vt:lpwstr>ministerka pôdohospodárstva a rozvoja vidieka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Gabriela Matečná_x000d_
ministerka pôdohospodárstva a rozvoja vidieka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justify;"&gt;Ministerstvo pôdohospodárstva a&amp;nbsp;rozvoja vidieka Slovenskej republiky predkladá návrh zákona, ktorým sa mení a&amp;nbsp;dopĺňa zákon č. 97/2013 Z. z. o&amp;nbsp;pozemkových spoločenstvách v&amp;nbsp;znení zákona č. 34/2014 Z. z. a&amp;</vt:lpwstr>
  </property>
  <property fmtid="{D5CDD505-2E9C-101B-9397-08002B2CF9AE}" pid="150" name="FSC#SKEDITIONSLOVLEX@103.510:vytvorenedna">
    <vt:lpwstr>13. 9. 2017</vt:lpwstr>
  </property>
  <property fmtid="{D5CDD505-2E9C-101B-9397-08002B2CF9AE}" pid="151" name="FSC#COOSYSTEM@1.1:Container">
    <vt:lpwstr>COO.2145.1000.3.2154479</vt:lpwstr>
  </property>
  <property fmtid="{D5CDD505-2E9C-101B-9397-08002B2CF9AE}" pid="152" name="FSC#FSCFOLIO@1.1001:docpropproject">
    <vt:lpwstr/>
  </property>
</Properties>
</file>