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CB3CF0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24847" w:rsidRPr="00CD4982" w:rsidRDefault="00224847" w:rsidP="00CB3CF0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CB3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:rsidTr="00CB3CF0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CB3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CB3CF0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24847" w:rsidRPr="00CD4982" w:rsidRDefault="00224847" w:rsidP="00CB3CF0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:rsidR="00224847" w:rsidRPr="00CD4982" w:rsidRDefault="00224847" w:rsidP="00CB3CF0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CB3CF0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CB3CF0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40544D" w:rsidRDefault="00103BEA" w:rsidP="00CB3C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Pozitívny vplyv na hospodárenie  domácností bude v prípadoch, keď producenti odpadových vôd vykonávali pravidelné vyvážanie obsahu žumpy (splaškových vôd) fekálnym vozidlom. Pravidelný vývoz je drahší ako platba za odvádzanie a čistenie odpadových vôd verejnou kanalizáciou</w:t>
            </w:r>
            <w:r w:rsidR="00475D6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(stočné)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224847" w:rsidRPr="00CD4982" w:rsidTr="00CB3CF0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24847" w:rsidRPr="0040544D" w:rsidRDefault="00103BEA" w:rsidP="00103B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 občanov – producentov odpadových vôd, bývajúcich v domoch, ktorí mali možnosť pripojiť nehnuteľnosť na verejnú kanalizáciu a ktorí zabezpečovali odvoz splaškových vôd z vodotesnej žumpy fekálnym vozidlom na ČOV.</w:t>
            </w:r>
          </w:p>
        </w:tc>
      </w:tr>
      <w:tr w:rsidR="00224847" w:rsidRPr="00CD4982" w:rsidTr="00CB3CF0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E538C0" w:rsidRDefault="00224847" w:rsidP="00CB3C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40544D" w:rsidRDefault="00103BEA" w:rsidP="00CB3C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Ide o občanov – producentov odpadových vôd, bývajúcich v domoch, ktorí mali možnosť pripojiť nehnuteľnosť na verejnú kanalizáciu a ktorí nezabezpečovali odvoz splaškových vôd z vodotesnej žumpy fekálnym vozidlom na ČOV, ale nelegálnym spôsobom vypúšťali z nevodotesnej žumpy </w:t>
            </w:r>
            <w:r w:rsidR="00475D6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splaškové vody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nepriamo do podzemných vôd, alebo do povrchových vôd. Doteraz neplatili nič za nakladanie so splaškovými vodami, po pripojení nehnuteľnosti na </w:t>
            </w:r>
            <w:r w:rsidR="00475D6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verejnú kanalizáciu budú platiť stočné</w:t>
            </w:r>
            <w:r w:rsidR="0059408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 jednorazový náklad na kanalizačnú prípojku</w:t>
            </w:r>
            <w:r w:rsidR="00475D6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24847" w:rsidRPr="00CD4982" w:rsidTr="00CB3CF0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40544D" w:rsidRDefault="00475D60" w:rsidP="00CB3C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 občanov – producentov odpadových vôd, bývajúcich v domoch, ktorí mali možnosť pripojiť nehnuteľnosť na verejnú kanalizáciu a ktorí nezabezpečovali odvoz splaškových vôd z vodotesnej žumpy fekálnym vozidlom na ČOV, ale ich nelegálnym spôsobom vypúšťali nepriamo do podzemných vôd, alebo do povrchových vôd.</w:t>
            </w:r>
          </w:p>
        </w:tc>
      </w:tr>
      <w:tr w:rsidR="00224847" w:rsidRPr="00CD4982" w:rsidTr="00CB3CF0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40544D" w:rsidRDefault="00475D60" w:rsidP="00475D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Povinnosť pripojiť nehnuteľnosť  na verejnú kanalizáciu, ak je to technicky možné a jej kapacita to umožňuje, platí pre všetkých producentov odpadových vôd.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CB3CF0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Default="00224847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CB3CF0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CB3CF0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1:</w:t>
            </w:r>
          </w:p>
        </w:tc>
      </w:tr>
      <w:tr w:rsidR="00224847" w:rsidRPr="00CD4982" w:rsidTr="00CB3CF0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A84E9C" w:rsidRDefault="00475D60" w:rsidP="00A84E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Pozitívny vplyv na hospodárenie  domácností bude v prípadoch, keď producenti odpadových vôd vykonávali pravidelné vyvážanie obsahu žumpy (splaškových vôd) fekálnym vozidlom. Pravidelný vývoz je drahší ako platba za odvádzanie a čistenie odpadových vôd verejnou kanalizáciou (stočné). </w:t>
            </w:r>
            <w:r w:rsidR="00CE3FF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Producenti odpadových vôd budú mať jednorazový náklad na vybudovanie kanalizačnej prípojky, ktorej cena je závislá od skutočnosti, či si ju bude budovať svojpomocne, alebo si ju dá vybudovať firme. 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Porovnanie cien</w:t>
            </w:r>
            <w:r w:rsidR="00A84E9C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: 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žumpa </w:t>
            </w:r>
            <w:r w:rsidR="00CE3FFA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–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stočné</w:t>
            </w:r>
            <w:r w:rsidR="00CE3FFA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  <w:r w:rsidR="00A84E9C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Vývoz ž</w:t>
            </w:r>
            <w:r w:rsidR="00E154D3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ump</w:t>
            </w:r>
            <w:r w:rsidR="00A84E9C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y</w:t>
            </w:r>
            <w:r w:rsidR="00E154D3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84E9C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cca </w:t>
            </w:r>
            <w:r w:rsidR="00E154D3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55 eur na 10 m</w:t>
            </w:r>
            <w:r w:rsidR="00E154D3" w:rsidRPr="00A84E9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3 </w:t>
            </w:r>
            <w:r w:rsidR="00E154D3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do 10 km odvozu na ČOV</w:t>
            </w:r>
            <w:r w:rsidR="00A84E9C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x 12 krát  vývoz = 660 eur</w:t>
            </w:r>
            <w:r w:rsidR="00E154D3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  <w:r w:rsid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Cena za vývoz žumpy sa pohybuje aj viac ako </w:t>
            </w:r>
            <w:r w:rsid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lastRenderedPageBreak/>
              <w:t>70 € v závislosti od dovoznej vzdialenosti na ČOV.</w:t>
            </w:r>
          </w:p>
          <w:p w:rsidR="00A84E9C" w:rsidRDefault="00A84E9C" w:rsidP="00D67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Zriadenie kanalizačnej prípojky cca 700 € a viac (podľa skutočnosti, či bola budovaná v dávnej minulosti, resp. po roku 2004 v rámci operačných programov, ISPA, Kohézny fond a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podobne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keď sa realizovali kanalizačné odbočenia a revízne domové šachty)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, resp. i menej, pokiaľ ju producent bude budovať svojpomocne. Na jej cenu 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vplýva viacero faktorov (v niektorých prípadoch napr. rozko</w:t>
            </w:r>
            <w:r w:rsidR="0030667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anie asfaltovej cesty).</w:t>
            </w:r>
          </w:p>
          <w:p w:rsidR="00594080" w:rsidRPr="00DE0756" w:rsidRDefault="0004040C" w:rsidP="00D67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Producenti odpadových vôd </w:t>
            </w:r>
            <w:r w:rsidR="0059408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 pripojení nehnuteľnosti na verejnú kanalizáciu budú platiť stočné – cca 36 m</w:t>
            </w:r>
            <w:r w:rsidR="0059408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 w:rsidR="0059408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za rok x cca 1,188 €/m</w:t>
            </w:r>
            <w:r w:rsidR="0059408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3 </w:t>
            </w:r>
            <w:r w:rsidR="0059408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= 42,7 eura za rok (1,188 eura/m</w:t>
            </w:r>
            <w:r w:rsidR="0059408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 w:rsidR="0059408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– priemerná cena za 14 veľkých vodárenských spoločností, ktoré </w:t>
            </w:r>
            <w:proofErr w:type="spellStart"/>
            <w:r w:rsidR="0059408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odkanalizovávajú</w:t>
            </w:r>
            <w:proofErr w:type="spellEnd"/>
            <w:r w:rsidR="0059408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cca 90 % producentov odpadových vôd).</w:t>
            </w:r>
            <w:r w:rsidR="00DE075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V menších obciach (kde vlastníkom a prevádzkovateľom je obec) je cena za m</w:t>
            </w:r>
            <w:r w:rsidR="00DE075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 w:rsidR="00DE075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odvedenej a čistenej odpadovej vody výrazne nižšia 0,5 – 0,7 eura /m</w:t>
            </w:r>
            <w:r w:rsidR="00DE075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 w:rsidR="00DE075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594080" w:rsidRPr="00E154D3" w:rsidRDefault="00594080" w:rsidP="00D67A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CB3CF0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Default="00475D60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Ide o občanov – producentov odpadových vôd, bývajúcich v domoch, ktorí mali možnosť pripojiť nehnuteľnosť na verejnú kanalizáciu a ktorí nezabezpečovali odvoz splaškových vôd z vodotesnej žumpy fekálnym vozidlom na ČOV, ale nelegálnym spôsobom vypúšťali z nevodotesnej žumpy splaškové vody nepriamo do podzemných vôd, alebo do povrchových vôd. Doteraz neplatili nič za nakladanie s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 vyprodukovanými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splaškovými vodami, po pripojení nehnuteľnosti na verejnú kanalizáciu budú platiť stočné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– cca 36 m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za rok x cca 1,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188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€/m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3 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= 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42,7 eura za rok (1,188 eura/m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>3</w:t>
            </w:r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– priemerná cena za 14 veľkých vodárenských spoločností, ktoré </w:t>
            </w:r>
            <w:proofErr w:type="spellStart"/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odkanaliz</w:t>
            </w:r>
            <w:r w:rsidR="00CB3CF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ovávajú</w:t>
            </w:r>
            <w:proofErr w:type="spellEnd"/>
            <w:r w:rsidR="001C446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cca 90 % producentov odpadových vôd).</w:t>
            </w:r>
            <w:r w:rsidR="00CE3FF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Plus jednorazový náklad na vybudovanie kanalizačnej prípojky, ktorej cena je závislá od skutočnosti, či si ju bude budovať svojpomocne, alebo si ju dá vybudovať firme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  <w:r w:rsidR="00E154D3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Jednorazový náklad na z</w:t>
            </w:r>
            <w:r w:rsidR="00D67A7E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riadenie kanalizačnej prípojky cca 700 € a viac (podľa skutočnosti, či bola budovaná v dávnej minulosti, resp. po roku 2004 v rámci operačných programov, ISPA, Kohézny fond a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 </w:t>
            </w:r>
            <w:r w:rsidR="00D67A7E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podobne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keď sa realizovali kanalizačné odbočenia a revízne domové šachty</w:t>
            </w:r>
            <w:r w:rsidR="00CB3CF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cca po hranicu nehnuteľnosti vo verejnom priestranstve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)</w:t>
            </w:r>
            <w:r w:rsidR="00D67A7E"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, resp. i menej, pokiaľ ju producent bude budovať svojpomocne. Na jej cenu </w:t>
            </w:r>
            <w:r w:rsidR="00D67A7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vplýva viacero faktorov (v niektorých prípadoch napr. rozkovanie asfaltovej cesty).</w:t>
            </w:r>
          </w:p>
          <w:p w:rsidR="00CB3CF0" w:rsidRDefault="00CB3CF0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CB3CF0" w:rsidRPr="00A84E9C" w:rsidRDefault="00CB3CF0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Vývoz žumpy cca 55 eur </w:t>
            </w:r>
            <w:r w:rsidR="005F2CE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do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10 m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3 </w:t>
            </w:r>
            <w:r w:rsidR="005F2CE4" w:rsidRPr="005F2CE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odpadovej vody</w:t>
            </w:r>
            <w:r w:rsidR="005F2CE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A84E9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do 10 km odvozu na ČOV x 12 krát  vývoz = 660 eur.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Cena za vývoz žumpy sa pohybuje aj viac ako 70 € v závislosti od dovoznej vzdialenosti odpadových vôd fekálnym vozidlom na ČOV.</w:t>
            </w:r>
          </w:p>
          <w:p w:rsidR="00CB3CF0" w:rsidRPr="001C4469" w:rsidRDefault="00CB3CF0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CB3CF0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CA6BAF" w:rsidRDefault="00CB3CF0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Nedisponujeme predmetnými údajmi.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Hrubý odhad -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nepripojených producentov odpadových vôd, ktorí majú možnosť napojiť sa na verejnú kanalizáciu cca </w:t>
            </w:r>
            <w:r w:rsidR="003217B4" w:rsidRPr="00CB3CF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240 000 </w:t>
            </w:r>
            <w:r w:rsidR="003217B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producentov odpadových vôd</w:t>
            </w:r>
            <w:r w:rsidR="00583EE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224847" w:rsidRPr="00CD4982" w:rsidTr="00CB3CF0"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 w:rsidR="00224847" w:rsidRPr="00CD4982" w:rsidTr="00CB3CF0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224847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CB3CF0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224847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CB3CF0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224847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CB3CF0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:rsidR="00224847" w:rsidRPr="00CA6BAF" w:rsidRDefault="00224847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CB3CF0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224847" w:rsidRPr="00CD4982" w:rsidRDefault="00224847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:rsidR="00224847" w:rsidRPr="00CA6BAF" w:rsidRDefault="00224847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RDefault="00224847" w:rsidP="00224847">
      <w:pPr>
        <w:rPr>
          <w:rFonts w:ascii="Times New Roman" w:hAnsi="Times New Roman" w:cs="Times New Roman"/>
          <w:sz w:val="20"/>
          <w:szCs w:val="20"/>
        </w:rPr>
      </w:pPr>
    </w:p>
    <w:p w:rsidR="00A30F1C" w:rsidRDefault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br w:type="page"/>
      </w:r>
    </w:p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CB3CF0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30F1C" w:rsidRPr="00CD4982" w:rsidRDefault="00A30F1C" w:rsidP="00CB3C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:rsidTr="00CB3CF0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CB3CF0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CB3CF0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RDefault="00A30F1C" w:rsidP="00CB3CF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A30F1C" w:rsidRDefault="00A30F1C" w:rsidP="00CB3C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3217B4" w:rsidRPr="00E154D3" w:rsidRDefault="003217B4" w:rsidP="003217B4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sk-SK"/>
              </w:rPr>
            </w:pPr>
            <w:r w:rsidRPr="00E154D3">
              <w:rPr>
                <w:rFonts w:ascii="Times New Roman" w:eastAsia="Calibri" w:hAnsi="Times New Roman" w:cs="Times New Roman"/>
                <w:sz w:val="18"/>
                <w:szCs w:val="18"/>
                <w:lang w:eastAsia="sk-SK"/>
              </w:rPr>
              <w:t>Prístup producentov odpadových vôd bývajúcich v</w:t>
            </w:r>
            <w:r w:rsidR="00751B80" w:rsidRPr="00E154D3">
              <w:rPr>
                <w:rFonts w:ascii="Times New Roman" w:eastAsia="Calibri" w:hAnsi="Times New Roman" w:cs="Times New Roman"/>
                <w:sz w:val="18"/>
                <w:szCs w:val="18"/>
                <w:lang w:eastAsia="sk-SK"/>
              </w:rPr>
              <w:t> </w:t>
            </w:r>
            <w:r w:rsidRPr="00E154D3">
              <w:rPr>
                <w:rFonts w:ascii="Times New Roman" w:eastAsia="Calibri" w:hAnsi="Times New Roman" w:cs="Times New Roman"/>
                <w:sz w:val="18"/>
                <w:szCs w:val="18"/>
                <w:lang w:eastAsia="sk-SK"/>
              </w:rPr>
              <w:t>domoch</w:t>
            </w:r>
            <w:r w:rsidR="00751B80" w:rsidRPr="00E154D3">
              <w:rPr>
                <w:rFonts w:ascii="Times New Roman" w:eastAsia="Calibri" w:hAnsi="Times New Roman" w:cs="Times New Roman"/>
                <w:sz w:val="18"/>
                <w:szCs w:val="18"/>
                <w:lang w:eastAsia="sk-SK"/>
              </w:rPr>
              <w:t>, ktorí produkujú odpadové vody</w:t>
            </w:r>
            <w:r w:rsidRPr="00E154D3">
              <w:rPr>
                <w:rFonts w:ascii="Times New Roman" w:eastAsia="Calibri" w:hAnsi="Times New Roman" w:cs="Times New Roman"/>
                <w:sz w:val="18"/>
                <w:szCs w:val="18"/>
                <w:lang w:eastAsia="sk-SK"/>
              </w:rPr>
              <w:t xml:space="preserve"> k súvisiacim základným komunálnym službám – možnosť pripojiť sa na verejnú kanalizáciu</w:t>
            </w:r>
            <w:r w:rsidR="00502A87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sk-SK"/>
              </w:rPr>
              <w:t>.</w:t>
            </w:r>
          </w:p>
          <w:p w:rsidR="00A30F1C" w:rsidRPr="0040544D" w:rsidRDefault="00A30F1C" w:rsidP="00CB3C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CB3CF0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CB3CF0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CB3CF0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CB3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proofErr w:type="spellStart"/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marginalizované</w:t>
            </w:r>
            <w:proofErr w:type="spellEnd"/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rómske komunity 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CB3CF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A30F1C" w:rsidRPr="0040544D" w:rsidRDefault="00A30F1C" w:rsidP="00CB3C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40544D" w:rsidRDefault="00A30F1C" w:rsidP="00751B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bookmarkStart w:id="0" w:name="_GoBack"/>
            <w:bookmarkEnd w:id="0"/>
          </w:p>
        </w:tc>
      </w:tr>
    </w:tbl>
    <w:p w:rsidR="00A87D5B" w:rsidRDefault="00A87D5B"/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1"/>
          <w:footerReference w:type="default" r:id="rId12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:rsidTr="00CB3CF0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:rsidTr="00CB3CF0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CB3CF0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994C53" w:rsidTr="00CB3CF0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CB3CF0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994C53" w:rsidTr="00CB3CF0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CB3CF0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994C53" w:rsidTr="00CB3CF0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CB3CF0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994C53" w:rsidTr="00CB3CF0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CB3CF0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Ovplyvňuje návrh špecifické vekové skupiny zamestnancov? Ak áno, aké? Akým spôsobom?</w:t>
            </w:r>
          </w:p>
        </w:tc>
      </w:tr>
      <w:tr w:rsidR="00994C53" w:rsidRPr="00994C53" w:rsidTr="00CB3CF0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</w:tbl>
    <w:p w:rsidR="00B90A2F" w:rsidRDefault="00B90A2F" w:rsidP="00CD498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sectPr w:rsidR="00B90A2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p w:rsidR="00CB3623" w:rsidRDefault="00CB3623" w:rsidP="006A62A3"/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D2" w:rsidRDefault="00C312D2" w:rsidP="001D6749">
      <w:pPr>
        <w:spacing w:after="0" w:line="240" w:lineRule="auto"/>
      </w:pPr>
      <w:r>
        <w:separator/>
      </w:r>
    </w:p>
  </w:endnote>
  <w:endnote w:type="continuationSeparator" w:id="0">
    <w:p w:rsidR="00C312D2" w:rsidRDefault="00C312D2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B3CF0" w:rsidRPr="001D6749" w:rsidRDefault="00CB3CF0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6D35FF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B3CF0" w:rsidRPr="001D6749" w:rsidRDefault="00CB3CF0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6D35FF">
          <w:rPr>
            <w:rFonts w:ascii="Times New Roman" w:hAnsi="Times New Roman" w:cs="Times New Roman"/>
            <w:noProof/>
          </w:rPr>
          <w:t>7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D2" w:rsidRDefault="00C312D2" w:rsidP="001D6749">
      <w:pPr>
        <w:spacing w:after="0" w:line="240" w:lineRule="auto"/>
      </w:pPr>
      <w:r>
        <w:separator/>
      </w:r>
    </w:p>
  </w:footnote>
  <w:footnote w:type="continuationSeparator" w:id="0">
    <w:p w:rsidR="00C312D2" w:rsidRDefault="00C312D2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CF0" w:rsidRPr="00CD4982" w:rsidRDefault="00CB3CF0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CF0" w:rsidRPr="00CD4982" w:rsidRDefault="00CB3CF0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274D0"/>
    <w:rsid w:val="0004040C"/>
    <w:rsid w:val="000A7F39"/>
    <w:rsid w:val="00103BEA"/>
    <w:rsid w:val="00165321"/>
    <w:rsid w:val="001A34E4"/>
    <w:rsid w:val="001C4469"/>
    <w:rsid w:val="001D6749"/>
    <w:rsid w:val="001F7932"/>
    <w:rsid w:val="00204D10"/>
    <w:rsid w:val="00224847"/>
    <w:rsid w:val="00227A26"/>
    <w:rsid w:val="0024316D"/>
    <w:rsid w:val="00275F99"/>
    <w:rsid w:val="00306676"/>
    <w:rsid w:val="003217B4"/>
    <w:rsid w:val="00337B5D"/>
    <w:rsid w:val="003541E9"/>
    <w:rsid w:val="00357E2A"/>
    <w:rsid w:val="00362CBF"/>
    <w:rsid w:val="003849C7"/>
    <w:rsid w:val="0040544D"/>
    <w:rsid w:val="00466488"/>
    <w:rsid w:val="004737D6"/>
    <w:rsid w:val="00475D60"/>
    <w:rsid w:val="004F2664"/>
    <w:rsid w:val="00502A87"/>
    <w:rsid w:val="0051643C"/>
    <w:rsid w:val="00520808"/>
    <w:rsid w:val="00547AD9"/>
    <w:rsid w:val="00583EEC"/>
    <w:rsid w:val="00585AD3"/>
    <w:rsid w:val="00594080"/>
    <w:rsid w:val="005A57C8"/>
    <w:rsid w:val="005F2CE4"/>
    <w:rsid w:val="006A62A3"/>
    <w:rsid w:val="006B34DA"/>
    <w:rsid w:val="006D35FF"/>
    <w:rsid w:val="00751B80"/>
    <w:rsid w:val="007B003C"/>
    <w:rsid w:val="00881728"/>
    <w:rsid w:val="008A4F7C"/>
    <w:rsid w:val="00921D53"/>
    <w:rsid w:val="00943698"/>
    <w:rsid w:val="00972E46"/>
    <w:rsid w:val="00994C53"/>
    <w:rsid w:val="00997B26"/>
    <w:rsid w:val="009B755F"/>
    <w:rsid w:val="009F385D"/>
    <w:rsid w:val="00A30F1C"/>
    <w:rsid w:val="00A53AFA"/>
    <w:rsid w:val="00A605B0"/>
    <w:rsid w:val="00A84E9C"/>
    <w:rsid w:val="00A87D5B"/>
    <w:rsid w:val="00AC5DB5"/>
    <w:rsid w:val="00AF39B8"/>
    <w:rsid w:val="00B4080A"/>
    <w:rsid w:val="00B437B3"/>
    <w:rsid w:val="00B619F7"/>
    <w:rsid w:val="00B90A2F"/>
    <w:rsid w:val="00BC22E3"/>
    <w:rsid w:val="00C312D2"/>
    <w:rsid w:val="00C3470D"/>
    <w:rsid w:val="00C57EDD"/>
    <w:rsid w:val="00C63956"/>
    <w:rsid w:val="00C77AA2"/>
    <w:rsid w:val="00CA023C"/>
    <w:rsid w:val="00CA3E12"/>
    <w:rsid w:val="00CA6BAF"/>
    <w:rsid w:val="00CB3623"/>
    <w:rsid w:val="00CB3CF0"/>
    <w:rsid w:val="00CD4982"/>
    <w:rsid w:val="00CE3FFA"/>
    <w:rsid w:val="00D47B68"/>
    <w:rsid w:val="00D67A7E"/>
    <w:rsid w:val="00D829FE"/>
    <w:rsid w:val="00D921AE"/>
    <w:rsid w:val="00DA4453"/>
    <w:rsid w:val="00DE0756"/>
    <w:rsid w:val="00E154D3"/>
    <w:rsid w:val="00E22685"/>
    <w:rsid w:val="00E40428"/>
    <w:rsid w:val="00E538C0"/>
    <w:rsid w:val="00EF0C21"/>
    <w:rsid w:val="00F2597D"/>
    <w:rsid w:val="00F30B4E"/>
    <w:rsid w:val="00F7487B"/>
    <w:rsid w:val="00F74B56"/>
    <w:rsid w:val="00F7696B"/>
    <w:rsid w:val="00F77D10"/>
    <w:rsid w:val="00F938A1"/>
    <w:rsid w:val="00FA11DD"/>
    <w:rsid w:val="00FB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3962-EAF7-4951-8B31-C750EE9E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Lichnerová Oľga</cp:lastModifiedBy>
  <cp:revision>3</cp:revision>
  <cp:lastPrinted>2017-11-02T11:44:00Z</cp:lastPrinted>
  <dcterms:created xsi:type="dcterms:W3CDTF">2017-08-03T11:43:00Z</dcterms:created>
  <dcterms:modified xsi:type="dcterms:W3CDTF">2017-11-02T11:45:00Z</dcterms:modified>
</cp:coreProperties>
</file>