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3421"/>
        <w:gridCol w:w="900"/>
        <w:gridCol w:w="1080"/>
        <w:gridCol w:w="900"/>
        <w:gridCol w:w="3929"/>
        <w:gridCol w:w="931"/>
        <w:gridCol w:w="3240"/>
      </w:tblGrid>
      <w:tr w:rsidR="00076A83" w:rsidRPr="00E408FD" w:rsidTr="0056013F">
        <w:trPr>
          <w:jc w:val="center"/>
        </w:trPr>
        <w:tc>
          <w:tcPr>
            <w:tcW w:w="153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E408FD">
              <w:rPr>
                <w:caps/>
                <w:sz w:val="20"/>
              </w:rPr>
              <w:t xml:space="preserve">Tabuľka </w:t>
            </w:r>
            <w:r w:rsidRPr="00E408FD">
              <w:rPr>
                <w:sz w:val="20"/>
              </w:rPr>
              <w:t xml:space="preserve">ZHODY </w:t>
            </w:r>
          </w:p>
          <w:p w:rsidR="00076A83" w:rsidRPr="00E408FD" w:rsidRDefault="00076A83" w:rsidP="00077578">
            <w:pPr>
              <w:rPr>
                <w:b/>
                <w:bCs/>
                <w:sz w:val="20"/>
                <w:szCs w:val="20"/>
              </w:rPr>
            </w:pPr>
            <w:r w:rsidRPr="00E408FD">
              <w:rPr>
                <w:b/>
                <w:bCs/>
                <w:sz w:val="20"/>
                <w:szCs w:val="20"/>
              </w:rPr>
              <w:t>NA ÚČELY OZNÁ</w:t>
            </w:r>
            <w:r w:rsidR="00443B4F">
              <w:rPr>
                <w:b/>
                <w:bCs/>
                <w:sz w:val="20"/>
                <w:szCs w:val="20"/>
              </w:rPr>
              <w:t>MENIA TRANSPOZÍCIE SMERNICE 20</w:t>
            </w:r>
            <w:r w:rsidR="00077578">
              <w:rPr>
                <w:b/>
                <w:bCs/>
                <w:sz w:val="20"/>
                <w:szCs w:val="20"/>
              </w:rPr>
              <w:t>12</w:t>
            </w:r>
            <w:r w:rsidR="00443B4F">
              <w:rPr>
                <w:b/>
                <w:bCs/>
                <w:sz w:val="20"/>
                <w:szCs w:val="20"/>
              </w:rPr>
              <w:t>/</w:t>
            </w:r>
            <w:r w:rsidR="00077578">
              <w:rPr>
                <w:b/>
                <w:bCs/>
                <w:sz w:val="20"/>
                <w:szCs w:val="20"/>
              </w:rPr>
              <w:t>27</w:t>
            </w:r>
            <w:r w:rsidRPr="00E408FD">
              <w:rPr>
                <w:b/>
                <w:bCs/>
                <w:sz w:val="20"/>
                <w:szCs w:val="20"/>
              </w:rPr>
              <w:t>/ES</w:t>
            </w:r>
          </w:p>
        </w:tc>
      </w:tr>
      <w:tr w:rsidR="00076A83" w:rsidRPr="00E408FD" w:rsidTr="0056013F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578" w:rsidRPr="00443B4F" w:rsidRDefault="00077578" w:rsidP="00443B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077578">
              <w:rPr>
                <w:b/>
                <w:sz w:val="20"/>
                <w:szCs w:val="20"/>
              </w:rPr>
              <w:t>mernic</w:t>
            </w:r>
            <w:r>
              <w:rPr>
                <w:b/>
                <w:sz w:val="20"/>
                <w:szCs w:val="20"/>
              </w:rPr>
              <w:t>a</w:t>
            </w:r>
            <w:r w:rsidRPr="00077578">
              <w:rPr>
                <w:b/>
                <w:sz w:val="20"/>
                <w:szCs w:val="20"/>
              </w:rPr>
              <w:t xml:space="preserve"> Európskeho parlamentu a Rady 2012/27/EÚ z 25. októbra 2012 o energetickej efektívnosti, ktorou sa menia a dopĺňajú smernice 2009/125/ES a 2010/30/EÚ a ktorou sa zrušujú smernice 2004/8/ES a 2006/32/ES</w:t>
            </w:r>
          </w:p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A83" w:rsidRPr="00E408FD" w:rsidRDefault="00076A83" w:rsidP="0056013F">
            <w:pPr>
              <w:tabs>
                <w:tab w:val="left" w:pos="3030"/>
              </w:tabs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 xml:space="preserve">Návrh zákona, ktorým sa mení a dopĺňa zákon č. 251/2012 Z. z. o energetike a o zmene a doplnení niektorých zákonov v znení neskorších predpisov (ďalej len „Návrh </w:t>
            </w:r>
            <w:proofErr w:type="spellStart"/>
            <w:r w:rsidRPr="00E408FD">
              <w:rPr>
                <w:sz w:val="20"/>
                <w:szCs w:val="20"/>
              </w:rPr>
              <w:t>ZoE</w:t>
            </w:r>
            <w:proofErr w:type="spellEnd"/>
            <w:r w:rsidRPr="00E408FD">
              <w:rPr>
                <w:sz w:val="20"/>
                <w:szCs w:val="20"/>
              </w:rPr>
              <w:t>“).</w:t>
            </w:r>
          </w:p>
          <w:p w:rsidR="00076A83" w:rsidRPr="00E408FD" w:rsidRDefault="00076A83" w:rsidP="0056013F">
            <w:pPr>
              <w:tabs>
                <w:tab w:val="left" w:pos="3030"/>
              </w:tabs>
              <w:rPr>
                <w:sz w:val="20"/>
                <w:szCs w:val="20"/>
              </w:rPr>
            </w:pPr>
          </w:p>
        </w:tc>
      </w:tr>
      <w:tr w:rsidR="00076A83" w:rsidRPr="00E408FD" w:rsidTr="0056013F">
        <w:trPr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Zkladntext2"/>
              <w:spacing w:line="240" w:lineRule="exact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5</w:t>
            </w:r>
          </w:p>
        </w:tc>
        <w:tc>
          <w:tcPr>
            <w:tcW w:w="3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Zkladntext2"/>
              <w:spacing w:line="240" w:lineRule="exact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8</w:t>
            </w:r>
          </w:p>
        </w:tc>
      </w:tr>
      <w:tr w:rsidR="00076A83" w:rsidRPr="00E408FD" w:rsidTr="0056013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Článok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(Č, O,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 xml:space="preserve">Spôsob </w:t>
            </w:r>
            <w:proofErr w:type="spellStart"/>
            <w:r w:rsidRPr="00E408FD">
              <w:t>transp</w:t>
            </w:r>
            <w:proofErr w:type="spellEnd"/>
            <w:r w:rsidRPr="00E408FD">
              <w:t>.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 xml:space="preserve">(N, O, D, </w:t>
            </w:r>
            <w:proofErr w:type="spellStart"/>
            <w:r w:rsidRPr="00E408FD">
              <w:t>n.a</w:t>
            </w:r>
            <w:proofErr w:type="spellEnd"/>
            <w:r w:rsidRPr="00E408FD"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Číslo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Článok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 xml:space="preserve"> (Č, §, O, V, P)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Text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Zhoda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Poznámky</w:t>
            </w:r>
          </w:p>
          <w:p w:rsidR="00076A83" w:rsidRPr="00E408FD" w:rsidRDefault="00076A83" w:rsidP="0056013F">
            <w:pPr>
              <w:pStyle w:val="Normlny0"/>
              <w:ind w:right="-43"/>
              <w:jc w:val="center"/>
            </w:pPr>
            <w:r w:rsidRPr="00E408FD">
              <w:t>(pri návrhu predpisu – predpokladaný dátum účinnosti**)</w:t>
            </w:r>
          </w:p>
        </w:tc>
      </w:tr>
      <w:tr w:rsidR="005D5EA6" w:rsidRPr="00E408FD" w:rsidTr="0056013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EA6" w:rsidRDefault="0064018A" w:rsidP="0056013F">
            <w:pPr>
              <w:pStyle w:val="Normlny0"/>
            </w:pPr>
            <w:r>
              <w:t>Čl. 9</w:t>
            </w:r>
          </w:p>
          <w:p w:rsidR="005D5EA6" w:rsidRPr="00E408FD" w:rsidRDefault="0064018A" w:rsidP="0056013F">
            <w:pPr>
              <w:pStyle w:val="Normlny0"/>
            </w:pPr>
            <w:r>
              <w:t>O: 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A" w:rsidRPr="0064018A" w:rsidRDefault="0064018A" w:rsidP="0064018A">
            <w:pPr>
              <w:pStyle w:val="CM4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Členské štáty zabezpečia, aby sa v miere, v akej je to technicky možné, finančne rozumné a primerané vzhľadom na možné úspory energie, poskytli koncovým odberateľom elektriny, zemného plynu, centralizovaného zásobovania teplom, centralizovaného zásobovania chladom a teplej úžitkovej vody individuálne meradlá za konkurencieschopné ceny, ktoré presne zobrazujú skutočnú spotrebu energie koncových odberateľov a poskytujú informácie o skutočnej dobe využívania. </w:t>
            </w:r>
          </w:p>
          <w:p w:rsidR="0064018A" w:rsidRPr="0064018A" w:rsidRDefault="0064018A" w:rsidP="0064018A">
            <w:pPr>
              <w:pStyle w:val="CM4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Takéto individuálne meradlo za konkurencieschopné ceny sa poskytne vždy: </w:t>
            </w:r>
          </w:p>
          <w:p w:rsidR="0064018A" w:rsidRPr="0064018A" w:rsidRDefault="0064018A" w:rsidP="0064018A">
            <w:pPr>
              <w:pStyle w:val="CM4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a) keď sa nahrádza existujúce meradlo, pokiaľ je to technicky možné a nákladovo efektívne so zreteľom na odhadované potenciálne dlhodobé úspory; </w:t>
            </w:r>
          </w:p>
          <w:p w:rsidR="00443B4F" w:rsidRPr="0064018A" w:rsidRDefault="0064018A" w:rsidP="0064018A">
            <w:pPr>
              <w:pStyle w:val="ManualNumPar1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64018A">
              <w:rPr>
                <w:color w:val="000000"/>
                <w:sz w:val="20"/>
                <w:szCs w:val="20"/>
              </w:rPr>
              <w:t>b) pri zriadení nového pripojenia v novej budove alebo pri uskutočnení významnej obnovy budovy, ako sa ustanovuje v smernici 2010/31/EÚ.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EA6" w:rsidRPr="00E408FD" w:rsidRDefault="005D5EA6" w:rsidP="005601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EA6" w:rsidRPr="00E408FD" w:rsidRDefault="005D5EA6" w:rsidP="0056013F">
            <w:pPr>
              <w:pStyle w:val="Normlny0"/>
              <w:jc w:val="center"/>
            </w:pPr>
            <w:r>
              <w:t xml:space="preserve">Návrh </w:t>
            </w:r>
            <w:proofErr w:type="spellStart"/>
            <w:r>
              <w:t>ZoE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6" w:rsidRPr="00E408FD" w:rsidRDefault="0008469C" w:rsidP="00443B4F">
            <w:pPr>
              <w:pStyle w:val="Normlny0"/>
              <w:jc w:val="center"/>
            </w:pPr>
            <w:r>
              <w:t xml:space="preserve">§ </w:t>
            </w:r>
            <w:r w:rsidR="0064018A">
              <w:t>76 ods. 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A" w:rsidRPr="0064018A" w:rsidRDefault="0064018A" w:rsidP="0064018A">
            <w:pPr>
              <w:widowControl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64018A">
              <w:rPr>
                <w:bCs/>
                <w:sz w:val="20"/>
                <w:szCs w:val="20"/>
                <w:lang w:eastAsia="en-US"/>
              </w:rPr>
              <w:t xml:space="preserve">V § 76 odsek 7 znie: </w:t>
            </w:r>
          </w:p>
          <w:p w:rsidR="0064018A" w:rsidRPr="0064018A" w:rsidRDefault="0064018A" w:rsidP="0064018A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64018A">
              <w:rPr>
                <w:bCs/>
                <w:sz w:val="20"/>
                <w:szCs w:val="20"/>
                <w:lang w:eastAsia="en-US"/>
              </w:rPr>
              <w:t>„(7) Dodávateľ plynu fakturuje dodané množstvo plynu za 12 po sebe nasledujúcich mesiacov na základe údajov oznámených prevádzkovateľom distribučnej siete podľa odseku 2 najneskôr nasledujúci kalendárny mesiac po ich oznámení prevádzkovateľom distribučnej siete. V  obdobiach medzi termínmi pravidelných odčítaní skutočne nameraných údajov o dodávke plynu podľa odseku 2 dodávateľ plynu môže určiť množstvo dodaného plynu na účely vystavenia faktúry na základe typových diagramov dodávky, ak nemá k dispozícii údaje podľa stavu určeného meradla vzájomne odsúhlaseného dodávateľom plynu a odberateľom plynu. Dodávateľ plynu je povinný v každej faktúre za dodávku plynu uviesť číslo odberného miesta, pod ktorým je odberné miesto evidované u príslušného prevádzkovateľa distribučnej siete.“.</w:t>
            </w:r>
          </w:p>
          <w:p w:rsidR="005D5EA6" w:rsidRPr="00E408FD" w:rsidRDefault="005D5EA6" w:rsidP="007972AB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6" w:rsidRPr="00E408FD" w:rsidRDefault="0008469C" w:rsidP="0056013F">
            <w:pPr>
              <w:pStyle w:val="Normlny0"/>
              <w:jc w:val="center"/>
            </w:pPr>
            <w:r>
              <w:t>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EA6" w:rsidRPr="00E408FD" w:rsidRDefault="005D5EA6" w:rsidP="0056013F">
            <w:pPr>
              <w:pStyle w:val="Normlny0"/>
              <w:ind w:right="-43"/>
              <w:jc w:val="center"/>
            </w:pPr>
          </w:p>
        </w:tc>
      </w:tr>
    </w:tbl>
    <w:p w:rsidR="00076A83" w:rsidRPr="0057707F" w:rsidRDefault="00076A83" w:rsidP="00076A83">
      <w:bookmarkStart w:id="0" w:name="_GoBack"/>
      <w:bookmarkEnd w:id="0"/>
    </w:p>
    <w:p w:rsidR="00076A83" w:rsidRPr="0057707F" w:rsidRDefault="00076A83" w:rsidP="00076A83"/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076A83" w:rsidRPr="0057707F" w:rsidTr="0056013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57707F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57707F">
              <w:rPr>
                <w:lang w:eastAsia="sk-SK"/>
              </w:rPr>
              <w:t>V stĺpci (1):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Č – článok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O – odsek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V – veta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P – číslo (písmeno)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57707F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57707F">
              <w:rPr>
                <w:lang w:eastAsia="sk-SK"/>
              </w:rPr>
              <w:t>V stĺpci (3):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N – bežná transpozícia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O – transpozícia s možnosťou voľby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D – transpozícia podľa úvahy (dobrovoľná)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proofErr w:type="spellStart"/>
            <w:r w:rsidRPr="0057707F">
              <w:rPr>
                <w:sz w:val="20"/>
                <w:szCs w:val="20"/>
              </w:rPr>
              <w:t>n.a</w:t>
            </w:r>
            <w:proofErr w:type="spellEnd"/>
            <w:r w:rsidRPr="0057707F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57707F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57707F">
              <w:rPr>
                <w:lang w:eastAsia="sk-SK"/>
              </w:rPr>
              <w:t>V stĺpci (5):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Č – článok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§ – paragraf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O – odsek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V – veta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57707F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57707F">
              <w:rPr>
                <w:lang w:eastAsia="sk-SK"/>
              </w:rPr>
              <w:t>V stĺpci (7):</w:t>
            </w:r>
          </w:p>
          <w:p w:rsidR="00076A83" w:rsidRPr="0057707F" w:rsidRDefault="00076A83" w:rsidP="0056013F">
            <w:pPr>
              <w:ind w:left="290" w:hanging="290"/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Ú – úplná zhoda (ak bolo ustanovenie smernice prebraté v celom rozsahu, správne, v príslušnej forme, so zabezpečenou inštitucionálnou infraštruktúrou, s príslušnými sankciami a vo vzájomnej súvislosti)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076A83" w:rsidRPr="0057707F" w:rsidRDefault="00076A83" w:rsidP="0056013F">
            <w:pPr>
              <w:pStyle w:val="Zarkazkladnhotextu2"/>
              <w:ind w:left="0"/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 xml:space="preserve">Ž – žiadna zhoda (ak nebola dosiahnutá ani úplná ani čiastočná zhoda alebo  </w:t>
            </w:r>
            <w:r w:rsidRPr="0057707F">
              <w:rPr>
                <w:sz w:val="20"/>
                <w:szCs w:val="20"/>
              </w:rPr>
              <w:br/>
              <w:t xml:space="preserve">       k prebratiu dôjde v budúcnosti)</w:t>
            </w:r>
          </w:p>
          <w:p w:rsidR="00076A83" w:rsidRPr="0057707F" w:rsidRDefault="00076A83" w:rsidP="0056013F">
            <w:pPr>
              <w:ind w:left="290" w:hanging="290"/>
              <w:rPr>
                <w:sz w:val="20"/>
                <w:szCs w:val="20"/>
              </w:rPr>
            </w:pPr>
            <w:proofErr w:type="spellStart"/>
            <w:r w:rsidRPr="0057707F">
              <w:rPr>
                <w:sz w:val="20"/>
                <w:szCs w:val="20"/>
              </w:rPr>
              <w:t>n.a</w:t>
            </w:r>
            <w:proofErr w:type="spellEnd"/>
            <w:r w:rsidRPr="0057707F">
              <w:rPr>
                <w:sz w:val="20"/>
                <w:szCs w:val="20"/>
              </w:rPr>
              <w:t>. – neaplikovateľnosť (ak sa ustanovenie smernice netýka SR alebo nie je potrebné ho prebrať)</w:t>
            </w:r>
          </w:p>
        </w:tc>
      </w:tr>
    </w:tbl>
    <w:p w:rsidR="00076A83" w:rsidRPr="0057707F" w:rsidRDefault="00076A83" w:rsidP="00076A83"/>
    <w:tbl>
      <w:tblPr>
        <w:tblW w:w="15472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5"/>
        <w:gridCol w:w="14337"/>
      </w:tblGrid>
      <w:tr w:rsidR="00076A83" w:rsidRPr="0057707F" w:rsidTr="0056013F">
        <w:trPr>
          <w:cantSplit/>
          <w:trHeight w:val="240"/>
        </w:trPr>
        <w:tc>
          <w:tcPr>
            <w:tcW w:w="154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7972AB">
            <w:pPr>
              <w:jc w:val="center"/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 xml:space="preserve">Zoznam všeobecne záväzných právnych predpisov preberajúcich smernicu </w:t>
            </w:r>
            <w:r w:rsidRPr="0057707F">
              <w:rPr>
                <w:rStyle w:val="Siln"/>
                <w:sz w:val="20"/>
                <w:szCs w:val="20"/>
              </w:rPr>
              <w:t>20</w:t>
            </w:r>
            <w:r w:rsidR="007972AB">
              <w:rPr>
                <w:rStyle w:val="Siln"/>
                <w:sz w:val="20"/>
                <w:szCs w:val="20"/>
              </w:rPr>
              <w:t>12</w:t>
            </w:r>
            <w:r w:rsidRPr="0057707F">
              <w:rPr>
                <w:rStyle w:val="Siln"/>
                <w:sz w:val="20"/>
                <w:szCs w:val="20"/>
              </w:rPr>
              <w:t>/</w:t>
            </w:r>
            <w:r w:rsidR="007972AB">
              <w:rPr>
                <w:rStyle w:val="Siln"/>
                <w:sz w:val="20"/>
                <w:szCs w:val="20"/>
              </w:rPr>
              <w:t>27</w:t>
            </w:r>
            <w:r w:rsidRPr="0057707F">
              <w:rPr>
                <w:rStyle w:val="Siln"/>
                <w:sz w:val="20"/>
                <w:szCs w:val="20"/>
              </w:rPr>
              <w:t xml:space="preserve">/ES z </w:t>
            </w:r>
            <w:r w:rsidR="007972AB">
              <w:rPr>
                <w:rStyle w:val="Siln"/>
                <w:sz w:val="20"/>
                <w:szCs w:val="20"/>
              </w:rPr>
              <w:t>25</w:t>
            </w:r>
            <w:r w:rsidRPr="0057707F">
              <w:rPr>
                <w:rStyle w:val="Siln"/>
                <w:sz w:val="20"/>
                <w:szCs w:val="20"/>
              </w:rPr>
              <w:t xml:space="preserve">. </w:t>
            </w:r>
            <w:r w:rsidR="007972AB">
              <w:rPr>
                <w:rStyle w:val="Siln"/>
                <w:sz w:val="20"/>
                <w:szCs w:val="20"/>
              </w:rPr>
              <w:t>októb</w:t>
            </w:r>
            <w:r w:rsidR="00443B4F">
              <w:rPr>
                <w:rStyle w:val="Siln"/>
                <w:sz w:val="20"/>
                <w:szCs w:val="20"/>
              </w:rPr>
              <w:t>r</w:t>
            </w:r>
            <w:r w:rsidRPr="0057707F">
              <w:rPr>
                <w:rStyle w:val="Siln"/>
                <w:sz w:val="20"/>
                <w:szCs w:val="20"/>
              </w:rPr>
              <w:t>a 20</w:t>
            </w:r>
            <w:r w:rsidR="007972AB">
              <w:rPr>
                <w:rStyle w:val="Siln"/>
                <w:sz w:val="20"/>
                <w:szCs w:val="20"/>
              </w:rPr>
              <w:t>12</w:t>
            </w:r>
          </w:p>
        </w:tc>
      </w:tr>
      <w:tr w:rsidR="00076A83" w:rsidRPr="0057707F" w:rsidTr="0056013F">
        <w:trPr>
          <w:cantSplit/>
          <w:trHeight w:val="184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57707F" w:rsidRDefault="00076A83" w:rsidP="0056013F">
            <w:pPr>
              <w:jc w:val="center"/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Por. č.</w:t>
            </w:r>
          </w:p>
        </w:tc>
        <w:tc>
          <w:tcPr>
            <w:tcW w:w="1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pStyle w:val="Normlny0"/>
              <w:rPr>
                <w:lang w:eastAsia="sk-SK"/>
              </w:rPr>
            </w:pPr>
            <w:r w:rsidRPr="0057707F">
              <w:rPr>
                <w:lang w:eastAsia="sk-SK"/>
              </w:rPr>
              <w:t>Názov predpisu</w:t>
            </w:r>
          </w:p>
        </w:tc>
      </w:tr>
      <w:tr w:rsidR="00076A83" w:rsidRPr="0057707F" w:rsidTr="0056013F">
        <w:trPr>
          <w:cantSplit/>
          <w:trHeight w:val="24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57707F" w:rsidRDefault="00076A83" w:rsidP="00076A83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251/2012 Z. z.</w:t>
            </w:r>
            <w:r w:rsidRPr="0057707F">
              <w:rPr>
                <w:sz w:val="20"/>
                <w:szCs w:val="20"/>
              </w:rPr>
              <w:t xml:space="preserve"> o energetike a o zmene a doplnení niektorých zákonov</w:t>
            </w:r>
            <w:r>
              <w:rPr>
                <w:sz w:val="20"/>
                <w:szCs w:val="20"/>
              </w:rPr>
              <w:t xml:space="preserve"> v znení neskorších predpisov</w:t>
            </w:r>
          </w:p>
        </w:tc>
      </w:tr>
    </w:tbl>
    <w:p w:rsidR="0093203B" w:rsidRDefault="0093203B" w:rsidP="00E012C1"/>
    <w:sectPr w:rsidR="0093203B" w:rsidSect="00076A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017F7"/>
    <w:multiLevelType w:val="singleLevel"/>
    <w:tmpl w:val="0434A568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371"/>
        </w:tabs>
        <w:ind w:left="337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">
    <w:nsid w:val="1D4B6F50"/>
    <w:multiLevelType w:val="hybridMultilevel"/>
    <w:tmpl w:val="DD72F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F1DAD"/>
    <w:multiLevelType w:val="hybridMultilevel"/>
    <w:tmpl w:val="D480E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E5DD3"/>
    <w:multiLevelType w:val="hybridMultilevel"/>
    <w:tmpl w:val="D480E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11832"/>
    <w:multiLevelType w:val="hybridMultilevel"/>
    <w:tmpl w:val="DD72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6A83"/>
    <w:rsid w:val="00076A83"/>
    <w:rsid w:val="00077578"/>
    <w:rsid w:val="0008469C"/>
    <w:rsid w:val="00443B4F"/>
    <w:rsid w:val="004A02A2"/>
    <w:rsid w:val="005D5EA6"/>
    <w:rsid w:val="005E6E5F"/>
    <w:rsid w:val="0064018A"/>
    <w:rsid w:val="007972AB"/>
    <w:rsid w:val="0093203B"/>
    <w:rsid w:val="00E012C1"/>
    <w:rsid w:val="00E66911"/>
    <w:rsid w:val="00F9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6A83"/>
    <w:pPr>
      <w:keepNext/>
      <w:numPr>
        <w:numId w:val="1"/>
      </w:numPr>
      <w:jc w:val="center"/>
      <w:outlineLvl w:val="0"/>
    </w:pPr>
    <w:rPr>
      <w:rFonts w:eastAsia="Arial Unicode MS"/>
      <w:b/>
      <w:sz w:val="28"/>
      <w:szCs w:val="20"/>
    </w:rPr>
  </w:style>
  <w:style w:type="paragraph" w:styleId="Nadpis2">
    <w:name w:val="heading 2"/>
    <w:aliases w:val="Úloha"/>
    <w:basedOn w:val="Normlny"/>
    <w:next w:val="Normlny"/>
    <w:link w:val="Nadpis2Char"/>
    <w:qFormat/>
    <w:rsid w:val="00076A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076A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076A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76A83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76A83"/>
    <w:pPr>
      <w:keepNext/>
      <w:numPr>
        <w:ilvl w:val="5"/>
        <w:numId w:val="1"/>
      </w:numPr>
      <w:jc w:val="both"/>
      <w:outlineLvl w:val="5"/>
    </w:pPr>
    <w:rPr>
      <w:b/>
      <w:bCs/>
      <w:u w:val="singl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76A83"/>
    <w:pPr>
      <w:keepNext/>
      <w:numPr>
        <w:ilvl w:val="6"/>
        <w:numId w:val="1"/>
      </w:numPr>
      <w:jc w:val="both"/>
      <w:outlineLvl w:val="6"/>
    </w:pPr>
    <w:rPr>
      <w:b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76A83"/>
    <w:rPr>
      <w:rFonts w:ascii="Times New Roman" w:eastAsia="Arial Unicode MS" w:hAnsi="Times New Roman" w:cs="Times New Roman"/>
      <w:b/>
      <w:sz w:val="28"/>
      <w:szCs w:val="20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rsid w:val="00076A8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076A83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076A83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076A8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76A83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076A83"/>
    <w:rPr>
      <w:rFonts w:ascii="Times New Roman" w:eastAsia="Times New Roman" w:hAnsi="Times New Roman" w:cs="Times New Roman"/>
      <w:b/>
      <w:sz w:val="24"/>
      <w:szCs w:val="26"/>
      <w:lang w:eastAsia="sk-SK"/>
    </w:rPr>
  </w:style>
  <w:style w:type="paragraph" w:styleId="Zkladntext2">
    <w:name w:val="Body Text 2"/>
    <w:basedOn w:val="Normlny"/>
    <w:link w:val="Zkladntext2Char"/>
    <w:rsid w:val="00076A8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76A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076A8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76A8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076A83"/>
    <w:rPr>
      <w:b/>
      <w:bCs/>
    </w:rPr>
  </w:style>
  <w:style w:type="paragraph" w:customStyle="1" w:styleId="Normlny0">
    <w:name w:val="_Normálny"/>
    <w:basedOn w:val="Normlny"/>
    <w:rsid w:val="00076A83"/>
    <w:pPr>
      <w:autoSpaceDE w:val="0"/>
      <w:autoSpaceDN w:val="0"/>
    </w:pPr>
    <w:rPr>
      <w:sz w:val="20"/>
      <w:szCs w:val="20"/>
      <w:lang w:eastAsia="en-US"/>
    </w:rPr>
  </w:style>
  <w:style w:type="paragraph" w:customStyle="1" w:styleId="abc">
    <w:name w:val="abc"/>
    <w:basedOn w:val="Normlny"/>
    <w:rsid w:val="00076A83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sz w:val="20"/>
      <w:szCs w:val="20"/>
      <w:lang w:eastAsia="en-US"/>
    </w:rPr>
  </w:style>
  <w:style w:type="paragraph" w:customStyle="1" w:styleId="Point0">
    <w:name w:val="Point 0"/>
    <w:basedOn w:val="Normlny"/>
    <w:uiPriority w:val="99"/>
    <w:rsid w:val="00076A83"/>
    <w:pPr>
      <w:spacing w:before="120" w:after="120" w:line="360" w:lineRule="auto"/>
      <w:ind w:left="850" w:hanging="850"/>
    </w:pPr>
    <w:rPr>
      <w:lang w:eastAsia="en-US"/>
    </w:rPr>
  </w:style>
  <w:style w:type="paragraph" w:customStyle="1" w:styleId="Tiret2">
    <w:name w:val="Tiret 2"/>
    <w:basedOn w:val="Normlny"/>
    <w:rsid w:val="00076A83"/>
    <w:pPr>
      <w:numPr>
        <w:numId w:val="4"/>
      </w:numPr>
      <w:spacing w:before="120" w:after="120" w:line="360" w:lineRule="auto"/>
    </w:pPr>
    <w:rPr>
      <w:lang w:eastAsia="en-US"/>
    </w:rPr>
  </w:style>
  <w:style w:type="paragraph" w:customStyle="1" w:styleId="Point1">
    <w:name w:val="Point 1"/>
    <w:basedOn w:val="Normlny"/>
    <w:link w:val="Point1Char"/>
    <w:rsid w:val="00076A83"/>
    <w:pPr>
      <w:spacing w:before="120" w:after="120" w:line="360" w:lineRule="auto"/>
      <w:ind w:left="1417" w:hanging="567"/>
    </w:pPr>
    <w:rPr>
      <w:lang w:eastAsia="en-US"/>
    </w:rPr>
  </w:style>
  <w:style w:type="paragraph" w:customStyle="1" w:styleId="ManualNumPar1">
    <w:name w:val="Manual NumPar 1"/>
    <w:basedOn w:val="Normlny"/>
    <w:next w:val="Normlny"/>
    <w:rsid w:val="00076A83"/>
    <w:pPr>
      <w:spacing w:before="120" w:after="120" w:line="360" w:lineRule="auto"/>
      <w:ind w:left="850" w:hanging="850"/>
    </w:pPr>
    <w:rPr>
      <w:lang w:eastAsia="en-US"/>
    </w:rPr>
  </w:style>
  <w:style w:type="character" w:customStyle="1" w:styleId="Point1Char">
    <w:name w:val="Point 1 Char"/>
    <w:link w:val="Point1"/>
    <w:locked/>
    <w:rsid w:val="00076A83"/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64018A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lny"/>
    <w:next w:val="Normlny"/>
    <w:uiPriority w:val="99"/>
    <w:rsid w:val="0064018A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4">
    <w:name w:val="CM4"/>
    <w:basedOn w:val="Normlny"/>
    <w:next w:val="Normlny"/>
    <w:uiPriority w:val="99"/>
    <w:rsid w:val="0064018A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632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64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6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1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115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3833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9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2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8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99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76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7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801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06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0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4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36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_zhody"/>
    <f:field ref="objsubject" par="" edit="true" text=""/>
    <f:field ref="objcreatedby" par="" text="Fscclone"/>
    <f:field ref="objcreatedat" par="" text="23.12.2017 1:15:51"/>
    <f:field ref="objchangedby" par="" text="Fscclone"/>
    <f:field ref="objmodifiedat" par="" text="23.12.2017 1:16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0F1A4B-1B2F-4991-B9BD-1918CE9C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Milan</dc:creator>
  <cp:lastModifiedBy>Horvath Milan</cp:lastModifiedBy>
  <cp:revision>5</cp:revision>
  <cp:lastPrinted>2017-12-04T07:40:00Z</cp:lastPrinted>
  <dcterms:created xsi:type="dcterms:W3CDTF">2018-02-07T08:11:00Z</dcterms:created>
  <dcterms:modified xsi:type="dcterms:W3CDTF">2018-02-07T08:33:00Z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Peter Žiga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251/2012 Z. z. o energetike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 </vt:lpwstr>
  </property>
  <property fmtid="{D5CDD505-2E9C-101B-9397-08002B2CF9AE}" pid="23" name="FSC#SKEDITIONSLOVLEX@103.510:plnynazovpredpis">
    <vt:lpwstr> Zákon, ktorým sa mení a dopĺňa zákon č. 251/2012 Z. z. o energetike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27227/2017-2062-50709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LP/2017/883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ministerovi hospodárstva Slovenskej republiky</vt:lpwstr>
  </property>
  <property fmtid="{D5CDD505-2E9C-101B-9397-08002B2CF9AE}" pid="143" name="FSC#SKEDITIONSLOVLEX@103.510:funkciaZodpPredDativ">
    <vt:lpwstr>ministera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Peter Žiga_x000d_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23. 12. 2017</vt:lpwstr>
  </property>
  <property fmtid="{D5CDD505-2E9C-101B-9397-08002B2CF9AE}" pid="151" name="FSC#COOSYSTEM@1.1:Container">
    <vt:lpwstr>COO.2145.1000.3.2340149</vt:lpwstr>
  </property>
  <property fmtid="{D5CDD505-2E9C-101B-9397-08002B2CF9AE}" pid="152" name="FSC#FSCFOLIO@1.1001:docpropproject">
    <vt:lpwstr/>
  </property>
</Properties>
</file>