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 w:rsidR="00076A83" w:rsidRPr="00E408FD" w:rsidTr="0056013F"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adpis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E408FD">
              <w:rPr>
                <w:caps/>
                <w:sz w:val="20"/>
              </w:rPr>
              <w:t xml:space="preserve">Tabuľka </w:t>
            </w:r>
            <w:r w:rsidRPr="00E408FD">
              <w:rPr>
                <w:sz w:val="20"/>
              </w:rPr>
              <w:t xml:space="preserve">ZHODY </w:t>
            </w:r>
          </w:p>
          <w:p w:rsidR="00076A83" w:rsidRPr="00E408FD" w:rsidRDefault="00076A83" w:rsidP="003C52F9">
            <w:pPr>
              <w:rPr>
                <w:b/>
                <w:bCs/>
                <w:sz w:val="20"/>
                <w:szCs w:val="20"/>
              </w:rPr>
            </w:pPr>
            <w:r w:rsidRPr="00E408FD">
              <w:rPr>
                <w:b/>
                <w:bCs/>
                <w:sz w:val="20"/>
                <w:szCs w:val="20"/>
              </w:rPr>
              <w:t>NA ÚČELY OZNÁ</w:t>
            </w:r>
            <w:r w:rsidR="00443B4F">
              <w:rPr>
                <w:b/>
                <w:bCs/>
                <w:sz w:val="20"/>
                <w:szCs w:val="20"/>
              </w:rPr>
              <w:t>MENIA TRANSPOZÍCIE SMERNICE 20</w:t>
            </w:r>
            <w:r w:rsidR="00077578">
              <w:rPr>
                <w:b/>
                <w:bCs/>
                <w:sz w:val="20"/>
                <w:szCs w:val="20"/>
              </w:rPr>
              <w:t>1</w:t>
            </w:r>
            <w:r w:rsidR="003C52F9">
              <w:rPr>
                <w:b/>
                <w:bCs/>
                <w:sz w:val="20"/>
                <w:szCs w:val="20"/>
              </w:rPr>
              <w:t>4</w:t>
            </w:r>
            <w:r w:rsidR="00443B4F">
              <w:rPr>
                <w:b/>
                <w:bCs/>
                <w:sz w:val="20"/>
                <w:szCs w:val="20"/>
              </w:rPr>
              <w:t>/</w:t>
            </w:r>
            <w:r w:rsidR="003C52F9">
              <w:rPr>
                <w:b/>
                <w:bCs/>
                <w:sz w:val="20"/>
                <w:szCs w:val="20"/>
              </w:rPr>
              <w:t>94</w:t>
            </w:r>
            <w:r w:rsidRPr="00E408FD">
              <w:rPr>
                <w:b/>
                <w:bCs/>
                <w:sz w:val="20"/>
                <w:szCs w:val="20"/>
              </w:rPr>
              <w:t>/E</w:t>
            </w:r>
            <w:r w:rsidR="003C52F9">
              <w:rPr>
                <w:b/>
                <w:bCs/>
                <w:sz w:val="20"/>
                <w:szCs w:val="20"/>
              </w:rPr>
              <w:t>Ú</w:t>
            </w:r>
          </w:p>
        </w:tc>
      </w:tr>
      <w:tr w:rsidR="00076A83" w:rsidRPr="00E408FD" w:rsidTr="0056013F"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2F9" w:rsidRPr="00443B4F" w:rsidRDefault="003C52F9" w:rsidP="00443B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3C52F9">
              <w:rPr>
                <w:b/>
                <w:sz w:val="20"/>
                <w:szCs w:val="20"/>
              </w:rPr>
              <w:t>mernic</w:t>
            </w:r>
            <w:r>
              <w:rPr>
                <w:b/>
                <w:sz w:val="20"/>
                <w:szCs w:val="20"/>
              </w:rPr>
              <w:t>a</w:t>
            </w:r>
            <w:r w:rsidRPr="003C52F9">
              <w:rPr>
                <w:b/>
                <w:sz w:val="20"/>
                <w:szCs w:val="20"/>
              </w:rPr>
              <w:t xml:space="preserve"> Európskeho parlamentu a Rady 2014/94/EÚ z 22. októbra 2014 o zavádzaní infraštruktúry pre alternatívne palivá</w:t>
            </w:r>
          </w:p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A83" w:rsidRPr="00E408FD" w:rsidRDefault="00076A83" w:rsidP="0056013F">
            <w:pPr>
              <w:tabs>
                <w:tab w:val="left" w:pos="3030"/>
              </w:tabs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 xml:space="preserve">Návrh zákona, ktorým sa mení a dopĺňa zákon č. 251/2012 Z. z. o energetike a o zmene a doplnení niektorých zákonov v znení neskorších predpisov (ďalej len „Návrh </w:t>
            </w:r>
            <w:proofErr w:type="spellStart"/>
            <w:r w:rsidRPr="00E408FD">
              <w:rPr>
                <w:sz w:val="20"/>
                <w:szCs w:val="20"/>
              </w:rPr>
              <w:t>ZoE</w:t>
            </w:r>
            <w:proofErr w:type="spellEnd"/>
            <w:r w:rsidRPr="00E408FD">
              <w:rPr>
                <w:sz w:val="20"/>
                <w:szCs w:val="20"/>
              </w:rPr>
              <w:t>“).</w:t>
            </w:r>
          </w:p>
          <w:p w:rsidR="00076A83" w:rsidRPr="00E408FD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Zkladntext2"/>
              <w:spacing w:line="240" w:lineRule="exact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jc w:val="center"/>
              <w:rPr>
                <w:sz w:val="20"/>
                <w:szCs w:val="20"/>
              </w:rPr>
            </w:pPr>
            <w:r w:rsidRPr="00E408FD">
              <w:rPr>
                <w:sz w:val="20"/>
                <w:szCs w:val="20"/>
              </w:rPr>
              <w:t>8</w:t>
            </w:r>
          </w:p>
        </w:tc>
      </w:tr>
      <w:tr w:rsidR="00076A83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(Č, O,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Spôsob </w:t>
            </w:r>
            <w:proofErr w:type="spellStart"/>
            <w:r w:rsidRPr="00E408FD">
              <w:t>transp</w:t>
            </w:r>
            <w:proofErr w:type="spellEnd"/>
            <w:r w:rsidRPr="00E408FD">
              <w:t>.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(N, O, D, </w:t>
            </w:r>
            <w:proofErr w:type="spellStart"/>
            <w:r w:rsidRPr="00E408FD">
              <w:t>n.a</w:t>
            </w:r>
            <w:proofErr w:type="spellEnd"/>
            <w:r w:rsidRPr="00E408FD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Článok</w:t>
            </w:r>
          </w:p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E408FD" w:rsidRDefault="00076A83" w:rsidP="0056013F">
            <w:pPr>
              <w:pStyle w:val="Normlny0"/>
              <w:jc w:val="center"/>
            </w:pPr>
            <w:r w:rsidRPr="00E408FD">
              <w:t>Poznámky</w:t>
            </w:r>
          </w:p>
          <w:p w:rsidR="00076A83" w:rsidRPr="00E408FD" w:rsidRDefault="00076A83" w:rsidP="0056013F">
            <w:pPr>
              <w:pStyle w:val="Normlny0"/>
              <w:ind w:right="-43"/>
              <w:jc w:val="center"/>
            </w:pPr>
            <w:r w:rsidRPr="00E408FD">
              <w:t>(pri návrhu predpisu – predpokladaný dátum účinnosti**)</w:t>
            </w:r>
          </w:p>
        </w:tc>
      </w:tr>
      <w:tr w:rsidR="005D5EA6" w:rsidRPr="00E408FD" w:rsidTr="0056013F"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EA6" w:rsidRDefault="00EC4F61" w:rsidP="0056013F">
            <w:pPr>
              <w:pStyle w:val="Normlny0"/>
            </w:pPr>
            <w:r>
              <w:t>Čl. 2</w:t>
            </w:r>
          </w:p>
          <w:p w:rsidR="005D5EA6" w:rsidRDefault="00EC4F61" w:rsidP="0056013F">
            <w:pPr>
              <w:pStyle w:val="Normlny0"/>
            </w:pPr>
            <w:r>
              <w:t>O: 2</w:t>
            </w:r>
          </w:p>
          <w:p w:rsidR="00EC4F61" w:rsidRDefault="00EC4F61" w:rsidP="0056013F">
            <w:pPr>
              <w:pStyle w:val="Normlny0"/>
            </w:pPr>
          </w:p>
          <w:p w:rsidR="00EC4F61" w:rsidRDefault="00EC4F61" w:rsidP="0056013F">
            <w:pPr>
              <w:pStyle w:val="Normlny0"/>
            </w:pPr>
          </w:p>
          <w:p w:rsidR="00EC4F61" w:rsidRDefault="00EC4F61" w:rsidP="0056013F">
            <w:pPr>
              <w:pStyle w:val="Normlny0"/>
            </w:pPr>
          </w:p>
          <w:p w:rsidR="00EC4F61" w:rsidRDefault="00EC4F61" w:rsidP="0056013F">
            <w:pPr>
              <w:pStyle w:val="Normlny0"/>
            </w:pPr>
          </w:p>
          <w:p w:rsidR="00EC4F61" w:rsidRDefault="00EC4F61" w:rsidP="0056013F">
            <w:pPr>
              <w:pStyle w:val="Normlny0"/>
            </w:pPr>
          </w:p>
          <w:p w:rsidR="00EC4F61" w:rsidRDefault="00EC4F61" w:rsidP="0056013F">
            <w:pPr>
              <w:pStyle w:val="Normlny0"/>
            </w:pPr>
          </w:p>
          <w:p w:rsidR="00EC4F61" w:rsidRDefault="00EC4F61" w:rsidP="0056013F">
            <w:pPr>
              <w:pStyle w:val="Normlny0"/>
            </w:pPr>
            <w:r>
              <w:t>Čl. 2</w:t>
            </w:r>
          </w:p>
          <w:p w:rsidR="00EC4F61" w:rsidRDefault="00EC4F61" w:rsidP="0056013F">
            <w:pPr>
              <w:pStyle w:val="Normlny0"/>
            </w:pPr>
            <w:r>
              <w:t xml:space="preserve">O: </w:t>
            </w:r>
            <w:r w:rsidR="00607FC1">
              <w:t>3</w:t>
            </w:r>
          </w:p>
          <w:p w:rsidR="00607FC1" w:rsidRDefault="00607FC1" w:rsidP="0056013F">
            <w:pPr>
              <w:pStyle w:val="Normlny0"/>
            </w:pPr>
          </w:p>
          <w:p w:rsidR="00607FC1" w:rsidRDefault="00607FC1" w:rsidP="0056013F">
            <w:pPr>
              <w:pStyle w:val="Normlny0"/>
            </w:pPr>
          </w:p>
          <w:p w:rsidR="00607FC1" w:rsidRDefault="00607FC1" w:rsidP="0056013F">
            <w:pPr>
              <w:pStyle w:val="Normlny0"/>
            </w:pPr>
          </w:p>
          <w:p w:rsidR="00607FC1" w:rsidRDefault="00607FC1" w:rsidP="0056013F">
            <w:pPr>
              <w:pStyle w:val="Normlny0"/>
            </w:pPr>
          </w:p>
          <w:p w:rsidR="00607FC1" w:rsidRDefault="00607FC1" w:rsidP="0056013F">
            <w:pPr>
              <w:pStyle w:val="Normlny0"/>
            </w:pPr>
            <w:r>
              <w:t>Čl. 2</w:t>
            </w:r>
          </w:p>
          <w:p w:rsidR="00607FC1" w:rsidRPr="00E408FD" w:rsidRDefault="00607FC1" w:rsidP="0056013F">
            <w:pPr>
              <w:pStyle w:val="Normlny0"/>
            </w:pPr>
            <w:r>
              <w:t>O: 7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F" w:rsidRPr="00607FC1" w:rsidRDefault="0020684B" w:rsidP="0064018A">
            <w:pPr>
              <w:pStyle w:val="ManualNumPar1"/>
              <w:spacing w:before="0"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C4F61" w:rsidRPr="00607FC1">
              <w:rPr>
                <w:sz w:val="20"/>
                <w:szCs w:val="20"/>
              </w:rPr>
              <w:t>„elektrické vozidlo“ je motorové vozidlo vybavené hnacou jednotkou, ktorá sa skladá minimálne z jedného neperiférneho elektrického motora v úlohe meniča energie s nabíjateľným systémom uchovávania elektrickej energie, ktorý možno externe nabíjať;</w:t>
            </w:r>
          </w:p>
          <w:p w:rsidR="00607FC1" w:rsidRPr="00607FC1" w:rsidRDefault="00607FC1" w:rsidP="00607FC1">
            <w:pPr>
              <w:rPr>
                <w:sz w:val="20"/>
                <w:szCs w:val="20"/>
                <w:lang w:eastAsia="en-US"/>
              </w:rPr>
            </w:pPr>
          </w:p>
          <w:p w:rsidR="00607FC1" w:rsidRDefault="0020684B" w:rsidP="00607F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„</w:t>
            </w:r>
            <w:r w:rsidR="00607FC1" w:rsidRPr="00607FC1">
              <w:rPr>
                <w:sz w:val="20"/>
                <w:szCs w:val="20"/>
                <w:lang w:eastAsia="en-US"/>
              </w:rPr>
              <w:t>nabíjacia stanica“ je rozhranie, ktoré v určitom čase umožňuje nabíjanie jedného elektrického vozidla alebo výmenu batérie jedného elektrického vozidla;</w:t>
            </w:r>
          </w:p>
          <w:p w:rsidR="00607FC1" w:rsidRDefault="00607FC1" w:rsidP="00607FC1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07FC1" w:rsidRPr="00607FC1" w:rsidRDefault="0020684B" w:rsidP="00607FC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 </w:t>
            </w:r>
            <w:bookmarkStart w:id="0" w:name="_GoBack"/>
            <w:bookmarkEnd w:id="0"/>
            <w:r w:rsidR="00607FC1" w:rsidRPr="00607FC1">
              <w:rPr>
                <w:sz w:val="20"/>
                <w:szCs w:val="20"/>
                <w:lang w:eastAsia="en-US"/>
              </w:rPr>
              <w:t>„verejne prístupná nabíjacia alebo čerpacia stanica“ je nabíjacia alebo čerpacia stanica zabezpečujúca dodávku alternatívneho paliva a poskytujúca nediskriminačný prístup pre používateľov v celej Únii. Podmienky schvaľovania, používania a platby sa môžu v rámci nediskriminačného prístupu líšiť;</w:t>
            </w:r>
          </w:p>
          <w:p w:rsidR="00EC4F61" w:rsidRPr="00EC4F61" w:rsidRDefault="00EC4F61" w:rsidP="00EC4F61">
            <w:pPr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EA6" w:rsidRPr="00E408FD" w:rsidRDefault="005D5EA6" w:rsidP="0056013F">
            <w:pPr>
              <w:pStyle w:val="Normlny0"/>
              <w:jc w:val="center"/>
            </w:pPr>
            <w:r>
              <w:t xml:space="preserve">Návrh </w:t>
            </w:r>
            <w:proofErr w:type="spellStart"/>
            <w:r>
              <w:t>ZoE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EC4F61">
            <w:pPr>
              <w:pStyle w:val="Normlny0"/>
              <w:jc w:val="center"/>
            </w:pPr>
            <w:r>
              <w:t xml:space="preserve">§ </w:t>
            </w:r>
            <w:r w:rsidR="00EC4F61">
              <w:t>2</w:t>
            </w:r>
            <w:r w:rsidR="0064018A">
              <w:t xml:space="preserve"> </w:t>
            </w:r>
            <w:r w:rsidR="00EC4F61">
              <w:t>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61" w:rsidRPr="00EC4F61" w:rsidRDefault="00EC4F61" w:rsidP="00EC4F61">
            <w:pPr>
              <w:widowControl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EC4F61">
              <w:rPr>
                <w:bCs/>
                <w:sz w:val="20"/>
                <w:szCs w:val="20"/>
                <w:lang w:eastAsia="en-US"/>
              </w:rPr>
              <w:t>V § 2 sa písmeno b) dopĺňa dvadsiatym deviatym bodom až tridsiatym druhým bodom, ktoré znejú:</w:t>
            </w:r>
          </w:p>
          <w:p w:rsidR="00EC4F61" w:rsidRPr="00EC4F61" w:rsidRDefault="00EC4F61" w:rsidP="00EC4F61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EC4F61">
              <w:rPr>
                <w:bCs/>
                <w:sz w:val="20"/>
                <w:szCs w:val="20"/>
                <w:lang w:eastAsia="en-US"/>
              </w:rPr>
              <w:t>„29. elektrickým vozidlom motorové vozidlo vybavené hnacou jednotkou, ktorá sa skladá minimálne z jedného neperiférneho elektrického motora ako meniča energie s nabíjateľným systémom ukladania elektriny, ktorý možno externe nabíjať,</w:t>
            </w:r>
          </w:p>
          <w:p w:rsidR="00EC4F61" w:rsidRPr="00EC4F61" w:rsidRDefault="00EC4F61" w:rsidP="00EC4F61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EC4F61">
              <w:rPr>
                <w:bCs/>
                <w:sz w:val="20"/>
                <w:szCs w:val="20"/>
                <w:lang w:eastAsia="en-US"/>
              </w:rPr>
              <w:t>30. nabíjacím bodom rozhranie, ktoré v určitom čase umožňuje nabíjanie jedného elektrického vozidla elektrinou alebo výmenu batérie jedného elektrického vozidla,</w:t>
            </w:r>
          </w:p>
          <w:p w:rsidR="00EC4F61" w:rsidRPr="00EC4F61" w:rsidRDefault="00EC4F61" w:rsidP="00EC4F61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EC4F61">
              <w:rPr>
                <w:bCs/>
                <w:sz w:val="20"/>
                <w:szCs w:val="20"/>
                <w:lang w:eastAsia="en-US"/>
              </w:rPr>
              <w:t>31. nabíjacou stanicou jeden alebo viacero nabíjacích bodov,</w:t>
            </w:r>
          </w:p>
          <w:p w:rsidR="00EC4F61" w:rsidRPr="00EC4F61" w:rsidRDefault="00EC4F61" w:rsidP="00EC4F61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  <w:r w:rsidRPr="00EC4F61">
              <w:rPr>
                <w:bCs/>
                <w:sz w:val="20"/>
                <w:szCs w:val="20"/>
                <w:lang w:eastAsia="en-US"/>
              </w:rPr>
              <w:t>32. verejne prístupnou nabíjacou stanicou nabíjacia stanica, ku ktorej je zabezpečený nediskriminačný prístup všetkým používateľom; nediskriminačný prístup môže zahŕňať rôzne spôsoby autentifikácie a platby,“.</w:t>
            </w:r>
          </w:p>
          <w:p w:rsidR="005D5EA6" w:rsidRPr="00E408FD" w:rsidRDefault="005D5EA6" w:rsidP="003C52F9">
            <w:pPr>
              <w:widowControl w:val="0"/>
              <w:ind w:left="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A6" w:rsidRPr="00E408FD" w:rsidRDefault="0008469C" w:rsidP="0056013F">
            <w:pPr>
              <w:pStyle w:val="Normlny0"/>
              <w:jc w:val="center"/>
            </w:pPr>
            <w:r>
              <w:t>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5EA6" w:rsidRPr="00E408FD" w:rsidRDefault="005D5EA6" w:rsidP="0056013F">
            <w:pPr>
              <w:pStyle w:val="Normlny0"/>
              <w:ind w:right="-43"/>
              <w:jc w:val="center"/>
            </w:pPr>
          </w:p>
        </w:tc>
      </w:tr>
    </w:tbl>
    <w:p w:rsidR="00076A83" w:rsidRPr="0057707F" w:rsidRDefault="00076A83" w:rsidP="00076A83"/>
    <w:p w:rsidR="00076A83" w:rsidRPr="0057707F" w:rsidRDefault="00076A83" w:rsidP="00076A83"/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076A83" w:rsidRPr="0057707F" w:rsidTr="0056013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lastRenderedPageBreak/>
              <w:t>V stĺpci (1):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číslo (písmeno)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(3):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N – bežná transpozícia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transpozícia s možnosťou voľby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D – transpozícia podľa úvahy (dobrovoľná)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(5):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článok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§ – paragraf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O – odsek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V – veta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76A83" w:rsidRPr="0057707F" w:rsidRDefault="00076A83" w:rsidP="0056013F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57707F">
              <w:rPr>
                <w:lang w:eastAsia="sk-SK"/>
              </w:rPr>
              <w:t>V stĺpci (7):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Ú – úplná zhoda (ak bolo ustanovenie smernice prebraté v celom rozsahu, správne, v príslušnej forme, so zabezpečenou inštitucionálnou infraštruktúrou, s príslušnými sankciami a vo vzájomnej súvislosti)</w:t>
            </w:r>
          </w:p>
          <w:p w:rsidR="00076A83" w:rsidRPr="0057707F" w:rsidRDefault="00076A83" w:rsidP="0056013F">
            <w:pPr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076A83" w:rsidRPr="0057707F" w:rsidRDefault="00076A83" w:rsidP="0056013F">
            <w:pPr>
              <w:pStyle w:val="Zarkazkladnhotextu2"/>
              <w:ind w:left="0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 xml:space="preserve">Ž – žiadna zhoda (ak nebola dosiahnutá ani úplná ani čiastočná zhoda alebo  </w:t>
            </w:r>
            <w:r w:rsidRPr="0057707F">
              <w:rPr>
                <w:sz w:val="20"/>
                <w:szCs w:val="20"/>
              </w:rPr>
              <w:br/>
              <w:t xml:space="preserve">       k prebratiu dôjde v budúcnosti)</w:t>
            </w:r>
          </w:p>
          <w:p w:rsidR="00076A83" w:rsidRPr="0057707F" w:rsidRDefault="00076A83" w:rsidP="0056013F">
            <w:pPr>
              <w:ind w:left="290" w:hanging="290"/>
              <w:rPr>
                <w:sz w:val="20"/>
                <w:szCs w:val="20"/>
              </w:rPr>
            </w:pPr>
            <w:proofErr w:type="spellStart"/>
            <w:r w:rsidRPr="0057707F">
              <w:rPr>
                <w:sz w:val="20"/>
                <w:szCs w:val="20"/>
              </w:rPr>
              <w:t>n.a</w:t>
            </w:r>
            <w:proofErr w:type="spellEnd"/>
            <w:r w:rsidRPr="0057707F"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076A83" w:rsidRPr="0057707F" w:rsidRDefault="00076A83" w:rsidP="00076A83"/>
    <w:tbl>
      <w:tblPr>
        <w:tblW w:w="15472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35"/>
        <w:gridCol w:w="14337"/>
      </w:tblGrid>
      <w:tr w:rsidR="00076A83" w:rsidRPr="0057707F" w:rsidTr="0056013F">
        <w:trPr>
          <w:cantSplit/>
          <w:trHeight w:val="240"/>
        </w:trPr>
        <w:tc>
          <w:tcPr>
            <w:tcW w:w="15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3C52F9">
            <w:pPr>
              <w:jc w:val="center"/>
              <w:rPr>
                <w:b/>
                <w:bCs/>
                <w:sz w:val="20"/>
                <w:szCs w:val="20"/>
              </w:rPr>
            </w:pPr>
            <w:r w:rsidRPr="0057707F">
              <w:rPr>
                <w:b/>
                <w:bCs/>
                <w:sz w:val="20"/>
                <w:szCs w:val="20"/>
              </w:rPr>
              <w:t xml:space="preserve">Zoznam všeobecne záväzných právnych predpisov preberajúcich smernicu </w:t>
            </w:r>
            <w:r w:rsidRPr="0057707F">
              <w:rPr>
                <w:rStyle w:val="Siln"/>
                <w:sz w:val="20"/>
                <w:szCs w:val="20"/>
              </w:rPr>
              <w:t>20</w:t>
            </w:r>
            <w:r w:rsidR="007972AB">
              <w:rPr>
                <w:rStyle w:val="Siln"/>
                <w:sz w:val="20"/>
                <w:szCs w:val="20"/>
              </w:rPr>
              <w:t>1</w:t>
            </w:r>
            <w:r w:rsidR="003C52F9">
              <w:rPr>
                <w:rStyle w:val="Siln"/>
                <w:sz w:val="20"/>
                <w:szCs w:val="20"/>
              </w:rPr>
              <w:t>4</w:t>
            </w:r>
            <w:r w:rsidRPr="0057707F">
              <w:rPr>
                <w:rStyle w:val="Siln"/>
                <w:sz w:val="20"/>
                <w:szCs w:val="20"/>
              </w:rPr>
              <w:t>/</w:t>
            </w:r>
            <w:r w:rsidR="003C52F9">
              <w:rPr>
                <w:rStyle w:val="Siln"/>
                <w:sz w:val="20"/>
                <w:szCs w:val="20"/>
              </w:rPr>
              <w:t>94</w:t>
            </w:r>
            <w:r w:rsidRPr="0057707F">
              <w:rPr>
                <w:rStyle w:val="Siln"/>
                <w:sz w:val="20"/>
                <w:szCs w:val="20"/>
              </w:rPr>
              <w:t>/E</w:t>
            </w:r>
            <w:r w:rsidR="003C52F9">
              <w:rPr>
                <w:rStyle w:val="Siln"/>
                <w:sz w:val="20"/>
                <w:szCs w:val="20"/>
              </w:rPr>
              <w:t>Ú</w:t>
            </w:r>
            <w:r w:rsidRPr="0057707F">
              <w:rPr>
                <w:rStyle w:val="Siln"/>
                <w:sz w:val="20"/>
                <w:szCs w:val="20"/>
              </w:rPr>
              <w:t xml:space="preserve"> z </w:t>
            </w:r>
            <w:r w:rsidR="007972AB">
              <w:rPr>
                <w:rStyle w:val="Siln"/>
                <w:sz w:val="20"/>
                <w:szCs w:val="20"/>
              </w:rPr>
              <w:t>2</w:t>
            </w:r>
            <w:r w:rsidR="003C52F9">
              <w:rPr>
                <w:rStyle w:val="Siln"/>
                <w:sz w:val="20"/>
                <w:szCs w:val="20"/>
              </w:rPr>
              <w:t>2</w:t>
            </w:r>
            <w:r w:rsidRPr="0057707F">
              <w:rPr>
                <w:rStyle w:val="Siln"/>
                <w:sz w:val="20"/>
                <w:szCs w:val="20"/>
              </w:rPr>
              <w:t xml:space="preserve">. </w:t>
            </w:r>
            <w:r w:rsidR="007972AB">
              <w:rPr>
                <w:rStyle w:val="Siln"/>
                <w:sz w:val="20"/>
                <w:szCs w:val="20"/>
              </w:rPr>
              <w:t>októb</w:t>
            </w:r>
            <w:r w:rsidR="00443B4F">
              <w:rPr>
                <w:rStyle w:val="Siln"/>
                <w:sz w:val="20"/>
                <w:szCs w:val="20"/>
              </w:rPr>
              <w:t>r</w:t>
            </w:r>
            <w:r w:rsidRPr="0057707F">
              <w:rPr>
                <w:rStyle w:val="Siln"/>
                <w:sz w:val="20"/>
                <w:szCs w:val="20"/>
              </w:rPr>
              <w:t>a 20</w:t>
            </w:r>
            <w:r w:rsidR="007972AB">
              <w:rPr>
                <w:rStyle w:val="Siln"/>
                <w:sz w:val="20"/>
                <w:szCs w:val="20"/>
              </w:rPr>
              <w:t>1</w:t>
            </w:r>
            <w:r w:rsidR="003C52F9">
              <w:rPr>
                <w:rStyle w:val="Siln"/>
                <w:sz w:val="20"/>
                <w:szCs w:val="20"/>
              </w:rPr>
              <w:t>4</w:t>
            </w:r>
          </w:p>
        </w:tc>
      </w:tr>
      <w:tr w:rsidR="00076A83" w:rsidRPr="0057707F" w:rsidTr="0056013F">
        <w:trPr>
          <w:cantSplit/>
          <w:trHeight w:val="184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56013F">
            <w:pPr>
              <w:jc w:val="center"/>
              <w:rPr>
                <w:sz w:val="20"/>
                <w:szCs w:val="20"/>
              </w:rPr>
            </w:pPr>
            <w:r w:rsidRPr="0057707F">
              <w:rPr>
                <w:sz w:val="20"/>
                <w:szCs w:val="20"/>
              </w:rPr>
              <w:t>Por. č.</w:t>
            </w: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pStyle w:val="Normlny0"/>
              <w:rPr>
                <w:lang w:eastAsia="sk-SK"/>
              </w:rPr>
            </w:pPr>
            <w:r w:rsidRPr="0057707F">
              <w:rPr>
                <w:lang w:eastAsia="sk-SK"/>
              </w:rPr>
              <w:t>Názov predpisu</w:t>
            </w:r>
          </w:p>
        </w:tc>
      </w:tr>
      <w:tr w:rsidR="00076A83" w:rsidRPr="0057707F" w:rsidTr="0056013F">
        <w:trPr>
          <w:cantSplit/>
          <w:trHeight w:val="240"/>
        </w:trPr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6A83" w:rsidRPr="0057707F" w:rsidRDefault="00076A83" w:rsidP="00076A83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6A83" w:rsidRPr="0057707F" w:rsidRDefault="00076A83" w:rsidP="0056013F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251/2012 Z. z.</w:t>
            </w:r>
            <w:r w:rsidRPr="0057707F">
              <w:rPr>
                <w:sz w:val="20"/>
                <w:szCs w:val="20"/>
              </w:rPr>
              <w:t xml:space="preserve"> o energetike a o zmene a doplnení niektorých zákonov</w:t>
            </w:r>
            <w:r>
              <w:rPr>
                <w:sz w:val="20"/>
                <w:szCs w:val="20"/>
              </w:rPr>
              <w:t xml:space="preserve"> v znení neskorších predpisov</w:t>
            </w:r>
          </w:p>
        </w:tc>
      </w:tr>
    </w:tbl>
    <w:p w:rsidR="0093203B" w:rsidRDefault="0093203B" w:rsidP="00E012C1"/>
    <w:sectPr w:rsidR="0093203B" w:rsidSect="00076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017F7"/>
    <w:multiLevelType w:val="singleLevel"/>
    <w:tmpl w:val="0434A568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1D4B6F50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1DAD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DD3"/>
    <w:multiLevelType w:val="hybridMultilevel"/>
    <w:tmpl w:val="D480E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1832"/>
    <w:multiLevelType w:val="hybridMultilevel"/>
    <w:tmpl w:val="DD72F5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A83"/>
    <w:rsid w:val="00076A83"/>
    <w:rsid w:val="00077578"/>
    <w:rsid w:val="0008469C"/>
    <w:rsid w:val="0020684B"/>
    <w:rsid w:val="003C52F9"/>
    <w:rsid w:val="00443B4F"/>
    <w:rsid w:val="004A02A2"/>
    <w:rsid w:val="005D5EA6"/>
    <w:rsid w:val="005E6E5F"/>
    <w:rsid w:val="00607FC1"/>
    <w:rsid w:val="0064018A"/>
    <w:rsid w:val="007972AB"/>
    <w:rsid w:val="0093203B"/>
    <w:rsid w:val="00B81D69"/>
    <w:rsid w:val="00E012C1"/>
    <w:rsid w:val="00E66911"/>
    <w:rsid w:val="00EC4F61"/>
    <w:rsid w:val="00F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6A83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076A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076A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76A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76A83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76A83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076A83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6A83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076A83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076A83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76A8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76A8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76A8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076A83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Zkladntext2">
    <w:name w:val="Body Text 2"/>
    <w:basedOn w:val="Normlny"/>
    <w:link w:val="Zkladntext2Char"/>
    <w:rsid w:val="00076A8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76A8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76A8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076A83"/>
    <w:rPr>
      <w:b/>
      <w:bCs/>
    </w:rPr>
  </w:style>
  <w:style w:type="paragraph" w:customStyle="1" w:styleId="Normlny0">
    <w:name w:val="_Normálny"/>
    <w:basedOn w:val="Normlny"/>
    <w:rsid w:val="00076A83"/>
    <w:pPr>
      <w:autoSpaceDE w:val="0"/>
      <w:autoSpaceDN w:val="0"/>
    </w:pPr>
    <w:rPr>
      <w:sz w:val="20"/>
      <w:szCs w:val="20"/>
      <w:lang w:eastAsia="en-US"/>
    </w:rPr>
  </w:style>
  <w:style w:type="paragraph" w:customStyle="1" w:styleId="abc">
    <w:name w:val="abc"/>
    <w:basedOn w:val="Normlny"/>
    <w:rsid w:val="00076A83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sz w:val="20"/>
      <w:szCs w:val="20"/>
      <w:lang w:eastAsia="en-US"/>
    </w:rPr>
  </w:style>
  <w:style w:type="paragraph" w:customStyle="1" w:styleId="Point0">
    <w:name w:val="Point 0"/>
    <w:basedOn w:val="Normlny"/>
    <w:uiPriority w:val="99"/>
    <w:rsid w:val="00076A83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ret2">
    <w:name w:val="Tiret 2"/>
    <w:basedOn w:val="Normlny"/>
    <w:rsid w:val="00076A83"/>
    <w:pPr>
      <w:numPr>
        <w:numId w:val="4"/>
      </w:numPr>
      <w:spacing w:before="120" w:after="120" w:line="360" w:lineRule="auto"/>
    </w:pPr>
    <w:rPr>
      <w:lang w:eastAsia="en-US"/>
    </w:rPr>
  </w:style>
  <w:style w:type="paragraph" w:customStyle="1" w:styleId="Point1">
    <w:name w:val="Point 1"/>
    <w:basedOn w:val="Normlny"/>
    <w:link w:val="Point1Char"/>
    <w:rsid w:val="00076A83"/>
    <w:pPr>
      <w:spacing w:before="120" w:after="120" w:line="360" w:lineRule="auto"/>
      <w:ind w:left="1417" w:hanging="567"/>
    </w:pPr>
    <w:rPr>
      <w:lang w:eastAsia="en-US"/>
    </w:rPr>
  </w:style>
  <w:style w:type="paragraph" w:customStyle="1" w:styleId="ManualNumPar1">
    <w:name w:val="Manual NumPar 1"/>
    <w:basedOn w:val="Normlny"/>
    <w:next w:val="Normlny"/>
    <w:rsid w:val="00076A83"/>
    <w:pPr>
      <w:spacing w:before="120" w:after="120" w:line="360" w:lineRule="auto"/>
      <w:ind w:left="850" w:hanging="850"/>
    </w:pPr>
    <w:rPr>
      <w:lang w:eastAsia="en-US"/>
    </w:rPr>
  </w:style>
  <w:style w:type="character" w:customStyle="1" w:styleId="Point1Char">
    <w:name w:val="Point 1 Char"/>
    <w:link w:val="Point1"/>
    <w:locked/>
    <w:rsid w:val="00076A83"/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64018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ny"/>
    <w:next w:val="Normlny"/>
    <w:uiPriority w:val="99"/>
    <w:rsid w:val="0064018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4">
    <w:name w:val="CM4"/>
    <w:basedOn w:val="Normlny"/>
    <w:next w:val="Normlny"/>
    <w:uiPriority w:val="99"/>
    <w:rsid w:val="0064018A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63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64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01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115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383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8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9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760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01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6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scclone"/>
    <f:field ref="objcreatedat" par="" text="23.12.2017 1:15:51"/>
    <f:field ref="objchangedby" par="" text="Fscclone"/>
    <f:field ref="objmodifiedat" par="" text="23.12.2017 1:16:1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BB0654F-D205-44B7-B237-93F2C041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Milan</dc:creator>
  <cp:lastModifiedBy>Horvath Milan</cp:lastModifiedBy>
  <cp:revision>5</cp:revision>
  <cp:lastPrinted>2017-12-04T07:40:00Z</cp:lastPrinted>
  <dcterms:created xsi:type="dcterms:W3CDTF">2018-02-07T08:35:00Z</dcterms:created>
  <dcterms:modified xsi:type="dcterms:W3CDTF">2018-02-07T09:00:00Z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251/2012 Z. z. o energetike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 </vt:lpwstr>
  </property>
  <property fmtid="{D5CDD505-2E9C-101B-9397-08002B2CF9AE}" pid="23" name="FSC#SKEDITIONSLOVLEX@103.510:plnynazovpredpis">
    <vt:lpwstr> Zákon, ktorým sa mení a dopĺňa zákon č. 251/2012 Z. z. o energetike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27227/2017-2062-50709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LP/2017/883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23. 12. 2017</vt:lpwstr>
  </property>
  <property fmtid="{D5CDD505-2E9C-101B-9397-08002B2CF9AE}" pid="151" name="FSC#COOSYSTEM@1.1:Container">
    <vt:lpwstr>COO.2145.1000.3.2340149</vt:lpwstr>
  </property>
  <property fmtid="{D5CDD505-2E9C-101B-9397-08002B2CF9AE}" pid="152" name="FSC#FSCFOLIO@1.1001:docpropproject">
    <vt:lpwstr/>
  </property>
</Properties>
</file>