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843E" w14:textId="77777777" w:rsidR="00D710A5" w:rsidRPr="00590C2D" w:rsidRDefault="002A7595" w:rsidP="00903846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590C2D">
        <w:rPr>
          <w:rFonts w:ascii="Times New Roman" w:hAnsi="Times New Roman"/>
          <w:b/>
          <w:sz w:val="24"/>
          <w:szCs w:val="24"/>
          <w:lang w:eastAsia="sk-SK"/>
        </w:rPr>
        <w:t>B. Osobitná časť</w:t>
      </w:r>
    </w:p>
    <w:p w14:paraId="2ADE03E9" w14:textId="77777777" w:rsidR="00903846" w:rsidRPr="00590C2D" w:rsidRDefault="00903846" w:rsidP="00903846">
      <w:pPr>
        <w:pStyle w:val="Bezriadkovania"/>
        <w:rPr>
          <w:rFonts w:ascii="Times New Roman" w:hAnsi="Times New Roman"/>
          <w:b/>
          <w:sz w:val="25"/>
          <w:szCs w:val="25"/>
        </w:rPr>
      </w:pPr>
    </w:p>
    <w:p w14:paraId="2248BCC4" w14:textId="77777777" w:rsidR="002F00DB" w:rsidRPr="00590C2D" w:rsidRDefault="002F00DB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1BD1D610" w14:textId="4E351FC7" w:rsidR="00903846" w:rsidRDefault="00EB2809" w:rsidP="004D679B">
      <w:pPr>
        <w:pStyle w:val="Bezriadkovania"/>
        <w:divId w:val="372653723"/>
        <w:rPr>
          <w:rFonts w:ascii="Times New Roman" w:hAnsi="Times New Roman"/>
          <w:sz w:val="24"/>
          <w:szCs w:val="24"/>
        </w:rPr>
      </w:pPr>
      <w:r w:rsidRPr="00590C2D">
        <w:rPr>
          <w:rFonts w:ascii="Times New Roman" w:hAnsi="Times New Roman"/>
          <w:sz w:val="24"/>
          <w:szCs w:val="24"/>
        </w:rPr>
        <w:t>K čl. I</w:t>
      </w:r>
    </w:p>
    <w:p w14:paraId="6710E816" w14:textId="77777777" w:rsidR="004D679B" w:rsidRPr="004D679B" w:rsidRDefault="004D679B" w:rsidP="004D679B">
      <w:pPr>
        <w:pStyle w:val="Bezriadkovania"/>
        <w:divId w:val="372653723"/>
        <w:rPr>
          <w:rFonts w:ascii="Times New Roman" w:hAnsi="Times New Roman"/>
          <w:sz w:val="24"/>
          <w:szCs w:val="24"/>
        </w:rPr>
      </w:pPr>
    </w:p>
    <w:p w14:paraId="5C0DF1E3" w14:textId="77777777" w:rsidR="004F6A09" w:rsidRPr="00590C2D" w:rsidRDefault="004F6A09">
      <w:pPr>
        <w:divId w:val="372653723"/>
        <w:rPr>
          <w:rFonts w:ascii="Times New Roman" w:hAnsi="Times New Roman"/>
          <w:b/>
          <w:bCs/>
          <w:sz w:val="24"/>
          <w:szCs w:val="24"/>
        </w:rPr>
      </w:pPr>
      <w:r w:rsidRPr="00590C2D">
        <w:rPr>
          <w:rFonts w:ascii="Times New Roman" w:hAnsi="Times New Roman"/>
          <w:b/>
          <w:bCs/>
          <w:sz w:val="24"/>
          <w:szCs w:val="24"/>
        </w:rPr>
        <w:t xml:space="preserve">K </w:t>
      </w:r>
      <w:r w:rsidR="00EB2809" w:rsidRPr="00590C2D">
        <w:rPr>
          <w:rFonts w:ascii="Times New Roman" w:hAnsi="Times New Roman"/>
          <w:b/>
          <w:bCs/>
          <w:sz w:val="24"/>
          <w:szCs w:val="24"/>
        </w:rPr>
        <w:t>bodu 1</w:t>
      </w:r>
    </w:p>
    <w:p w14:paraId="1E0575A5" w14:textId="0CB1AAD5" w:rsidR="00C864A7" w:rsidRPr="00590C2D" w:rsidRDefault="00C864A7" w:rsidP="00C864A7">
      <w:pPr>
        <w:pStyle w:val="Bezriadkovania"/>
        <w:ind w:firstLine="720"/>
        <w:jc w:val="both"/>
        <w:divId w:val="372653723"/>
        <w:rPr>
          <w:rFonts w:ascii="Times New Roman" w:hAnsi="Times New Roman"/>
          <w:sz w:val="24"/>
          <w:szCs w:val="24"/>
        </w:rPr>
      </w:pPr>
      <w:r w:rsidRPr="00590C2D">
        <w:rPr>
          <w:rFonts w:ascii="Times New Roman" w:hAnsi="Times New Roman"/>
          <w:sz w:val="24"/>
          <w:szCs w:val="24"/>
        </w:rPr>
        <w:t xml:space="preserve">Cieľom doplnenia </w:t>
      </w:r>
      <w:r w:rsidR="00693386">
        <w:rPr>
          <w:rFonts w:ascii="Times New Roman" w:hAnsi="Times New Roman"/>
          <w:sz w:val="24"/>
          <w:szCs w:val="24"/>
        </w:rPr>
        <w:t>nového odseku v § 2</w:t>
      </w:r>
      <w:r w:rsidRPr="00590C2D">
        <w:rPr>
          <w:rFonts w:ascii="Times New Roman" w:hAnsi="Times New Roman"/>
          <w:sz w:val="24"/>
          <w:szCs w:val="24"/>
        </w:rPr>
        <w:t xml:space="preserve"> je vytvoriť podmienky pre </w:t>
      </w:r>
      <w:r w:rsidR="003E7DC1" w:rsidRPr="00D91942">
        <w:rPr>
          <w:rFonts w:ascii="Times New Roman" w:hAnsi="Times New Roman"/>
          <w:sz w:val="24"/>
          <w:szCs w:val="24"/>
        </w:rPr>
        <w:t xml:space="preserve">efektívnejšiu </w:t>
      </w:r>
      <w:r w:rsidR="003E7DC1">
        <w:rPr>
          <w:rFonts w:ascii="Times New Roman" w:hAnsi="Times New Roman"/>
          <w:sz w:val="24"/>
          <w:szCs w:val="24"/>
        </w:rPr>
        <w:t xml:space="preserve">a jednoduchšiu </w:t>
      </w:r>
      <w:r w:rsidR="003E7DC1" w:rsidRPr="00D91942">
        <w:rPr>
          <w:rFonts w:ascii="Times New Roman" w:hAnsi="Times New Roman"/>
          <w:sz w:val="24"/>
          <w:szCs w:val="24"/>
        </w:rPr>
        <w:t>implementáciu stratégií</w:t>
      </w:r>
      <w:r w:rsidR="003E7DC1">
        <w:rPr>
          <w:rFonts w:ascii="Times New Roman" w:hAnsi="Times New Roman"/>
          <w:sz w:val="24"/>
          <w:szCs w:val="24"/>
        </w:rPr>
        <w:t xml:space="preserve"> miestneho rozvoja vedeného komunitou</w:t>
      </w:r>
      <w:r w:rsidR="006164DC">
        <w:rPr>
          <w:rFonts w:ascii="Times New Roman" w:hAnsi="Times New Roman"/>
          <w:sz w:val="24"/>
          <w:szCs w:val="24"/>
        </w:rPr>
        <w:t xml:space="preserve"> realizovaných</w:t>
      </w:r>
      <w:r w:rsidR="003E7DC1" w:rsidRPr="00D91942">
        <w:rPr>
          <w:rFonts w:ascii="Times New Roman" w:hAnsi="Times New Roman"/>
          <w:sz w:val="24"/>
          <w:szCs w:val="24"/>
        </w:rPr>
        <w:t xml:space="preserve"> prostredníctvom miestnych akčných skupín v rámci Programu rozvoja vidieka Slovenskej republiky 2014-2020 prostredníctvom zavedenia </w:t>
      </w:r>
      <w:r w:rsidR="007351ED">
        <w:rPr>
          <w:rFonts w:ascii="Times New Roman" w:hAnsi="Times New Roman"/>
          <w:sz w:val="24"/>
          <w:szCs w:val="24"/>
        </w:rPr>
        <w:t>jednotného</w:t>
      </w:r>
      <w:r w:rsidR="003E7DC1" w:rsidRPr="00D91942">
        <w:rPr>
          <w:rFonts w:ascii="Times New Roman" w:hAnsi="Times New Roman"/>
          <w:sz w:val="24"/>
          <w:szCs w:val="24"/>
        </w:rPr>
        <w:t xml:space="preserve"> vzoru výzvy</w:t>
      </w:r>
      <w:r w:rsidR="003E7DC1">
        <w:rPr>
          <w:rFonts w:ascii="Times New Roman" w:hAnsi="Times New Roman"/>
          <w:sz w:val="24"/>
          <w:szCs w:val="24"/>
        </w:rPr>
        <w:t>.</w:t>
      </w:r>
      <w:r w:rsidR="003E7DC1" w:rsidRPr="00D91942">
        <w:rPr>
          <w:rFonts w:ascii="Times New Roman" w:hAnsi="Times New Roman"/>
          <w:sz w:val="24"/>
          <w:szCs w:val="24"/>
        </w:rPr>
        <w:t xml:space="preserve"> </w:t>
      </w:r>
    </w:p>
    <w:p w14:paraId="4A1AD5E5" w14:textId="77777777" w:rsidR="00CD31E7" w:rsidRDefault="00CD31E7" w:rsidP="00CD31E7">
      <w:pPr>
        <w:pStyle w:val="Bezriadkovania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599CA906" w14:textId="14FC1EDB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Systém riadenia implementácie Programu rozvoja vidieka 2014-2020 predstavuje rámec pre implementáciu Programu rozvoja vidieka 2014-2020, pričom definuje základné procesy a postupy riadenia zabezpečované riadiacim orgánom. Na poskytovanie príspevkov z Európskeho poľnohospodárskeho fondu pre rozvoj vidieka sa nevzťahujú ustanovenia Systému riadenia Euópskych štrukturálnych a investičných fondov s výnimkou tých častí, ktoré sledujú spoločné monitorovanie a hodnotenie na úrovni Partnerskej dohody a ustanovení o kompetenciách subjektov vyplývajúcich z platnej právnej úpravy a s výnimkou povinností vo vzťahu k Pracovnej komisii pre koordináciu a zabezpečenie synergických účinkov medzi Európskymi štrukturálnymi a investičnými fondmi a ostatnými nástrojmi podpory Únie a Slovenskej republiky a povinností v zmysle Nariadenia vlády Slovenskej republiky č. 247/2016, ktorým sa ustanovuje systém uplatňovania niektorých právomocí Úradu podpredsedu vlády Slovenskej republiky pre investície a</w:t>
      </w:r>
      <w:r w:rsidR="00693386">
        <w:rPr>
          <w:rFonts w:ascii="Times New Roman" w:eastAsiaTheme="minorEastAsia" w:hAnsi="Times New Roman"/>
          <w:noProof/>
          <w:sz w:val="24"/>
          <w:szCs w:val="24"/>
        </w:rPr>
        <w:t> 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informatizáciu</w:t>
      </w:r>
      <w:r w:rsidR="00693386">
        <w:rPr>
          <w:rFonts w:ascii="Times New Roman" w:eastAsiaTheme="minorEastAsia" w:hAnsi="Times New Roman"/>
          <w:noProof/>
          <w:sz w:val="24"/>
          <w:szCs w:val="24"/>
        </w:rPr>
        <w:t xml:space="preserve"> (ďalej ako „nariadenie vlády č. 247/2016 Z. z.“)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14:paraId="1B7ECE3E" w14:textId="77777777" w:rsidR="0014278C" w:rsidRDefault="0014278C" w:rsidP="00CD31E7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2158DD56" w14:textId="22822925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6 ods. 2 písm. j) zákona 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 xml:space="preserve">č.292/2014 Z.z.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o príspevku 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 xml:space="preserve">poskytovanom z európskych štrukturálnych a investičných fondov v znení neskorších predpisov (ďalej len „zákon o príspevku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z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 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EŠIF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 xml:space="preserve">)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 Centrálny koordinačný orgán: </w:t>
      </w:r>
    </w:p>
    <w:p w14:paraId="692FE170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6CE8848A" w14:textId="7671487B" w:rsidR="0014278C" w:rsidRPr="0014278C" w:rsidRDefault="007346E3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„</w:t>
      </w:r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j) schvaľuje výzvy podľa § 17, vrátane výziev v rámci operačných programov cezhraničnej spolupráce podľa § 32, výzvy na predkladanie projektových zámerov podľa § 18 ods. 1 a vyzvania na predloženie národných projektov podľa § 26, na predloženie veľkých projektov podľa § 27 a na predloženie projektov technickej pomoci podľa § 28 pred ich vyhlásením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“</w:t>
      </w:r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,</w:t>
      </w:r>
    </w:p>
    <w:p w14:paraId="2F318FD4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1B678EDC" w14:textId="46F6EF8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30 ods. 1 a 2 zákona o príspevku z EŠIF:</w:t>
      </w:r>
    </w:p>
    <w:p w14:paraId="6EE05567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2F393533" w14:textId="7EC6C40E" w:rsidR="0014278C" w:rsidRPr="0014278C" w:rsidRDefault="00AD700F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„</w:t>
      </w:r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(1) Miestna akčná skupina, ktorej bola schválená stratégia a udelený štatút, môže plniť úl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ohy poskytovateľa podľa § 17, § </w:t>
      </w:r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18 a § 19 ods. 1 až 7.</w:t>
      </w:r>
    </w:p>
    <w:p w14:paraId="40BAA4D8" w14:textId="0E79C694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(2) Výzvu pre miestny rozvoj LEADER vyhlásenú miestnou akčnou skupinou, jej zmenu a zrušenie zverejňuje na svojom webovom sídle agentúra. V konaní o žiadosti miestna akčná skupina po posúdení žiadosti v rámci miestneho rozvoja LEADER postúpi žiadosť agentúre na ďalšie konanie a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 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rozhodnutie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“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14:paraId="5352B89A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5C1F8BD0" w14:textId="45620BE4" w:rsid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Vzhľadom na to, že implementácia miestneho rozvoja vedeného komunitou v prostredí Programu rozvoja vidieka Slovenskej republiky 2014 - 2020 prebieha v rámci programového obdobia 2014 – 2020 podľa vyššie uvedených odsekov 1 a 2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30 zákona o príspevku z EŠIF, jednotlivé výzvy, ktoré vyhlasuje miestna akčná skupina, sú vyhlasované 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17 zákona o príspevku z EŠIF, v dôsledku čoho podliehajú povinnému schvaľovaniu Centrálnym koordinačným orgánom 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6 ods. 2 písm. j) zákona o príspevku z EŠIF. </w:t>
      </w:r>
    </w:p>
    <w:p w14:paraId="5AB061BF" w14:textId="77777777" w:rsid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47820E93" w14:textId="5842D6CB" w:rsidR="00CD31E7" w:rsidRPr="00CD31E7" w:rsidRDefault="00CD31E7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J</w:t>
      </w:r>
      <w:r w:rsidR="00693386">
        <w:rPr>
          <w:rFonts w:ascii="Times New Roman" w:eastAsiaTheme="minorEastAsia" w:hAnsi="Times New Roman"/>
          <w:noProof/>
          <w:sz w:val="24"/>
          <w:szCs w:val="24"/>
        </w:rPr>
        <w:t>ednotlivé výzvy, ktoré vyhlasujú miestne akčné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skupin</w:t>
      </w:r>
      <w:r w:rsidR="00693386">
        <w:rPr>
          <w:rFonts w:ascii="Times New Roman" w:eastAsiaTheme="minorEastAsia" w:hAnsi="Times New Roman"/>
          <w:noProof/>
          <w:sz w:val="24"/>
          <w:szCs w:val="24"/>
        </w:rPr>
        <w:t>y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, budú obsahovať určité odlišnosti, 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lastRenderedPageBreak/>
        <w:t xml:space="preserve">tieto budú vyplývať z toho, že musia byť rešpektované aktivity, vymedzenie prijímateľa, oprávnených výdavkov, výšky príspevku, mieru podpory, ukazovatele, výberové a hodnotiace kritériá stanovené už v schválenej stratégii </w:t>
      </w:r>
      <w:r>
        <w:rPr>
          <w:rFonts w:ascii="Times New Roman" w:eastAsiaTheme="minorEastAsia" w:hAnsi="Times New Roman"/>
          <w:noProof/>
          <w:sz w:val="24"/>
          <w:szCs w:val="24"/>
        </w:rPr>
        <w:t xml:space="preserve">miestneho rozvoja vedeného komunitou 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v nadväznosti na originálnu právomoc miestnej akčnej skupiny podľa nariadenia Európskeho parlamentu a Rady (EÚ) č. 1303/2013 (ďalej </w:t>
      </w:r>
      <w:r>
        <w:rPr>
          <w:rFonts w:ascii="Times New Roman" w:eastAsiaTheme="minorEastAsia" w:hAnsi="Times New Roman"/>
          <w:noProof/>
          <w:sz w:val="24"/>
          <w:szCs w:val="24"/>
        </w:rPr>
        <w:t>len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„všeobecné nariadenie“), článku 34 a náležitosti stratégie </w:t>
      </w:r>
      <w:r>
        <w:rPr>
          <w:rFonts w:ascii="Times New Roman" w:eastAsiaTheme="minorEastAsia" w:hAnsi="Times New Roman"/>
          <w:noProof/>
          <w:sz w:val="24"/>
          <w:szCs w:val="24"/>
        </w:rPr>
        <w:t>miestneho rozvoja vedeného komunitou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podľa článku 33 všeobecného nariadenia, ktoré musia byť vo všeobecnosti rešpektované aj zo strany všetkých orgánov, vrátane riadiaceho orgánu a</w:t>
      </w:r>
      <w:r>
        <w:rPr>
          <w:rFonts w:ascii="Times New Roman" w:eastAsiaTheme="minorEastAsia" w:hAnsi="Times New Roman"/>
          <w:noProof/>
          <w:sz w:val="24"/>
          <w:szCs w:val="24"/>
        </w:rPr>
        <w:t> 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>C</w:t>
      </w:r>
      <w:r>
        <w:rPr>
          <w:rFonts w:ascii="Times New Roman" w:eastAsiaTheme="minorEastAsia" w:hAnsi="Times New Roman"/>
          <w:noProof/>
          <w:sz w:val="24"/>
          <w:szCs w:val="24"/>
        </w:rPr>
        <w:t>entrálneho koordinačného orgánu.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</w:p>
    <w:p w14:paraId="6375F3A5" w14:textId="77777777" w:rsidR="00CD31E7" w:rsidRPr="00CD31E7" w:rsidRDefault="00CD31E7" w:rsidP="00CD31E7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24B8FA0D" w14:textId="20B0627B" w:rsidR="00CD31E7" w:rsidRDefault="00693386" w:rsidP="00CD31E7">
      <w:pPr>
        <w:widowControl/>
        <w:adjustRightInd/>
        <w:spacing w:after="0" w:line="240" w:lineRule="auto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Podstatnú časť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výzvy (najmä pokiaľ ide o zmenu alebo zrušenie výzvy, podmienky poskytnutia príspevku, ostatné podmienky výzvy)</w:t>
      </w:r>
      <w:r>
        <w:rPr>
          <w:rFonts w:ascii="Times New Roman" w:eastAsiaTheme="minorEastAsia" w:hAnsi="Times New Roman"/>
          <w:noProof/>
          <w:sz w:val="24"/>
          <w:szCs w:val="24"/>
        </w:rPr>
        <w:t>,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</w:rPr>
        <w:t xml:space="preserve">rešpektujúc vyššie zmienené špecifiká, 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>je vhodné z praktických, kontrolných a iných pragmatických dôvodov, do čo najväčšej miery zjednocovať obsah jednotlivých výziev, ktoré budú vyhlasovať jednotlivé miestne akčné skupiny vo vyššie uvedenom rozsahu. Preto sa navrhuje doplniť ustanovenie §</w:t>
      </w:r>
      <w:r w:rsidR="00464FD5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>2</w:t>
      </w:r>
      <w:r w:rsidR="00CD31E7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>nariadenia vlády č. 247/2016 Z. z.</w:t>
      </w:r>
      <w:r w:rsidR="00CD31E7">
        <w:rPr>
          <w:rFonts w:ascii="Times New Roman" w:eastAsiaTheme="minorEastAsia" w:hAnsi="Times New Roman"/>
          <w:noProof/>
          <w:sz w:val="24"/>
          <w:szCs w:val="24"/>
        </w:rPr>
        <w:t>,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týkajúce sa schvaľovania výziev tak, aby </w:t>
      </w:r>
      <w:r>
        <w:rPr>
          <w:rFonts w:ascii="Times New Roman" w:eastAsiaTheme="minorEastAsia" w:hAnsi="Times New Roman"/>
          <w:noProof/>
          <w:sz w:val="24"/>
          <w:szCs w:val="24"/>
        </w:rPr>
        <w:t>výsledkom schválenia výzvy vyhlasovanej miestnou akčnou skupinou, ktorá bude schválená ako prvá, bol jednotný vzor výzvy. Pre všetky výzvy následne vyhlasované miestnou akčnou skupinou, ktoré budú súladné s jednotným vzorom, platí, že pri nich došlo k splneniu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povinnosti C</w:t>
      </w:r>
      <w:r w:rsidR="00CD31E7">
        <w:rPr>
          <w:rFonts w:ascii="Times New Roman" w:eastAsiaTheme="minorEastAsia" w:hAnsi="Times New Roman"/>
          <w:noProof/>
          <w:sz w:val="24"/>
          <w:szCs w:val="24"/>
        </w:rPr>
        <w:t>entrálneho koordinačného orgánu,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ako aj riadiaceho orgánu </w:t>
      </w:r>
      <w:r w:rsidR="00CD31E7">
        <w:rPr>
          <w:rFonts w:ascii="Times New Roman" w:eastAsiaTheme="minorEastAsia" w:hAnsi="Times New Roman"/>
          <w:noProof/>
          <w:sz w:val="24"/>
          <w:szCs w:val="24"/>
        </w:rPr>
        <w:t>Programu rozvoja vidieka</w:t>
      </w:r>
      <w:r w:rsidR="00464FD5">
        <w:rPr>
          <w:rFonts w:ascii="Times New Roman" w:eastAsiaTheme="minorEastAsia" w:hAnsi="Times New Roman"/>
          <w:noProof/>
          <w:sz w:val="24"/>
          <w:szCs w:val="24"/>
        </w:rPr>
        <w:t xml:space="preserve"> 2014 - 2020</w:t>
      </w:r>
      <w:r w:rsidR="00CD31E7"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voči C</w:t>
      </w:r>
      <w:r w:rsidR="00CD31E7">
        <w:rPr>
          <w:rFonts w:ascii="Times New Roman" w:eastAsiaTheme="minorEastAsia" w:hAnsi="Times New Roman"/>
          <w:noProof/>
          <w:sz w:val="24"/>
          <w:szCs w:val="24"/>
        </w:rPr>
        <w:t>entrálnemu koordinačnému orgánu</w:t>
      </w:r>
      <w:r w:rsidR="0085725A">
        <w:rPr>
          <w:rFonts w:ascii="Times New Roman" w:eastAsiaTheme="minorEastAsia" w:hAnsi="Times New Roman"/>
          <w:noProof/>
          <w:sz w:val="24"/>
          <w:szCs w:val="24"/>
        </w:rPr>
        <w:t xml:space="preserve"> podľa § 2 nariadenia vlády č. 247/2016 Z. z. týkajúcej sa schvaľovania výziev</w:t>
      </w:r>
      <w:bookmarkStart w:id="0" w:name="_GoBack"/>
      <w:bookmarkEnd w:id="0"/>
      <w:r w:rsidR="00CD31E7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14:paraId="6FDCEA03" w14:textId="77777777" w:rsidR="00CD31E7" w:rsidRDefault="00CD31E7" w:rsidP="00CD31E7">
      <w:pPr>
        <w:pStyle w:val="Bezriadkovania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3C50EF41" w14:textId="1AABCA3B" w:rsidR="00567A0C" w:rsidRPr="00590C2D" w:rsidRDefault="007351ED" w:rsidP="003E7DC1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Jednotnosť</w:t>
      </w:r>
      <w:r w:rsidR="00567A0C" w:rsidRPr="00590C2D">
        <w:rPr>
          <w:rFonts w:ascii="Times New Roman" w:eastAsiaTheme="minorEastAsia" w:hAnsi="Times New Roman"/>
          <w:noProof/>
          <w:sz w:val="24"/>
          <w:szCs w:val="24"/>
        </w:rPr>
        <w:t xml:space="preserve"> sa bude týkať celého obsahu výzvy s výnimkou tých častí, ktoré musia rešpektovať individuálne podmienky vyplývajúce z už schválenej stratégie</w:t>
      </w:r>
      <w:r w:rsidR="00CD31E7">
        <w:rPr>
          <w:rFonts w:ascii="Times New Roman" w:eastAsiaTheme="minorEastAsia" w:hAnsi="Times New Roman"/>
          <w:noProof/>
          <w:sz w:val="24"/>
          <w:szCs w:val="24"/>
        </w:rPr>
        <w:t xml:space="preserve"> miestneho rozvoja vedeného komunitou </w:t>
      </w:r>
      <w:r w:rsidR="00567A0C" w:rsidRPr="00590C2D">
        <w:rPr>
          <w:rFonts w:ascii="Times New Roman" w:eastAsiaTheme="minorEastAsia" w:hAnsi="Times New Roman"/>
          <w:noProof/>
          <w:sz w:val="24"/>
          <w:szCs w:val="24"/>
        </w:rPr>
        <w:t xml:space="preserve">v nadväznosti na </w:t>
      </w:r>
      <w:r w:rsidR="008413B9" w:rsidRPr="00590C2D">
        <w:rPr>
          <w:rFonts w:ascii="Times New Roman" w:hAnsi="Times New Roman"/>
          <w:sz w:val="24"/>
          <w:szCs w:val="24"/>
        </w:rPr>
        <w:t>nariadeni</w:t>
      </w:r>
      <w:r w:rsidR="00594BB6" w:rsidRPr="00590C2D">
        <w:rPr>
          <w:rFonts w:ascii="Times New Roman" w:hAnsi="Times New Roman"/>
          <w:sz w:val="24"/>
          <w:szCs w:val="24"/>
        </w:rPr>
        <w:t>e</w:t>
      </w:r>
      <w:r w:rsidR="008413B9" w:rsidRPr="00590C2D">
        <w:rPr>
          <w:rFonts w:ascii="Times New Roman" w:hAnsi="Times New Roman"/>
          <w:sz w:val="24"/>
          <w:szCs w:val="24"/>
        </w:rPr>
        <w:t xml:space="preserve"> E</w:t>
      </w:r>
      <w:r w:rsidR="00594BB6" w:rsidRPr="00590C2D">
        <w:rPr>
          <w:rFonts w:ascii="Times New Roman" w:hAnsi="Times New Roman"/>
          <w:sz w:val="24"/>
          <w:szCs w:val="24"/>
        </w:rPr>
        <w:t>urópskeho parlamentu</w:t>
      </w:r>
      <w:r w:rsidR="008413B9" w:rsidRPr="00590C2D">
        <w:rPr>
          <w:rFonts w:ascii="Times New Roman" w:hAnsi="Times New Roman"/>
          <w:sz w:val="24"/>
          <w:szCs w:val="24"/>
        </w:rPr>
        <w:t xml:space="preserve"> a Rady (EÚ) č. 1303/2013, </w:t>
      </w:r>
      <w:r w:rsidR="008413B9" w:rsidRPr="00590C2D">
        <w:rPr>
          <w:rFonts w:ascii="Times New Roman" w:eastAsiaTheme="minorEastAsia" w:hAnsi="Times New Roman"/>
          <w:noProof/>
          <w:sz w:val="24"/>
          <w:szCs w:val="24"/>
        </w:rPr>
        <w:t>ustanoveni</w:t>
      </w:r>
      <w:r w:rsidR="00594BB6" w:rsidRPr="00590C2D">
        <w:rPr>
          <w:rFonts w:ascii="Times New Roman" w:eastAsiaTheme="minorEastAsia" w:hAnsi="Times New Roman"/>
          <w:noProof/>
          <w:sz w:val="24"/>
          <w:szCs w:val="24"/>
        </w:rPr>
        <w:t>e</w:t>
      </w:r>
      <w:r w:rsidR="008413B9" w:rsidRPr="00590C2D">
        <w:rPr>
          <w:rFonts w:ascii="Times New Roman" w:eastAsiaTheme="minorEastAsia" w:hAnsi="Times New Roman"/>
          <w:noProof/>
          <w:sz w:val="24"/>
          <w:szCs w:val="24"/>
        </w:rPr>
        <w:t xml:space="preserve"> článku 34.</w:t>
      </w:r>
    </w:p>
    <w:p w14:paraId="07F76510" w14:textId="77777777" w:rsidR="00567A0C" w:rsidRPr="00590C2D" w:rsidRDefault="00567A0C" w:rsidP="00A15592">
      <w:pPr>
        <w:pStyle w:val="Bezriadkovania"/>
        <w:jc w:val="both"/>
        <w:divId w:val="372653723"/>
        <w:rPr>
          <w:rFonts w:ascii="Times New Roman" w:eastAsiaTheme="minorEastAsia" w:hAnsi="Times New Roman"/>
          <w:b/>
          <w:noProof/>
          <w:sz w:val="24"/>
          <w:szCs w:val="24"/>
        </w:rPr>
      </w:pPr>
    </w:p>
    <w:p w14:paraId="38ECBF20" w14:textId="253B579C" w:rsidR="002C07FD" w:rsidRPr="00CD31E7" w:rsidRDefault="007351ED" w:rsidP="00A15592">
      <w:pPr>
        <w:pStyle w:val="Bezriadkovania"/>
        <w:ind w:firstLine="708"/>
        <w:jc w:val="both"/>
        <w:divId w:val="372653723"/>
        <w:rPr>
          <w:rFonts w:ascii="Times New Roman" w:hAnsi="Times New Roman"/>
          <w:color w:val="FFFFFF" w:themeColor="background1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Jednotný</w:t>
      </w:r>
      <w:r w:rsidR="002C07FD" w:rsidRPr="00590C2D">
        <w:rPr>
          <w:rFonts w:ascii="Times New Roman" w:hAnsi="Times New Roman"/>
          <w:sz w:val="24"/>
          <w:szCs w:val="24"/>
          <w:lang w:eastAsia="sk-SK"/>
        </w:rPr>
        <w:t xml:space="preserve"> vzor výzvy bude vypracovaný </w:t>
      </w:r>
      <w:r w:rsidR="00594BB6" w:rsidRPr="00590C2D">
        <w:rPr>
          <w:rFonts w:ascii="Times New Roman" w:hAnsi="Times New Roman"/>
          <w:sz w:val="24"/>
          <w:szCs w:val="24"/>
          <w:lang w:eastAsia="sk-SK"/>
        </w:rPr>
        <w:t>M</w:t>
      </w:r>
      <w:r w:rsidR="00CD31E7">
        <w:rPr>
          <w:rFonts w:ascii="Times New Roman" w:hAnsi="Times New Roman"/>
          <w:sz w:val="24"/>
          <w:szCs w:val="24"/>
          <w:lang w:eastAsia="sk-SK"/>
        </w:rPr>
        <w:t xml:space="preserve">inisterstvom pôdohospodárstva a rozvoja vidieka Slovenskej republiky </w:t>
      </w:r>
      <w:r w:rsidR="002C07FD" w:rsidRPr="00590C2D">
        <w:rPr>
          <w:rFonts w:ascii="Times New Roman" w:hAnsi="Times New Roman"/>
          <w:sz w:val="24"/>
          <w:szCs w:val="24"/>
          <w:lang w:eastAsia="sk-SK"/>
        </w:rPr>
        <w:t xml:space="preserve">a podlieha následnému schváleniu zo strany </w:t>
      </w:r>
      <w:r w:rsidR="00594BB6" w:rsidRPr="00590C2D">
        <w:rPr>
          <w:rFonts w:ascii="Times New Roman" w:hAnsi="Times New Roman"/>
          <w:sz w:val="24"/>
          <w:szCs w:val="24"/>
          <w:lang w:eastAsia="sk-SK"/>
        </w:rPr>
        <w:t>Ú</w:t>
      </w:r>
      <w:r w:rsidR="00CD31E7">
        <w:rPr>
          <w:rFonts w:ascii="Times New Roman" w:hAnsi="Times New Roman"/>
          <w:sz w:val="24"/>
          <w:szCs w:val="24"/>
          <w:lang w:eastAsia="sk-SK"/>
        </w:rPr>
        <w:t>radu podpredsedu vlády Slovenskej republiky pre investície a informatizáciu.</w:t>
      </w:r>
      <w:r w:rsidR="002C07FD" w:rsidRPr="00590C2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6D6CFDD2" w14:textId="77777777" w:rsidR="002C07FD" w:rsidRDefault="002C07FD" w:rsidP="002C07FD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09526145" w14:textId="77777777" w:rsidR="002C07FD" w:rsidRPr="00567A0C" w:rsidRDefault="002C07FD" w:rsidP="00567A0C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b/>
          <w:noProof/>
          <w:sz w:val="24"/>
          <w:szCs w:val="24"/>
        </w:rPr>
      </w:pPr>
    </w:p>
    <w:p w14:paraId="386A50D6" w14:textId="77777777" w:rsidR="007027EF" w:rsidRPr="007027EF" w:rsidRDefault="007027EF" w:rsidP="007027EF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b/>
          <w:noProof/>
          <w:sz w:val="24"/>
          <w:szCs w:val="24"/>
        </w:rPr>
      </w:pPr>
    </w:p>
    <w:p w14:paraId="61ABE121" w14:textId="77777777" w:rsidR="001E078A" w:rsidRPr="000F537B" w:rsidRDefault="001E078A" w:rsidP="001E078A">
      <w:pPr>
        <w:pStyle w:val="Normlnywebov"/>
        <w:spacing w:before="0" w:beforeAutospacing="0" w:after="0" w:afterAutospacing="0"/>
        <w:ind w:firstLine="720"/>
        <w:jc w:val="both"/>
        <w:divId w:val="372653723"/>
        <w:rPr>
          <w:iCs/>
          <w:sz w:val="20"/>
          <w:szCs w:val="20"/>
        </w:rPr>
      </w:pPr>
    </w:p>
    <w:p w14:paraId="19E8A275" w14:textId="77777777" w:rsidR="00EB2809" w:rsidRPr="000F537B" w:rsidRDefault="00EB2809" w:rsidP="00EB2809">
      <w:pPr>
        <w:jc w:val="both"/>
        <w:divId w:val="372653723"/>
        <w:rPr>
          <w:rFonts w:ascii="Times New Roman" w:hAnsi="Times New Roman"/>
          <w:sz w:val="24"/>
          <w:szCs w:val="24"/>
          <w:lang w:eastAsia="sk-SK"/>
        </w:rPr>
      </w:pPr>
      <w:r w:rsidRPr="000F537B">
        <w:rPr>
          <w:rFonts w:ascii="Times New Roman" w:hAnsi="Times New Roman"/>
          <w:sz w:val="24"/>
          <w:szCs w:val="24"/>
          <w:lang w:eastAsia="sk-SK"/>
        </w:rPr>
        <w:t>K čl. II</w:t>
      </w:r>
    </w:p>
    <w:p w14:paraId="0CAD1276" w14:textId="3AAF1D99" w:rsidR="001E078A" w:rsidRPr="000F537B" w:rsidRDefault="00EB2809" w:rsidP="00EB2809">
      <w:pPr>
        <w:jc w:val="both"/>
        <w:divId w:val="372653723"/>
        <w:rPr>
          <w:rFonts w:ascii="Times New Roman" w:hAnsi="Times New Roman"/>
          <w:sz w:val="24"/>
          <w:szCs w:val="24"/>
          <w:lang w:eastAsia="sk-SK"/>
        </w:rPr>
      </w:pPr>
      <w:r w:rsidRPr="000F537B">
        <w:rPr>
          <w:rFonts w:ascii="Times New Roman" w:hAnsi="Times New Roman"/>
          <w:sz w:val="24"/>
          <w:szCs w:val="24"/>
          <w:lang w:eastAsia="sk-SK"/>
        </w:rPr>
        <w:t xml:space="preserve">Dátum účinnosti sa navrhuje </w:t>
      </w:r>
      <w:r w:rsidR="00D4554A">
        <w:rPr>
          <w:rFonts w:ascii="Times New Roman" w:hAnsi="Times New Roman"/>
          <w:sz w:val="24"/>
          <w:szCs w:val="24"/>
          <w:lang w:eastAsia="sk-SK"/>
        </w:rPr>
        <w:t>1</w:t>
      </w:r>
      <w:r w:rsidR="00265463">
        <w:rPr>
          <w:rFonts w:ascii="Times New Roman" w:hAnsi="Times New Roman"/>
          <w:sz w:val="24"/>
          <w:szCs w:val="24"/>
          <w:lang w:eastAsia="sk-SK"/>
        </w:rPr>
        <w:t>5</w:t>
      </w:r>
      <w:r w:rsidR="00D4554A">
        <w:rPr>
          <w:rFonts w:ascii="Times New Roman" w:hAnsi="Times New Roman"/>
          <w:sz w:val="24"/>
          <w:szCs w:val="24"/>
          <w:lang w:eastAsia="sk-SK"/>
        </w:rPr>
        <w:t>. marca 2018</w:t>
      </w:r>
    </w:p>
    <w:p w14:paraId="66A9F5EF" w14:textId="77777777" w:rsidR="001E078A" w:rsidRDefault="001E078A" w:rsidP="001E078A">
      <w:pPr>
        <w:jc w:val="both"/>
        <w:divId w:val="372653723"/>
        <w:rPr>
          <w:rFonts w:ascii="Times New Roman" w:hAnsi="Times New Roman"/>
          <w:sz w:val="24"/>
          <w:szCs w:val="24"/>
          <w:lang w:eastAsia="sk-SK"/>
        </w:rPr>
      </w:pPr>
    </w:p>
    <w:sectPr w:rsidR="001E078A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462"/>
    <w:multiLevelType w:val="hybridMultilevel"/>
    <w:tmpl w:val="9C40C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7763"/>
    <w:multiLevelType w:val="hybridMultilevel"/>
    <w:tmpl w:val="A566B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0F537B"/>
    <w:rsid w:val="0014278C"/>
    <w:rsid w:val="0015270A"/>
    <w:rsid w:val="001B7E28"/>
    <w:rsid w:val="001D5A33"/>
    <w:rsid w:val="001E078A"/>
    <w:rsid w:val="002145F9"/>
    <w:rsid w:val="0021650D"/>
    <w:rsid w:val="00265463"/>
    <w:rsid w:val="0027704D"/>
    <w:rsid w:val="002A7595"/>
    <w:rsid w:val="002C07FD"/>
    <w:rsid w:val="002C2B40"/>
    <w:rsid w:val="002F00DB"/>
    <w:rsid w:val="002F4000"/>
    <w:rsid w:val="00320B8C"/>
    <w:rsid w:val="00327A2D"/>
    <w:rsid w:val="003A35EB"/>
    <w:rsid w:val="003C009A"/>
    <w:rsid w:val="003E7DC1"/>
    <w:rsid w:val="00464FD5"/>
    <w:rsid w:val="00486609"/>
    <w:rsid w:val="004C083B"/>
    <w:rsid w:val="004D679B"/>
    <w:rsid w:val="004F6A09"/>
    <w:rsid w:val="00567A0C"/>
    <w:rsid w:val="00590C2D"/>
    <w:rsid w:val="00592DD1"/>
    <w:rsid w:val="00594BB6"/>
    <w:rsid w:val="005A1161"/>
    <w:rsid w:val="005C4385"/>
    <w:rsid w:val="006164DC"/>
    <w:rsid w:val="00661635"/>
    <w:rsid w:val="00693386"/>
    <w:rsid w:val="006A0E56"/>
    <w:rsid w:val="006C2861"/>
    <w:rsid w:val="007027EF"/>
    <w:rsid w:val="007330FB"/>
    <w:rsid w:val="007346E3"/>
    <w:rsid w:val="007351ED"/>
    <w:rsid w:val="00761851"/>
    <w:rsid w:val="0076706F"/>
    <w:rsid w:val="00773CE7"/>
    <w:rsid w:val="00775679"/>
    <w:rsid w:val="008413B9"/>
    <w:rsid w:val="008461A5"/>
    <w:rsid w:val="0085725A"/>
    <w:rsid w:val="00873337"/>
    <w:rsid w:val="00883AE8"/>
    <w:rsid w:val="008F1A80"/>
    <w:rsid w:val="00903846"/>
    <w:rsid w:val="00952ACE"/>
    <w:rsid w:val="00997026"/>
    <w:rsid w:val="009F064C"/>
    <w:rsid w:val="00A15592"/>
    <w:rsid w:val="00A17C3D"/>
    <w:rsid w:val="00A50574"/>
    <w:rsid w:val="00A56287"/>
    <w:rsid w:val="00AA4FD0"/>
    <w:rsid w:val="00AB1F57"/>
    <w:rsid w:val="00AB2B8F"/>
    <w:rsid w:val="00AD700F"/>
    <w:rsid w:val="00AF2AB2"/>
    <w:rsid w:val="00B06E07"/>
    <w:rsid w:val="00B3505E"/>
    <w:rsid w:val="00B50E2A"/>
    <w:rsid w:val="00B51490"/>
    <w:rsid w:val="00BA14D6"/>
    <w:rsid w:val="00C26B1A"/>
    <w:rsid w:val="00C864A7"/>
    <w:rsid w:val="00CD31E7"/>
    <w:rsid w:val="00CD626C"/>
    <w:rsid w:val="00D02827"/>
    <w:rsid w:val="00D17ED7"/>
    <w:rsid w:val="00D4554A"/>
    <w:rsid w:val="00D463B0"/>
    <w:rsid w:val="00D710A5"/>
    <w:rsid w:val="00DA44C3"/>
    <w:rsid w:val="00DD1B41"/>
    <w:rsid w:val="00DE6BF3"/>
    <w:rsid w:val="00DF7EB5"/>
    <w:rsid w:val="00EB2809"/>
    <w:rsid w:val="00EB6CB6"/>
    <w:rsid w:val="00EC43AA"/>
    <w:rsid w:val="00ED7CD8"/>
    <w:rsid w:val="00F05DB3"/>
    <w:rsid w:val="00F10D72"/>
    <w:rsid w:val="00F44C37"/>
    <w:rsid w:val="00F6336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16A3"/>
  <w15:docId w15:val="{2D69CA3D-06FA-426F-8C62-4FDA57A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1E07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078A"/>
    <w:pPr>
      <w:widowControl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27704D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Dovodova-sprava-Osobitna-cast"/>
    <f:field ref="objsubject" par="" edit="true" text=""/>
    <f:field ref="objcreatedby" par="" text="Roško, Michal, Mgr."/>
    <f:field ref="objcreatedat" par="" text="19.1.2018 8:37:02"/>
    <f:field ref="objchangedby" par="" text="Administrator, System"/>
    <f:field ref="objmodifiedat" par="" text="19.1.2018 8:37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C40E-8D24-49F4-B05D-511621E5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30A24E-1A85-48FC-8250-B0AE4F880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D55AF-1225-4DD8-AE0B-3444989F669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041148AD-4F75-4EE3-A240-09064406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Michal Roško</cp:lastModifiedBy>
  <cp:revision>8</cp:revision>
  <cp:lastPrinted>2017-10-20T12:25:00Z</cp:lastPrinted>
  <dcterms:created xsi:type="dcterms:W3CDTF">2018-01-18T12:47:00Z</dcterms:created>
  <dcterms:modified xsi:type="dcterms:W3CDTF">2018-02-06T10:09:00Z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podpredsedu vlády Slovenskej republiky pre investície a informatizáciu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</vt:lpwstr>
  </property>
  <property fmtid="{D5CDD505-2E9C-101B-9397-08002B2CF9AE}" pid="22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2415/2017/oLG-2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LP/2017/953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podpredsedu vlády Slovenskej republiky pre investície a informatizáciu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Bezpredmetné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36" name="FSC#SKEDITIONSLOVLEX@103.510:AttrStrListDocPropUznesenieNaVedomie">
    <vt:lpwstr>podpredseda vlády Slovenskej republiky pre investície a informatizáciu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Slovenskej republiky pre investície a informatizáciu</vt:lpwstr>
  </property>
  <property fmtid="{D5CDD505-2E9C-101B-9397-08002B2CF9AE}" pid="141" name="FSC#SKEDITIONSLOVLEX@103.510:funkciaZodpPredAkuzativ">
    <vt:lpwstr>podpredsedovi vlády Slovenskej republiky pre investície a informatizáciu</vt:lpwstr>
  </property>
  <property fmtid="{D5CDD505-2E9C-101B-9397-08002B2CF9AE}" pid="142" name="FSC#SKEDITIONSLOVLEX@103.510:funkciaZodpPredDativ">
    <vt:lpwstr>podpredsedu vlády Slovenskej republiky pre investície a informatizáciu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Pellegrini_x000d_
podpredseda vlády Slovenskej republiky pre investície a informatizáciu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49" name="FSC#COOSYSTEM@1.1:Container">
    <vt:lpwstr>COO.2145.1000.3.2390994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19. 1. 2018</vt:lpwstr>
  </property>
</Properties>
</file>