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1" w:rsidRPr="001B6CC0" w:rsidRDefault="00387DC2" w:rsidP="00BF73CB">
      <w:pPr>
        <w:widowControl w:val="0"/>
        <w:jc w:val="center"/>
        <w:rPr>
          <w:b/>
          <w:bCs/>
          <w:sz w:val="24"/>
          <w:szCs w:val="24"/>
        </w:rPr>
      </w:pPr>
      <w:r w:rsidRPr="001B6CC0">
        <w:rPr>
          <w:b/>
          <w:bCs/>
          <w:sz w:val="24"/>
          <w:szCs w:val="24"/>
        </w:rPr>
        <w:t>D</w:t>
      </w:r>
      <w:r w:rsidR="003501A1" w:rsidRPr="001B6CC0">
        <w:rPr>
          <w:b/>
          <w:bCs/>
          <w:sz w:val="24"/>
          <w:szCs w:val="24"/>
        </w:rPr>
        <w:t>oložka vybraných vplyvov</w:t>
      </w:r>
    </w:p>
    <w:p w:rsidR="001A2C3F" w:rsidRPr="00BF73CB" w:rsidRDefault="001A2C3F" w:rsidP="00BF73CB">
      <w:pPr>
        <w:pStyle w:val="Odsekzoznamu"/>
        <w:widowControl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BF73CB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3501A1" w:rsidRPr="00D21BE5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21BE5" w:rsidRDefault="003501A1" w:rsidP="00D21BE5">
            <w:pPr>
              <w:pStyle w:val="Nzov"/>
              <w:keepNext w:val="0"/>
              <w:widowControl w:val="0"/>
              <w:suppressAutoHyphens/>
              <w:spacing w:before="0" w:after="0" w:line="240" w:lineRule="auto"/>
              <w:jc w:val="left"/>
              <w:outlineLvl w:val="0"/>
              <w:rPr>
                <w:b/>
                <w:sz w:val="20"/>
                <w:szCs w:val="20"/>
              </w:rPr>
            </w:pPr>
            <w:r w:rsidRPr="00D21BE5">
              <w:rPr>
                <w:rFonts w:eastAsia="Times New Roman"/>
                <w:b/>
                <w:sz w:val="20"/>
                <w:szCs w:val="20"/>
              </w:rPr>
              <w:t>Názov materiálu</w:t>
            </w:r>
            <w:r w:rsidR="00D21BE5">
              <w:rPr>
                <w:rFonts w:eastAsia="Times New Roman"/>
                <w:b/>
                <w:sz w:val="20"/>
                <w:szCs w:val="20"/>
              </w:rPr>
              <w:t>:</w:t>
            </w:r>
            <w:r w:rsidR="00072304" w:rsidRPr="00D21BE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D21BE5" w:rsidRPr="00EB5289">
              <w:rPr>
                <w:rFonts w:eastAsia="Times New Roman"/>
                <w:sz w:val="20"/>
                <w:szCs w:val="20"/>
              </w:rPr>
              <w:t>N</w:t>
            </w:r>
            <w:r w:rsidR="00D21BE5" w:rsidRPr="00EB5289">
              <w:rPr>
                <w:sz w:val="20"/>
                <w:szCs w:val="20"/>
              </w:rPr>
              <w:t>ávrh nariadenia vlády Slovenskej republiky, ktorým sa mení a dopĺňa nariadenie vlády Slovenskej repu</w:t>
            </w:r>
            <w:bookmarkStart w:id="0" w:name="_GoBack"/>
            <w:bookmarkEnd w:id="0"/>
            <w:r w:rsidR="00D21BE5" w:rsidRPr="00EB5289">
              <w:rPr>
                <w:sz w:val="20"/>
                <w:szCs w:val="20"/>
              </w:rPr>
              <w:t>bliky č. 238/2010 Z. z., ktorým sa ustanovujú podrobnosti o podmienkach prenajímania, predaja, zámeny a nadobúdania nehnuteľností Slovenským pozemkovým fondom v znení neskorších predpisov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BF73CB" w:rsidRDefault="005B1262" w:rsidP="00BF73CB">
            <w:pPr>
              <w:widowControl w:val="0"/>
              <w:jc w:val="both"/>
            </w:pPr>
            <w:r w:rsidRPr="00BF73CB">
              <w:t>Ministerstvo pôdohospodárstva a rozvoja vidieka Slovenskej republiky</w:t>
            </w:r>
          </w:p>
        </w:tc>
      </w:tr>
      <w:tr w:rsidR="003501A1" w:rsidRPr="00BF73CB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id w:val="-69890771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F73CB" w:rsidRDefault="003501A1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</w:pPr>
            <w:r w:rsidRPr="00BF73CB">
              <w:t>Materiál nelegislatívnej povahy</w:t>
            </w:r>
          </w:p>
        </w:tc>
      </w:tr>
      <w:tr w:rsidR="003501A1" w:rsidRPr="00BF73CB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</w:pPr>
          </w:p>
        </w:tc>
        <w:sdt>
          <w:sdtPr>
            <w:id w:val="-145588339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F73CB" w:rsidRDefault="00522F39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ind w:left="175" w:hanging="175"/>
            </w:pPr>
            <w:r w:rsidRPr="00BF73CB">
              <w:t>Materiál legislatívnej povahy</w:t>
            </w:r>
          </w:p>
        </w:tc>
      </w:tr>
      <w:tr w:rsidR="003501A1" w:rsidRPr="00BF73CB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</w:pPr>
          </w:p>
        </w:tc>
        <w:sdt>
          <w:sdtPr>
            <w:id w:val="-1883475976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F73CB" w:rsidRDefault="00D21BE5" w:rsidP="00BF73CB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</w:pPr>
            <w:r w:rsidRPr="00BF73CB">
              <w:t>Transpozícia práva EÚ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1B6CC0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V prípade transpozície uveďte zoznam transponovaných predpisov:</w:t>
            </w:r>
          </w:p>
        </w:tc>
      </w:tr>
      <w:tr w:rsidR="003501A1" w:rsidRPr="00BF73CB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Termín začiatku a ukončenia </w:t>
            </w:r>
            <w:proofErr w:type="spellStart"/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PPK</w:t>
            </w:r>
            <w:proofErr w:type="spellEnd"/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F73CB" w:rsidRDefault="00B3015F" w:rsidP="00BF73CB">
            <w:pPr>
              <w:widowControl w:val="0"/>
              <w:rPr>
                <w:i/>
              </w:rPr>
            </w:pPr>
            <w:r>
              <w:rPr>
                <w:i/>
              </w:rPr>
              <w:t>16.-29.3.2018</w:t>
            </w:r>
          </w:p>
        </w:tc>
      </w:tr>
      <w:tr w:rsidR="003501A1" w:rsidRPr="00BF73CB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proofErr w:type="spellStart"/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MPK</w:t>
            </w:r>
            <w:proofErr w:type="spellEnd"/>
            <w:r w:rsidR="00F62771"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F73CB" w:rsidRDefault="00D21BE5" w:rsidP="00BF73CB">
            <w:pPr>
              <w:widowControl w:val="0"/>
              <w:rPr>
                <w:i/>
              </w:rPr>
            </w:pPr>
            <w:r>
              <w:rPr>
                <w:i/>
              </w:rPr>
              <w:t>marec</w:t>
            </w:r>
            <w:r w:rsidR="00356480" w:rsidRPr="00BF73CB">
              <w:rPr>
                <w:i/>
              </w:rPr>
              <w:t xml:space="preserve"> 2018</w:t>
            </w:r>
          </w:p>
        </w:tc>
      </w:tr>
      <w:tr w:rsidR="003501A1" w:rsidRPr="00BF73CB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Rokovanie vlády SR</w:t>
            </w:r>
            <w:r w:rsidR="00F62771"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F73CB" w:rsidRDefault="00D21BE5" w:rsidP="00BF73CB">
            <w:pPr>
              <w:widowControl w:val="0"/>
              <w:rPr>
                <w:i/>
              </w:rPr>
            </w:pPr>
            <w:r>
              <w:rPr>
                <w:i/>
              </w:rPr>
              <w:t>apríl</w:t>
            </w:r>
            <w:r w:rsidR="00356480" w:rsidRPr="00BF73CB">
              <w:rPr>
                <w:i/>
              </w:rPr>
              <w:t xml:space="preserve"> 2018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Defin</w:t>
            </w:r>
            <w:r w:rsidR="00AC2477"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ovanie</w:t>
            </w: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problému</w:t>
            </w:r>
          </w:p>
        </w:tc>
      </w:tr>
      <w:tr w:rsidR="003501A1" w:rsidRPr="00D21BE5" w:rsidTr="002C2A6A">
        <w:trPr>
          <w:trHeight w:val="459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21BE5" w:rsidRDefault="00D21BE5" w:rsidP="00D21BE5">
            <w:pPr>
              <w:pStyle w:val="Normlnywebov"/>
              <w:widowControl w:val="0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D21BE5">
              <w:rPr>
                <w:sz w:val="20"/>
                <w:szCs w:val="20"/>
                <w:shd w:val="clear" w:color="auto" w:fill="FFFFFF"/>
              </w:rPr>
              <w:t xml:space="preserve">Z § 13 ods. 5 zákona č. 504/2003 Z. z. o nájme poľnohospodárskych pozemkov, poľnohospodárskeho podniku a lesných pozemkov a o zmene niektorých zákonov v znení neskorších predpisov, ktorý nadobudne účinnosť 1. mája 2018, vyplýva potreba zmeny nariadenia vlády Slovenskej republiky č. 238/2010 Z. z. 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3501A1" w:rsidRPr="00BF73CB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40A" w:rsidRPr="00BF73CB" w:rsidRDefault="00D21BE5" w:rsidP="00D21BE5">
            <w:pPr>
              <w:pStyle w:val="Normlnywebov"/>
              <w:widowControl w:val="0"/>
              <w:spacing w:before="0" w:beforeAutospacing="0" w:after="0" w:afterAutospacing="0"/>
              <w:ind w:firstLine="72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D21BE5">
              <w:rPr>
                <w:sz w:val="20"/>
                <w:szCs w:val="20"/>
                <w:shd w:val="clear" w:color="auto" w:fill="FFFFFF"/>
              </w:rPr>
              <w:t>Je potrebné z hľadiska zosúladenia ustanoviť podmienky pre poľnohospodárov – žiadateľov, ktoré musia v prípade nového zákonom ustanoveného osobitného nájmu splniť vzhľadom na vykonávania špeciálnej rastlinnej výroby, živočíšnej výroby a finalizácie produktov.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21BE5">
              <w:rPr>
                <w:sz w:val="20"/>
                <w:szCs w:val="20"/>
                <w:shd w:val="clear" w:color="auto" w:fill="FFFFFF"/>
              </w:rPr>
              <w:t>Upravujú sa podmienky prenajímania pozemkov v správe a nakladaní Slovenského pozemkového fondu mladým poľnohospodárom a malým poľnohospodárom zaoberajúcich sa poľnohospodárskou prvovýrobou, tak aby im bolo umožnené získať hlavný poľnohospodársky prostriedok – poľnohospodársku pôdu.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40A" w:rsidRPr="00BF73CB" w:rsidRDefault="00D21BE5" w:rsidP="00BF73CB">
            <w:pPr>
              <w:widowControl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Podnikatelia v poľnohospodárskej výrobe obhospodarujúci plochu do 50 ha.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3501A1" w:rsidRPr="00BF73CB" w:rsidTr="002C2A6A">
        <w:trPr>
          <w:trHeight w:val="2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3015F" w:rsidRDefault="00B3015F" w:rsidP="00B3015F">
            <w:pPr>
              <w:widowControl w:val="0"/>
              <w:jc w:val="both"/>
            </w:pPr>
            <w:r>
              <w:t xml:space="preserve">Alternatívy sa zvažovali len pri živočíšnej výrobe. Ako alternatívne riešenia sa uvažovalo ako záväzok v nájomnej zmluve so </w:t>
            </w:r>
            <w:proofErr w:type="spellStart"/>
            <w:r>
              <w:t>SPF</w:t>
            </w:r>
            <w:proofErr w:type="spellEnd"/>
            <w:r>
              <w:t xml:space="preserve"> ustanoviť iné úrovne zaťaženia </w:t>
            </w:r>
            <w:proofErr w:type="spellStart"/>
            <w:r>
              <w:t>DJ</w:t>
            </w:r>
            <w:proofErr w:type="spellEnd"/>
            <w:r>
              <w:t xml:space="preserve"> (100; 20; 0,5); záverom bolo zaťaženie 0,4 </w:t>
            </w:r>
            <w:proofErr w:type="spellStart"/>
            <w:r>
              <w:t>DJ</w:t>
            </w:r>
            <w:proofErr w:type="spellEnd"/>
            <w:r>
              <w:t xml:space="preserve">. Zvažovali sa iné počty a objemy produkcie uvádzané na trh formou tzv. „malých množstiev“ a „predaja z dvora“ (40 % z ročnej produkcie na ha; 0,3 </w:t>
            </w:r>
            <w:proofErr w:type="spellStart"/>
            <w:r>
              <w:t>DJ</w:t>
            </w:r>
            <w:proofErr w:type="spellEnd"/>
            <w:r>
              <w:t xml:space="preserve"> z ročnej produkcie na ha); záverom je podmienka uvádzania na trh 70 % z ročnej produkcie zodpovedajúcej 0,3 </w:t>
            </w:r>
            <w:proofErr w:type="spellStart"/>
            <w:r>
              <w:t>DJ</w:t>
            </w:r>
            <w:proofErr w:type="spellEnd"/>
            <w:r>
              <w:t xml:space="preserve"> na ha. Nezvažovala sa alternatíva bez akýchkoľvek podmienok, nakoľko zákonná podmienka tohto osobitného nájmu je špeciálna rastlinný výroba alebo výroba finálneho produktu živočíšnej výroby na max. 50 ha pôdy.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3501A1" w:rsidRPr="00BF73CB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t>Predpokladá sa prijatie/zmena</w:t>
            </w:r>
            <w:r w:rsidR="00BF73CB">
              <w:t xml:space="preserve"> </w:t>
            </w:r>
            <w:r w:rsidRPr="00BF73CB"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BF73CB" w:rsidRDefault="00C723A3" w:rsidP="00BF73CB">
            <w:pPr>
              <w:widowControl w:val="0"/>
              <w:jc w:val="center"/>
            </w:pPr>
            <w:sdt>
              <w:sdtPr>
                <w:id w:val="-1407611648"/>
              </w:sdtPr>
              <w:sdtContent>
                <w:r w:rsidR="008826B2"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73CB">
              <w:t xml:space="preserve"> </w:t>
            </w:r>
            <w:r w:rsidR="003501A1" w:rsidRPr="00BF73CB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C723A3" w:rsidP="00BF73CB">
            <w:pPr>
              <w:widowControl w:val="0"/>
              <w:jc w:val="center"/>
            </w:pPr>
            <w:sdt>
              <w:sdtPr>
                <w:id w:val="-1625842802"/>
              </w:sdtPr>
              <w:sdtContent>
                <w:r w:rsidR="00255459" w:rsidRPr="00BF73C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F73CB">
              <w:t xml:space="preserve"> </w:t>
            </w:r>
            <w:r w:rsidR="003501A1" w:rsidRPr="00BF73CB">
              <w:t>Nie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3501A1" w:rsidRPr="00BF73CB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D21BE5" w:rsidRDefault="003501A1" w:rsidP="00BF73CB">
            <w:pPr>
              <w:widowControl w:val="0"/>
              <w:jc w:val="both"/>
            </w:pP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Preskúmanie účelnosti</w:t>
            </w:r>
            <w:r w:rsidR="00F62771"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Uveďte kritériá, na základe ktorých bude preskúmanie vykonané.</w:t>
            </w:r>
          </w:p>
        </w:tc>
      </w:tr>
      <w:tr w:rsidR="003501A1" w:rsidRPr="00BF73CB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Pr="00BF73CB" w:rsidRDefault="00F62771" w:rsidP="00BF73CB">
            <w:pPr>
              <w:widowControl w:val="0"/>
              <w:ind w:left="142" w:hanging="142"/>
            </w:pPr>
            <w:r w:rsidRPr="00BF73CB">
              <w:t xml:space="preserve">* </w:t>
            </w:r>
            <w:r w:rsidR="004C60B8" w:rsidRPr="00BF73CB">
              <w:t>vyplniť iba v prípade, ak</w:t>
            </w:r>
            <w:r w:rsidRPr="00BF73CB">
              <w:t xml:space="preserve"> </w:t>
            </w:r>
            <w:r w:rsidR="004C60B8" w:rsidRPr="00BF73CB">
              <w:t xml:space="preserve">materiál </w:t>
            </w:r>
            <w:r w:rsidRPr="00BF73CB">
              <w:t xml:space="preserve">nie je </w:t>
            </w:r>
            <w:r w:rsidR="004C60B8" w:rsidRPr="00BF73CB">
              <w:t>zahrnutý do Plánu práce vlády Slovenskej republiky alebo Plánu</w:t>
            </w:r>
            <w:r w:rsidR="00BF73CB">
              <w:t xml:space="preserve"> </w:t>
            </w:r>
            <w:r w:rsidR="004C60B8" w:rsidRPr="00BF73CB">
              <w:t>legislatívnych úloh vlády Slovenskej republiky.</w:t>
            </w:r>
            <w:r w:rsidRPr="00BF73CB">
              <w:t xml:space="preserve"> </w:t>
            </w:r>
          </w:p>
          <w:p w:rsidR="005C2445" w:rsidRPr="00BF73CB" w:rsidRDefault="00F62771" w:rsidP="00BF73CB">
            <w:pPr>
              <w:widowControl w:val="0"/>
            </w:pPr>
            <w:r w:rsidRPr="00BF73CB">
              <w:t>*</w:t>
            </w:r>
            <w:r w:rsidR="00F22831" w:rsidRPr="00BF73CB">
              <w:t>* nepovinné</w:t>
            </w:r>
          </w:p>
        </w:tc>
      </w:tr>
      <w:tr w:rsidR="003501A1" w:rsidRPr="00BF73CB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Vplyvy navrhovaného materiálu</w:t>
            </w:r>
          </w:p>
        </w:tc>
      </w:tr>
      <w:tr w:rsidR="003501A1" w:rsidRPr="00BF73CB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4A36CA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8826B2" w:rsidP="00BF73CB">
                <w:pPr>
                  <w:widowControl w:val="0"/>
                  <w:ind w:left="-107" w:right="-108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3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BF73CB" w:rsidRDefault="00BF73CB" w:rsidP="00BF73CB">
            <w:pPr>
              <w:widowControl w:val="0"/>
            </w:pPr>
            <w:r>
              <w:t xml:space="preserve"> </w:t>
            </w:r>
            <w:r w:rsidR="003501A1" w:rsidRPr="00BF73CB">
              <w:t>z toho rozpočtovo zabezpečené vplyvy</w:t>
            </w:r>
          </w:p>
        </w:tc>
        <w:sdt>
          <w:sdtPr>
            <w:id w:val="-207372912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8826B2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</w:pPr>
            <w:r w:rsidRPr="00BF73CB">
              <w:t>Áno</w:t>
            </w:r>
          </w:p>
        </w:tc>
        <w:sdt>
          <w:sdtPr>
            <w:id w:val="-54388876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522F39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</w:pPr>
            <w:r w:rsidRPr="00BF73CB">
              <w:t>Nie</w:t>
            </w:r>
          </w:p>
        </w:tc>
        <w:sdt>
          <w:sdtPr>
            <w:id w:val="361940775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ind w:left="-107" w:right="-108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34"/>
            </w:pPr>
            <w:r w:rsidRPr="00BF73CB">
              <w:t>Čiastočne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D21BE5" w:rsidP="00BF73CB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D21BE5" w:rsidP="00BF73CB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BF73CB" w:rsidRDefault="00BF73CB" w:rsidP="00BF73CB">
            <w:pPr>
              <w:widowControl w:val="0"/>
            </w:pPr>
            <w:r>
              <w:t xml:space="preserve"> </w:t>
            </w:r>
            <w:r w:rsidR="003501A1" w:rsidRPr="00BF73CB">
              <w:t xml:space="preserve">z toho vplyvy na </w:t>
            </w:r>
            <w:proofErr w:type="spellStart"/>
            <w:r w:rsidR="003501A1" w:rsidRPr="00BF73CB">
              <w:t>MSP</w:t>
            </w:r>
            <w:proofErr w:type="spellEnd"/>
          </w:p>
        </w:tc>
        <w:sdt>
          <w:sdtPr>
            <w:id w:val="-1696063787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BF73CB" w:rsidRDefault="00B3015F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</w:pPr>
            <w:r w:rsidRPr="00BF73CB">
              <w:t>Pozitívne</w:t>
            </w:r>
          </w:p>
        </w:tc>
        <w:sdt>
          <w:sdtPr>
            <w:id w:val="1931938095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B3015F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</w:pPr>
            <w:r w:rsidRPr="00BF73CB">
              <w:t>Žiadne</w:t>
            </w:r>
          </w:p>
        </w:tc>
        <w:sdt>
          <w:sdtPr>
            <w:id w:val="671765022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</w:pPr>
            <w:r w:rsidRPr="00BF73CB">
              <w:t>Negatívne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620BC8" w:rsidP="00BF73CB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620BC8" w:rsidP="00BF73CB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7B7C4A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3501A1" w:rsidRPr="00BF73CB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7248EF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BF73CB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BF73CB" w:rsidRDefault="0045465B" w:rsidP="00BF73CB">
            <w:pPr>
              <w:widowControl w:val="0"/>
              <w:rPr>
                <w:b/>
              </w:rPr>
            </w:pPr>
            <w:r w:rsidRPr="00BF73CB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ind w:left="54"/>
              <w:rPr>
                <w:b/>
              </w:rPr>
            </w:pPr>
          </w:p>
        </w:tc>
      </w:tr>
      <w:tr w:rsidR="001A1559" w:rsidRPr="00BF73CB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BF73CB" w:rsidRDefault="00BF73CB" w:rsidP="00BF73CB">
            <w:pPr>
              <w:widowControl w:val="0"/>
              <w:ind w:left="196" w:hanging="19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1A1559" w:rsidRPr="00BF73CB">
              <w:rPr>
                <w:rFonts w:eastAsia="Calibri"/>
                <w:b/>
                <w:lang w:eastAsia="en-US"/>
              </w:rPr>
              <w:t>vplyvy služieb verejnej správy na občana</w:t>
            </w:r>
          </w:p>
        </w:tc>
        <w:sdt>
          <w:sdtPr>
            <w:rPr>
              <w:b/>
            </w:rPr>
            <w:id w:val="-1688362683"/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BF73CB" w:rsidRDefault="001A155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BF73CB" w:rsidRDefault="001A155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1A1559" w:rsidRPr="00BF73CB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BF73CB" w:rsidRDefault="00BF73CB" w:rsidP="00BF73CB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1A1559" w:rsidRPr="00BF73CB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F73CB" w:rsidRDefault="001A155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F73CB" w:rsidRDefault="001A155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/>
      </w:tblPr>
      <w:tblGrid>
        <w:gridCol w:w="9176"/>
      </w:tblGrid>
      <w:tr w:rsidR="004F6F1F" w:rsidRPr="00BF73CB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BF73CB" w:rsidRDefault="004F6F1F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Poznámky</w:t>
            </w:r>
          </w:p>
        </w:tc>
      </w:tr>
      <w:tr w:rsidR="004F6F1F" w:rsidRPr="00BF73CB" w:rsidTr="00BF73CB">
        <w:trPr>
          <w:trHeight w:val="18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F4800" w:rsidRPr="00BF73CB" w:rsidRDefault="005F4800" w:rsidP="00BF73CB">
            <w:pPr>
              <w:widowControl w:val="0"/>
              <w:jc w:val="both"/>
            </w:pPr>
          </w:p>
        </w:tc>
      </w:tr>
      <w:tr w:rsidR="003501A1" w:rsidRPr="00BF73C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3501A1" w:rsidRPr="00BF73CB" w:rsidTr="00BF73CB">
        <w:trPr>
          <w:trHeight w:val="277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FE" w:rsidRPr="00B3015F" w:rsidRDefault="007A6199" w:rsidP="00BF73CB">
            <w:pPr>
              <w:widowControl w:val="0"/>
            </w:pPr>
            <w:r w:rsidRPr="00BF73CB">
              <w:t>e-mail:</w:t>
            </w:r>
            <w:r w:rsidR="008C6127">
              <w:t xml:space="preserve"> </w:t>
            </w:r>
            <w:hyperlink r:id="rId8" w:history="1">
              <w:r w:rsidR="00BB7CCE" w:rsidRPr="001D57E8">
                <w:rPr>
                  <w:rStyle w:val="Hypertextovprepojenie"/>
                </w:rPr>
                <w:t>martin.illas@land.gov.sk</w:t>
              </w:r>
            </w:hyperlink>
            <w:r w:rsidR="008C6127">
              <w:t xml:space="preserve"> </w:t>
            </w:r>
          </w:p>
        </w:tc>
      </w:tr>
      <w:tr w:rsidR="003501A1" w:rsidRPr="00BF73C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3501A1" w:rsidRPr="00BF73CB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Uveďte zdroje</w:t>
            </w:r>
            <w:r w:rsidR="00EB59E3" w:rsidRPr="00BF73CB">
              <w:rPr>
                <w:i/>
              </w:rPr>
              <w:t xml:space="preserve"> </w:t>
            </w:r>
            <w:r w:rsidR="00D75D35" w:rsidRPr="00BF73CB">
              <w:rPr>
                <w:i/>
              </w:rPr>
              <w:t>(štatistiky, prieskumy, spoluprácu s odborníkmi a iné)</w:t>
            </w:r>
            <w:r w:rsidRPr="00BF73CB">
              <w:rPr>
                <w:i/>
              </w:rPr>
              <w:t>, z ktorých ste pri vypracovávaní doložky, príp. analýz vplyvov vychádzali.</w:t>
            </w:r>
          </w:p>
          <w:p w:rsidR="003501A1" w:rsidRPr="00B3015F" w:rsidRDefault="00B3015F" w:rsidP="00BF73CB">
            <w:pPr>
              <w:widowControl w:val="0"/>
            </w:pPr>
            <w:r w:rsidRPr="00B3015F">
              <w:t xml:space="preserve">Doterajšia právna úprava podľa § 2a nariadenia vlády SR č. 238/2010 Z. z. </w:t>
            </w:r>
            <w:r>
              <w:t>Právna úprava v nariadení vlády SR č. 359/2011 Z. z. a nariadení vlády č. 360/2011 Z. z.</w:t>
            </w:r>
          </w:p>
        </w:tc>
      </w:tr>
      <w:tr w:rsidR="003501A1" w:rsidRPr="00BF73C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Stanovisko Komisie pre posudzovanie vybraných vplyvov z </w:t>
            </w:r>
            <w:proofErr w:type="spellStart"/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PPK</w:t>
            </w:r>
            <w:proofErr w:type="spellEnd"/>
          </w:p>
        </w:tc>
      </w:tr>
      <w:tr w:rsidR="003501A1" w:rsidRPr="00BF73CB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3015F" w:rsidRDefault="003501A1" w:rsidP="00BF73CB">
            <w:pPr>
              <w:widowControl w:val="0"/>
              <w:rPr>
                <w:i/>
              </w:rPr>
            </w:pPr>
            <w:r w:rsidRPr="00B3015F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B3015F" w:rsidRPr="00B3015F" w:rsidRDefault="00B3015F" w:rsidP="00B3015F">
            <w:pPr>
              <w:jc w:val="both"/>
              <w:rPr>
                <w:rFonts w:ascii="Arial" w:hAnsi="Arial" w:cs="Arial"/>
                <w:bCs/>
              </w:rPr>
            </w:pPr>
            <w:r w:rsidRPr="00B3015F">
              <w:rPr>
                <w:rFonts w:ascii="Arial" w:hAnsi="Arial" w:cs="Arial"/>
                <w:b/>
                <w:bCs/>
              </w:rPr>
              <w:t xml:space="preserve">I. Úvod: </w:t>
            </w:r>
            <w:r w:rsidRPr="00B3015F">
              <w:rPr>
                <w:rFonts w:ascii="Arial" w:hAnsi="Arial" w:cs="Arial"/>
                <w:bCs/>
              </w:rPr>
              <w:t>Ministerstvo pôdohospodárstva a rozvoja vidieka Slovenskej republiky dňa 15. marca 2018 predložilo Stálej pracovnej komisii na posudzovanie vybraných vplyvov (ďalej len „Komisia“) na predbežné pripomienkové konanie materiál</w:t>
            </w:r>
            <w:r w:rsidRPr="00B3015F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B3015F">
              <w:rPr>
                <w:rFonts w:ascii="Arial" w:hAnsi="Arial" w:cs="Arial"/>
                <w:i/>
                <w:iCs/>
              </w:rPr>
              <w:t>„Návrh nariadenia vlády Slovenskej republiky, ktorým sa mení a dopĺňa nariadenie vlády Slovenskej republiky č. 238/2010 Z. z., ktorým sa ustanovujú podrobnosti o podmienkach prenajímania, predaja, zámeny a nadobúdania nehnuteľností Slovenským pozemkovým fondom v znení neskorších predpisov“.</w:t>
            </w:r>
            <w:r w:rsidRPr="00B3015F">
              <w:rPr>
                <w:rFonts w:ascii="Arial" w:hAnsi="Arial" w:cs="Arial"/>
                <w:iCs/>
              </w:rPr>
              <w:t xml:space="preserve"> </w:t>
            </w:r>
            <w:r w:rsidRPr="00B3015F">
              <w:rPr>
                <w:rFonts w:ascii="Arial" w:hAnsi="Arial" w:cs="Arial"/>
                <w:bCs/>
              </w:rPr>
              <w:t>Materiál predpokladá pozitívne vplyvy na podnikateľské prostredie a pozitívne sociálne vplyvy.</w:t>
            </w:r>
          </w:p>
          <w:p w:rsidR="00B3015F" w:rsidRPr="00B3015F" w:rsidRDefault="00B3015F" w:rsidP="00B3015F">
            <w:pPr>
              <w:tabs>
                <w:tab w:val="left" w:pos="2445"/>
              </w:tabs>
              <w:jc w:val="both"/>
              <w:rPr>
                <w:rFonts w:ascii="Arial" w:hAnsi="Arial" w:cs="Arial"/>
                <w:bCs/>
              </w:rPr>
            </w:pPr>
            <w:r w:rsidRPr="00B3015F">
              <w:rPr>
                <w:rFonts w:ascii="Arial" w:hAnsi="Arial" w:cs="Arial"/>
                <w:b/>
                <w:bCs/>
              </w:rPr>
              <w:t>II. P</w:t>
            </w:r>
            <w:r w:rsidRPr="00B3015F">
              <w:rPr>
                <w:rFonts w:ascii="Arial" w:hAnsi="Arial" w:cs="Arial"/>
                <w:b/>
              </w:rPr>
              <w:t>r</w:t>
            </w:r>
            <w:r w:rsidRPr="00B3015F">
              <w:rPr>
                <w:rFonts w:ascii="Arial" w:hAnsi="Arial" w:cs="Arial"/>
                <w:b/>
                <w:bCs/>
              </w:rPr>
              <w:t>ipomienky a návrhy zm</w:t>
            </w:r>
            <w:r w:rsidRPr="00B3015F">
              <w:rPr>
                <w:rFonts w:ascii="Arial" w:hAnsi="Arial" w:cs="Arial"/>
                <w:b/>
              </w:rPr>
              <w:t>ie</w:t>
            </w:r>
            <w:r w:rsidRPr="00B3015F">
              <w:rPr>
                <w:rFonts w:ascii="Arial" w:hAnsi="Arial" w:cs="Arial"/>
                <w:b/>
                <w:bCs/>
              </w:rPr>
              <w:t xml:space="preserve">n: </w:t>
            </w:r>
            <w:r w:rsidRPr="00B3015F">
              <w:rPr>
                <w:rFonts w:ascii="Arial" w:hAnsi="Arial" w:cs="Arial"/>
                <w:bCs/>
              </w:rPr>
              <w:t>Komisia uplatňuje k materiálu nasledovné pripomienky a odporúčania: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3015F">
              <w:rPr>
                <w:rFonts w:ascii="Arial" w:hAnsi="Arial" w:cs="Arial"/>
                <w:b/>
                <w:bCs/>
              </w:rPr>
              <w:t>K doložke vybraných vplyvov</w:t>
            </w:r>
          </w:p>
          <w:p w:rsidR="00B3015F" w:rsidRPr="00B3015F" w:rsidRDefault="00B3015F" w:rsidP="00B3015F">
            <w:pPr>
              <w:jc w:val="both"/>
              <w:rPr>
                <w:rFonts w:ascii="Arial" w:hAnsi="Arial" w:cs="Arial"/>
                <w:bCs/>
              </w:rPr>
            </w:pPr>
            <w:r w:rsidRPr="00B3015F">
              <w:rPr>
                <w:rFonts w:ascii="Arial" w:hAnsi="Arial" w:cs="Arial"/>
                <w:bCs/>
              </w:rPr>
              <w:t xml:space="preserve">V analýze vplyvov na podnikateľské prostredie predkladateľ uvádza, že daný materiál bude mať vplyv iba na </w:t>
            </w:r>
            <w:proofErr w:type="spellStart"/>
            <w:r w:rsidRPr="00B3015F">
              <w:rPr>
                <w:rFonts w:ascii="Arial" w:hAnsi="Arial" w:cs="Arial"/>
                <w:bCs/>
              </w:rPr>
              <w:t>MSP</w:t>
            </w:r>
            <w:proofErr w:type="spellEnd"/>
            <w:r w:rsidRPr="00B3015F">
              <w:rPr>
                <w:rFonts w:ascii="Arial" w:hAnsi="Arial" w:cs="Arial"/>
                <w:bCs/>
              </w:rPr>
              <w:t xml:space="preserve">. V doložke vybraných vplyvov pritom v časti 9. Vplyvy navrhovaného materiálu vyznačil žiadny vplyv na </w:t>
            </w:r>
            <w:proofErr w:type="spellStart"/>
            <w:r w:rsidRPr="00B3015F">
              <w:rPr>
                <w:rFonts w:ascii="Arial" w:hAnsi="Arial" w:cs="Arial"/>
                <w:bCs/>
              </w:rPr>
              <w:t>MSP</w:t>
            </w:r>
            <w:proofErr w:type="spellEnd"/>
            <w:r w:rsidRPr="00B3015F">
              <w:rPr>
                <w:rFonts w:ascii="Arial" w:hAnsi="Arial" w:cs="Arial"/>
                <w:bCs/>
              </w:rPr>
              <w:t xml:space="preserve">. Z toho dôvodu Komisia žiada predkladateľa o vyznačenie pozitívneho vplyvu materiálu na </w:t>
            </w:r>
            <w:proofErr w:type="spellStart"/>
            <w:r w:rsidRPr="00B3015F">
              <w:rPr>
                <w:rFonts w:ascii="Arial" w:hAnsi="Arial" w:cs="Arial"/>
                <w:bCs/>
              </w:rPr>
              <w:t>MSP</w:t>
            </w:r>
            <w:proofErr w:type="spellEnd"/>
            <w:r w:rsidRPr="00B3015F">
              <w:rPr>
                <w:rFonts w:ascii="Arial" w:hAnsi="Arial" w:cs="Arial"/>
                <w:bCs/>
              </w:rPr>
              <w:t xml:space="preserve"> v doložke vybraných vplyvov v časti 9. „z toho vplyvy na </w:t>
            </w:r>
            <w:proofErr w:type="spellStart"/>
            <w:r w:rsidRPr="00B3015F">
              <w:rPr>
                <w:rFonts w:ascii="Arial" w:hAnsi="Arial" w:cs="Arial"/>
                <w:bCs/>
              </w:rPr>
              <w:t>MSP</w:t>
            </w:r>
            <w:proofErr w:type="spellEnd"/>
            <w:r w:rsidRPr="00B3015F">
              <w:rPr>
                <w:rFonts w:ascii="Arial" w:hAnsi="Arial" w:cs="Arial"/>
                <w:bCs/>
              </w:rPr>
              <w:t>“, aby doložka vybraných vplyvov a analýza vplyvov na podnikateľské prostredie boli v súlade a pravdivo označovali nielen vplyv regulácie, ale aj dotknuté subjekty.</w:t>
            </w:r>
          </w:p>
          <w:p w:rsidR="00B3015F" w:rsidRPr="00B3015F" w:rsidRDefault="00B3015F" w:rsidP="00B3015F">
            <w:pPr>
              <w:jc w:val="both"/>
              <w:rPr>
                <w:rFonts w:ascii="Arial" w:hAnsi="Arial" w:cs="Arial"/>
                <w:bCs/>
              </w:rPr>
            </w:pPr>
            <w:r w:rsidRPr="00B3015F">
              <w:rPr>
                <w:rFonts w:ascii="Arial" w:hAnsi="Arial" w:cs="Arial"/>
                <w:bCs/>
              </w:rPr>
              <w:t>V predloženej doložke vybraných vplyvov je potrebné uviesť aj povinné informácie v bode 5. Alternatívne riedenia a v bode 12. Zdroje, a to v súlade s obsahovými požiadavkami doložky vybraných vplyvov upravenými v časti II. Jednotnej metodiky na posudzovanie vybraných vplyvov.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3015F">
              <w:rPr>
                <w:rFonts w:ascii="Arial" w:hAnsi="Arial" w:cs="Arial"/>
                <w:b/>
                <w:bCs/>
              </w:rPr>
              <w:t>K analýze sociálnych vplyvov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both"/>
            </w:pPr>
            <w:r w:rsidRPr="00B3015F">
              <w:rPr>
                <w:rFonts w:ascii="Arial" w:hAnsi="Arial" w:cs="Arial"/>
                <w:bCs/>
              </w:rPr>
              <w:t>Sociálne vplyvy, ktoré predkladateľ identifikoval v doložke vybraných vplyvov, vo všeobecnej časti dôvodovej správy a v predkladacej správe je potrebné zhodnotiť v bode 4.4 analýzy sociálnych vplyvov v súlade s metodickým postupom pre túto analýzu (Príloha č. 4 Jednotnej metodiky na posudzovanie vybraných vplyvov). Komisia upozorňuje predkladateľa, že v prípade identifikovania pozitívnych sociálnych vplyvov alebo negatívnych sociálnych vplyvov, resp. pozitívnych sociálnych vplyvov a zároveň aj negatívnych sociálnych vplyvov v doložke vybraných vplyvov, sa na základe Jednotnej metodiky na posudzovanie vybraných vplyvov povinnou súčasťou predloženého materiálu stáva analýza sociálnych vplyvov.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3015F">
              <w:rPr>
                <w:rFonts w:ascii="Arial" w:hAnsi="Arial" w:cs="Arial"/>
                <w:b/>
                <w:bCs/>
              </w:rPr>
              <w:t>K analýze vplyvov na podnikateľské prostredie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</w:rPr>
            </w:pPr>
            <w:r w:rsidRPr="00B3015F">
              <w:rPr>
                <w:rFonts w:ascii="Arial" w:hAnsi="Arial" w:cs="Arial"/>
                <w:bCs/>
              </w:rPr>
              <w:t xml:space="preserve">Predkladateľ v doložke vybraných vplyvov uvádza pozitívny vplyv na podnikateľské prostredie, pričom v Analýze vplyvov na podnikateľské prostredie absentuje vysvetlenie daného vplyvu. Preto Komisia žiada predkladateľa o kvantifikáciu pozitívneho vplyvu aspoň opisným spôsobom, aby z analýzy vplyvov na podnikateľské prostredie bolo jasné, prečo a akým spôsobom daný materiál zlepšuje podnikanie v poľnohospodárskej výrobe. </w:t>
            </w:r>
          </w:p>
          <w:p w:rsidR="00B3015F" w:rsidRPr="00B3015F" w:rsidRDefault="00B3015F" w:rsidP="00B3015F">
            <w:pPr>
              <w:ind w:right="-2"/>
              <w:jc w:val="both"/>
              <w:rPr>
                <w:rFonts w:ascii="Arial" w:hAnsi="Arial" w:cs="Arial"/>
                <w:bCs/>
              </w:rPr>
            </w:pPr>
            <w:r w:rsidRPr="00B3015F">
              <w:rPr>
                <w:rFonts w:ascii="Arial" w:hAnsi="Arial" w:cs="Arial"/>
                <w:b/>
                <w:bCs/>
              </w:rPr>
              <w:t xml:space="preserve">III. Záver: </w:t>
            </w:r>
            <w:r w:rsidRPr="00B3015F">
              <w:rPr>
                <w:rFonts w:ascii="Arial" w:hAnsi="Arial" w:cs="Arial"/>
                <w:bCs/>
              </w:rPr>
              <w:t xml:space="preserve">Stála pracovná komisia na posudzovanie vybraných vplyvov vyjadruje 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3015F">
              <w:rPr>
                <w:rFonts w:ascii="Arial" w:eastAsia="Calibri" w:hAnsi="Arial" w:cs="Arial"/>
                <w:b/>
                <w:bCs/>
                <w:lang w:eastAsia="en-US"/>
              </w:rPr>
              <w:t>nesúhlasné stanovisko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B3015F">
              <w:rPr>
                <w:rFonts w:ascii="Arial" w:hAnsi="Arial" w:cs="Arial"/>
                <w:bCs/>
              </w:rPr>
              <w:t xml:space="preserve">s materiálom predloženým na predbežné pripomienkové konanie s odporúčaním na jeho dopracovanie podľa pripomienok v bode II. </w:t>
            </w:r>
            <w:r w:rsidRPr="00B3015F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B3015F">
              <w:rPr>
                <w:rFonts w:ascii="Arial" w:eastAsia="Calibri" w:hAnsi="Arial" w:cs="Arial"/>
                <w:b/>
                <w:bCs/>
                <w:lang w:eastAsia="en-US"/>
              </w:rPr>
              <w:t xml:space="preserve">IV. Poznámka: </w:t>
            </w:r>
            <w:r w:rsidRPr="00B3015F">
              <w:rPr>
                <w:rFonts w:ascii="Arial" w:eastAsia="Calibri" w:hAnsi="Arial" w:cs="Arial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B3015F" w:rsidRPr="00B3015F" w:rsidRDefault="00B3015F" w:rsidP="00B3015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</w:rPr>
            </w:pPr>
            <w:r w:rsidRPr="00B3015F">
              <w:rPr>
                <w:rFonts w:ascii="Arial" w:eastAsia="Calibri" w:hAnsi="Arial" w:cs="Arial"/>
                <w:bCs/>
                <w:lang w:eastAsia="en-US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</w:tc>
      </w:tr>
    </w:tbl>
    <w:p w:rsidR="00CB3623" w:rsidRPr="00BF73CB" w:rsidRDefault="00CB3623" w:rsidP="00BF73CB">
      <w:pPr>
        <w:widowControl w:val="0"/>
      </w:pPr>
    </w:p>
    <w:sectPr w:rsidR="00CB3623" w:rsidRPr="00BF73CB" w:rsidSect="00EB5289">
      <w:footerReference w:type="default" r:id="rId9"/>
      <w:pgSz w:w="11906" w:h="16838" w:code="9"/>
      <w:pgMar w:top="993" w:right="1418" w:bottom="993" w:left="1418" w:header="709" w:footer="283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26" w:rsidRDefault="00250726" w:rsidP="003501A1">
      <w:r>
        <w:separator/>
      </w:r>
    </w:p>
  </w:endnote>
  <w:endnote w:type="continuationSeparator" w:id="0">
    <w:p w:rsidR="00250726" w:rsidRDefault="00250726" w:rsidP="0035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72652828"/>
      <w:docPartObj>
        <w:docPartGallery w:val="Page Numbers (Bottom of Page)"/>
        <w:docPartUnique/>
      </w:docPartObj>
    </w:sdtPr>
    <w:sdtContent>
      <w:p w:rsidR="00403F4D" w:rsidRPr="00403F4D" w:rsidRDefault="00C723A3">
        <w:pPr>
          <w:pStyle w:val="Pta"/>
          <w:jc w:val="center"/>
          <w:rPr>
            <w:sz w:val="24"/>
            <w:szCs w:val="24"/>
          </w:rPr>
        </w:pPr>
        <w:r w:rsidRPr="00403F4D">
          <w:rPr>
            <w:sz w:val="24"/>
            <w:szCs w:val="24"/>
          </w:rPr>
          <w:fldChar w:fldCharType="begin"/>
        </w:r>
        <w:r w:rsidR="00403F4D" w:rsidRPr="00403F4D">
          <w:rPr>
            <w:sz w:val="24"/>
            <w:szCs w:val="24"/>
          </w:rPr>
          <w:instrText>PAGE   \* MERGEFORMAT</w:instrText>
        </w:r>
        <w:r w:rsidRPr="00403F4D">
          <w:rPr>
            <w:sz w:val="24"/>
            <w:szCs w:val="24"/>
          </w:rPr>
          <w:fldChar w:fldCharType="separate"/>
        </w:r>
        <w:r w:rsidR="00EB5289">
          <w:rPr>
            <w:noProof/>
            <w:sz w:val="24"/>
            <w:szCs w:val="24"/>
          </w:rPr>
          <w:t>4</w:t>
        </w:r>
        <w:r w:rsidRPr="00403F4D">
          <w:rPr>
            <w:sz w:val="24"/>
            <w:szCs w:val="24"/>
          </w:rPr>
          <w:fldChar w:fldCharType="end"/>
        </w:r>
      </w:p>
    </w:sdtContent>
  </w:sdt>
  <w:p w:rsidR="00E4420F" w:rsidRPr="00403F4D" w:rsidRDefault="00E4420F">
    <w:pPr>
      <w:pStyle w:val="Pt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26" w:rsidRDefault="00250726" w:rsidP="003501A1">
      <w:r>
        <w:separator/>
      </w:r>
    </w:p>
  </w:footnote>
  <w:footnote w:type="continuationSeparator" w:id="0">
    <w:p w:rsidR="00250726" w:rsidRDefault="00250726" w:rsidP="00350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A86"/>
    <w:rsid w:val="0001240D"/>
    <w:rsid w:val="00036A60"/>
    <w:rsid w:val="00060BA7"/>
    <w:rsid w:val="00072304"/>
    <w:rsid w:val="000A7FF8"/>
    <w:rsid w:val="000D40AB"/>
    <w:rsid w:val="000E0664"/>
    <w:rsid w:val="000E379C"/>
    <w:rsid w:val="000E6B82"/>
    <w:rsid w:val="0011307D"/>
    <w:rsid w:val="0011693A"/>
    <w:rsid w:val="00127E8D"/>
    <w:rsid w:val="00130F2B"/>
    <w:rsid w:val="001352B1"/>
    <w:rsid w:val="001531F8"/>
    <w:rsid w:val="00170751"/>
    <w:rsid w:val="00175FD8"/>
    <w:rsid w:val="00195039"/>
    <w:rsid w:val="001A1559"/>
    <w:rsid w:val="001A2C3F"/>
    <w:rsid w:val="001B6CC0"/>
    <w:rsid w:val="001E1BE0"/>
    <w:rsid w:val="001E7952"/>
    <w:rsid w:val="00200053"/>
    <w:rsid w:val="00202BC1"/>
    <w:rsid w:val="00217FE9"/>
    <w:rsid w:val="002360DB"/>
    <w:rsid w:val="002424B0"/>
    <w:rsid w:val="00247005"/>
    <w:rsid w:val="002473F6"/>
    <w:rsid w:val="00250726"/>
    <w:rsid w:val="00255459"/>
    <w:rsid w:val="0025786A"/>
    <w:rsid w:val="00266D21"/>
    <w:rsid w:val="0029419E"/>
    <w:rsid w:val="002B0961"/>
    <w:rsid w:val="002B6A88"/>
    <w:rsid w:val="002C2A6A"/>
    <w:rsid w:val="003007CE"/>
    <w:rsid w:val="003115E1"/>
    <w:rsid w:val="00316ED4"/>
    <w:rsid w:val="003444AB"/>
    <w:rsid w:val="003501A1"/>
    <w:rsid w:val="00355791"/>
    <w:rsid w:val="00356480"/>
    <w:rsid w:val="00360DAD"/>
    <w:rsid w:val="003623C0"/>
    <w:rsid w:val="00370CBA"/>
    <w:rsid w:val="00387A3F"/>
    <w:rsid w:val="00387DC2"/>
    <w:rsid w:val="003922D9"/>
    <w:rsid w:val="00395098"/>
    <w:rsid w:val="003B0345"/>
    <w:rsid w:val="003E0EA6"/>
    <w:rsid w:val="00403F4D"/>
    <w:rsid w:val="0040709E"/>
    <w:rsid w:val="00437FFE"/>
    <w:rsid w:val="0045465B"/>
    <w:rsid w:val="004634BF"/>
    <w:rsid w:val="00471EA6"/>
    <w:rsid w:val="004A2491"/>
    <w:rsid w:val="004A31B1"/>
    <w:rsid w:val="004A36CA"/>
    <w:rsid w:val="004A5AE8"/>
    <w:rsid w:val="004C20FC"/>
    <w:rsid w:val="004C60B8"/>
    <w:rsid w:val="004C794A"/>
    <w:rsid w:val="004D546C"/>
    <w:rsid w:val="004E5410"/>
    <w:rsid w:val="004F3EE4"/>
    <w:rsid w:val="004F6347"/>
    <w:rsid w:val="004F6F1F"/>
    <w:rsid w:val="004F7D6F"/>
    <w:rsid w:val="00500C17"/>
    <w:rsid w:val="00507327"/>
    <w:rsid w:val="00510213"/>
    <w:rsid w:val="005217F2"/>
    <w:rsid w:val="00522F39"/>
    <w:rsid w:val="00540DF0"/>
    <w:rsid w:val="00570B48"/>
    <w:rsid w:val="005A57BF"/>
    <w:rsid w:val="005B0C47"/>
    <w:rsid w:val="005B1262"/>
    <w:rsid w:val="005B3768"/>
    <w:rsid w:val="005B7A8D"/>
    <w:rsid w:val="005C19AD"/>
    <w:rsid w:val="005C2445"/>
    <w:rsid w:val="005D6ABC"/>
    <w:rsid w:val="005E3D7E"/>
    <w:rsid w:val="005F4800"/>
    <w:rsid w:val="00620BC8"/>
    <w:rsid w:val="006C3B7D"/>
    <w:rsid w:val="006C49E9"/>
    <w:rsid w:val="006C7332"/>
    <w:rsid w:val="006E62C3"/>
    <w:rsid w:val="0070160E"/>
    <w:rsid w:val="007248EF"/>
    <w:rsid w:val="0073340A"/>
    <w:rsid w:val="0075475C"/>
    <w:rsid w:val="007607AB"/>
    <w:rsid w:val="00771A8A"/>
    <w:rsid w:val="007A6199"/>
    <w:rsid w:val="007B4185"/>
    <w:rsid w:val="007B732A"/>
    <w:rsid w:val="007B7C4A"/>
    <w:rsid w:val="007C4BA9"/>
    <w:rsid w:val="007F4E9A"/>
    <w:rsid w:val="007F52B3"/>
    <w:rsid w:val="0081609C"/>
    <w:rsid w:val="00816EB2"/>
    <w:rsid w:val="008478C5"/>
    <w:rsid w:val="00877B14"/>
    <w:rsid w:val="008826B2"/>
    <w:rsid w:val="00885BCF"/>
    <w:rsid w:val="008B5E76"/>
    <w:rsid w:val="008C6127"/>
    <w:rsid w:val="008D1FF7"/>
    <w:rsid w:val="00900223"/>
    <w:rsid w:val="00903632"/>
    <w:rsid w:val="00954A66"/>
    <w:rsid w:val="00957FDA"/>
    <w:rsid w:val="00976FCF"/>
    <w:rsid w:val="00982371"/>
    <w:rsid w:val="009C0389"/>
    <w:rsid w:val="009C4863"/>
    <w:rsid w:val="009F3EC9"/>
    <w:rsid w:val="00A423E3"/>
    <w:rsid w:val="00A57436"/>
    <w:rsid w:val="00A80B68"/>
    <w:rsid w:val="00A92C6C"/>
    <w:rsid w:val="00AB58C5"/>
    <w:rsid w:val="00AB5B22"/>
    <w:rsid w:val="00AC2477"/>
    <w:rsid w:val="00AD551A"/>
    <w:rsid w:val="00B058FE"/>
    <w:rsid w:val="00B170CA"/>
    <w:rsid w:val="00B20843"/>
    <w:rsid w:val="00B3015F"/>
    <w:rsid w:val="00B31082"/>
    <w:rsid w:val="00B63F6E"/>
    <w:rsid w:val="00B65A86"/>
    <w:rsid w:val="00BA37ED"/>
    <w:rsid w:val="00BA3817"/>
    <w:rsid w:val="00BB7CCE"/>
    <w:rsid w:val="00BD6B52"/>
    <w:rsid w:val="00BF3741"/>
    <w:rsid w:val="00BF73CB"/>
    <w:rsid w:val="00C0504B"/>
    <w:rsid w:val="00C63DDA"/>
    <w:rsid w:val="00C67252"/>
    <w:rsid w:val="00C723A3"/>
    <w:rsid w:val="00C8658E"/>
    <w:rsid w:val="00C94E42"/>
    <w:rsid w:val="00CB3623"/>
    <w:rsid w:val="00CB70BF"/>
    <w:rsid w:val="00CB7511"/>
    <w:rsid w:val="00CE3369"/>
    <w:rsid w:val="00D044D0"/>
    <w:rsid w:val="00D13B6F"/>
    <w:rsid w:val="00D21BE5"/>
    <w:rsid w:val="00D34CF7"/>
    <w:rsid w:val="00D73905"/>
    <w:rsid w:val="00D75D35"/>
    <w:rsid w:val="00D83AE8"/>
    <w:rsid w:val="00DA6104"/>
    <w:rsid w:val="00DA7FBD"/>
    <w:rsid w:val="00DD29E6"/>
    <w:rsid w:val="00DE2425"/>
    <w:rsid w:val="00DE2A12"/>
    <w:rsid w:val="00DF1037"/>
    <w:rsid w:val="00DF7C2C"/>
    <w:rsid w:val="00E15C6E"/>
    <w:rsid w:val="00E4420F"/>
    <w:rsid w:val="00E744E1"/>
    <w:rsid w:val="00E7546A"/>
    <w:rsid w:val="00E77F83"/>
    <w:rsid w:val="00E8162B"/>
    <w:rsid w:val="00EB5289"/>
    <w:rsid w:val="00EB59E3"/>
    <w:rsid w:val="00EB7783"/>
    <w:rsid w:val="00ED3F23"/>
    <w:rsid w:val="00ED4F23"/>
    <w:rsid w:val="00EF2943"/>
    <w:rsid w:val="00EF466C"/>
    <w:rsid w:val="00F22831"/>
    <w:rsid w:val="00F237DC"/>
    <w:rsid w:val="00F54ECA"/>
    <w:rsid w:val="00F551FE"/>
    <w:rsid w:val="00F62771"/>
    <w:rsid w:val="00F94A22"/>
    <w:rsid w:val="00FA5739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72304"/>
    <w:pPr>
      <w:keepNext/>
      <w:keepLines/>
      <w:spacing w:before="240" w:after="120"/>
      <w:jc w:val="center"/>
      <w:outlineLvl w:val="0"/>
    </w:pPr>
    <w:rPr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072304"/>
    <w:pPr>
      <w:keepNext/>
      <w:keepLines/>
      <w:spacing w:before="240" w:after="120"/>
      <w:jc w:val="center"/>
      <w:outlineLvl w:val="1"/>
    </w:pPr>
    <w:rPr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51F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072304"/>
    <w:rPr>
      <w:rFonts w:ascii="Times New Roman" w:eastAsia="Times New Roman" w:hAnsi="Times New Roman" w:cs="Times New Roman"/>
      <w:b/>
      <w:sz w:val="24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72304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Nzov">
    <w:name w:val="Title"/>
    <w:basedOn w:val="Normlny"/>
    <w:link w:val="NzovChar"/>
    <w:qFormat/>
    <w:rsid w:val="00072304"/>
    <w:pPr>
      <w:keepNext/>
      <w:spacing w:before="120" w:after="60" w:line="360" w:lineRule="auto"/>
      <w:jc w:val="center"/>
    </w:pPr>
    <w:rPr>
      <w:rFonts w:eastAsia="Calibri"/>
      <w:sz w:val="24"/>
      <w:szCs w:val="22"/>
    </w:rPr>
  </w:style>
  <w:style w:type="character" w:customStyle="1" w:styleId="NzovChar">
    <w:name w:val="Názov Char"/>
    <w:basedOn w:val="Predvolenpsmoodseku"/>
    <w:link w:val="Nzov"/>
    <w:rsid w:val="00072304"/>
    <w:rPr>
      <w:rFonts w:ascii="Times New Roman" w:eastAsia="Calibri" w:hAnsi="Times New Roman" w:cs="Times New Roman"/>
      <w:sz w:val="24"/>
      <w:lang w:eastAsia="sk-SK"/>
    </w:rPr>
  </w:style>
  <w:style w:type="paragraph" w:styleId="Normlnywebov">
    <w:name w:val="Normal (Web)"/>
    <w:basedOn w:val="Normlny"/>
    <w:uiPriority w:val="99"/>
    <w:rsid w:val="000723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evzia">
    <w:name w:val="Revision"/>
    <w:hidden/>
    <w:uiPriority w:val="99"/>
    <w:semiHidden/>
    <w:rsid w:val="0036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zstupnhosymbolu1">
    <w:name w:val="Text zástupného symbolu1"/>
    <w:semiHidden/>
    <w:rsid w:val="003564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illas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4AB2-C0C2-4838-A54A-3ECA47E3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Toshiba</cp:lastModifiedBy>
  <cp:revision>12</cp:revision>
  <cp:lastPrinted>2016-11-21T13:33:00Z</cp:lastPrinted>
  <dcterms:created xsi:type="dcterms:W3CDTF">2018-01-19T08:56:00Z</dcterms:created>
  <dcterms:modified xsi:type="dcterms:W3CDTF">2018-03-29T15:33:00Z</dcterms:modified>
</cp:coreProperties>
</file>