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5BB8" w14:textId="77777777" w:rsidR="005F32AD" w:rsidRPr="00C43394" w:rsidRDefault="005F32AD" w:rsidP="005F32AD">
      <w:pPr>
        <w:pStyle w:val="Nzov"/>
        <w:spacing w:line="360" w:lineRule="auto"/>
        <w:jc w:val="both"/>
      </w:pPr>
      <w:r w:rsidRPr="00C43394">
        <w:t>Osobitná časť</w:t>
      </w:r>
    </w:p>
    <w:p w14:paraId="371A9336" w14:textId="77777777" w:rsidR="005F32AD" w:rsidRPr="00C43394" w:rsidRDefault="005F32AD" w:rsidP="005F32AD">
      <w:pPr>
        <w:pStyle w:val="Nzov"/>
        <w:spacing w:line="360" w:lineRule="auto"/>
        <w:jc w:val="both"/>
      </w:pPr>
    </w:p>
    <w:p w14:paraId="118E51A4" w14:textId="77777777" w:rsidR="005F32AD" w:rsidRPr="00C43394" w:rsidRDefault="005F32AD" w:rsidP="005F32AD">
      <w:pPr>
        <w:pStyle w:val="Nzov"/>
        <w:spacing w:line="360" w:lineRule="auto"/>
        <w:jc w:val="both"/>
      </w:pPr>
      <w:r w:rsidRPr="00C43394">
        <w:t>K čl. I</w:t>
      </w:r>
    </w:p>
    <w:p w14:paraId="1BDEBDF2" w14:textId="77777777" w:rsidR="005F32AD" w:rsidRPr="00C43394" w:rsidRDefault="005F32AD" w:rsidP="005F32AD">
      <w:pPr>
        <w:pStyle w:val="Nzov"/>
        <w:spacing w:line="360" w:lineRule="auto"/>
        <w:jc w:val="both"/>
      </w:pPr>
    </w:p>
    <w:p w14:paraId="4B29BDB0" w14:textId="55A4C93F" w:rsidR="005F32AD" w:rsidRPr="00B217E3" w:rsidRDefault="00E421C7" w:rsidP="00B217E3">
      <w:pPr>
        <w:pStyle w:val="Nzov"/>
        <w:spacing w:line="360" w:lineRule="auto"/>
        <w:jc w:val="both"/>
        <w:rPr>
          <w:b w:val="0"/>
        </w:rPr>
      </w:pPr>
      <w:r>
        <w:t> </w:t>
      </w:r>
      <w:r w:rsidRPr="00B217E3">
        <w:rPr>
          <w:b w:val="0"/>
        </w:rPr>
        <w:t>K bod</w:t>
      </w:r>
      <w:r w:rsidR="00042BFA">
        <w:rPr>
          <w:b w:val="0"/>
        </w:rPr>
        <w:t>u</w:t>
      </w:r>
      <w:r w:rsidRPr="00B217E3">
        <w:rPr>
          <w:b w:val="0"/>
        </w:rPr>
        <w:t xml:space="preserve"> 1</w:t>
      </w:r>
    </w:p>
    <w:p w14:paraId="1B5EDB70" w14:textId="1746DCAB" w:rsidR="00D6620F" w:rsidRDefault="004C3EA6" w:rsidP="00831D09">
      <w:pPr>
        <w:spacing w:after="200" w:line="360" w:lineRule="auto"/>
        <w:ind w:left="-75" w:firstLine="642"/>
        <w:jc w:val="both"/>
      </w:pPr>
      <w:r>
        <w:t>V základných pojmoch sa definuje  pojem „</w:t>
      </w:r>
      <w:r w:rsidR="00E421C7">
        <w:t>droga</w:t>
      </w:r>
      <w:r>
        <w:t>“</w:t>
      </w:r>
      <w:r w:rsidR="00042BFA">
        <w:t xml:space="preserve"> a „nová psychoaktívna látka</w:t>
      </w:r>
      <w:r>
        <w:t xml:space="preserve"> v súlade s článkom 1 písmenom </w:t>
      </w:r>
      <w:r w:rsidR="00E421C7">
        <w:t>a</w:t>
      </w:r>
      <w:r>
        <w:t xml:space="preserve">) </w:t>
      </w:r>
      <w:r w:rsidR="002B0EDE">
        <w:t xml:space="preserve">a písmenom b) </w:t>
      </w:r>
      <w:r>
        <w:t>smernice Európskeho parlamentu a Rady (EÚ) 2017/2103.</w:t>
      </w:r>
    </w:p>
    <w:p w14:paraId="68317B95" w14:textId="77777777" w:rsidR="002B0EDE" w:rsidRDefault="002B0EDE" w:rsidP="00B217E3">
      <w:pPr>
        <w:spacing w:after="200" w:line="360" w:lineRule="auto"/>
        <w:ind w:left="-75" w:firstLine="75"/>
        <w:jc w:val="both"/>
      </w:pPr>
    </w:p>
    <w:p w14:paraId="35C27C27" w14:textId="148C53FB" w:rsidR="002B0EDE" w:rsidRPr="00D6620F" w:rsidRDefault="002B0EDE" w:rsidP="00B217E3">
      <w:pPr>
        <w:spacing w:after="200" w:line="360" w:lineRule="auto"/>
        <w:ind w:left="-75" w:firstLine="75"/>
        <w:jc w:val="both"/>
      </w:pPr>
      <w:r>
        <w:t>K bodu 2</w:t>
      </w:r>
    </w:p>
    <w:p w14:paraId="4CBF316C" w14:textId="77777777" w:rsidR="00042BFA" w:rsidRDefault="00277AE2" w:rsidP="00831D09">
      <w:pPr>
        <w:spacing w:line="360" w:lineRule="auto"/>
        <w:ind w:firstLine="567"/>
        <w:jc w:val="both"/>
      </w:pPr>
      <w:r w:rsidRPr="00277AE2">
        <w:t>Ustanovuje sa, že za</w:t>
      </w:r>
      <w:r>
        <w:rPr>
          <w:b/>
        </w:rPr>
        <w:t xml:space="preserve"> </w:t>
      </w:r>
      <w:r w:rsidRPr="00C2424A">
        <w:t xml:space="preserve">omamnú látku alebo psychotropnú látku sa </w:t>
      </w:r>
      <w:r>
        <w:t xml:space="preserve">bude </w:t>
      </w:r>
      <w:r w:rsidRPr="00C2424A">
        <w:t>považ</w:t>
      </w:r>
      <w:r>
        <w:t>ovať</w:t>
      </w:r>
      <w:r w:rsidRPr="00C2424A">
        <w:t xml:space="preserve"> aj nová psychoaktívna látka, ktorá na základe delegovaného aktu Európskej komisie vydaného podľa </w:t>
      </w:r>
      <w:r>
        <w:t>č</w:t>
      </w:r>
      <w:r w:rsidRPr="00C2424A">
        <w:t>lánk</w:t>
      </w:r>
      <w:r>
        <w:t>u</w:t>
      </w:r>
      <w:r w:rsidRPr="00C2424A">
        <w:t xml:space="preserve"> 5c nariadenia Európskeho parlamentu a Rady č. 1920/2006 z 12. decembra 2006 o Európskom monitorovacom centre pre drogy a drogovú závislosť  v znení nariadenia Európskeho parlamentu a Rady č. 2101/2017 z 15 novembra 2017, ktorým sa mení nariadenie (ES) č. 1920/2006, pokiaľ ide o výmenu informácií, systém včasného varovania a postup posudzovania rizika v oblasti nových psychoaktívnych látok </w:t>
      </w:r>
      <w:r>
        <w:t xml:space="preserve"> a člán</w:t>
      </w:r>
      <w:r w:rsidRPr="00C2424A">
        <w:t>k</w:t>
      </w:r>
      <w:r>
        <w:t>u</w:t>
      </w:r>
      <w:r w:rsidRPr="00C2424A">
        <w:t xml:space="preserve"> 1a ods. 1 a článk</w:t>
      </w:r>
      <w:r>
        <w:t>u</w:t>
      </w:r>
      <w:r w:rsidRPr="00C2424A">
        <w:t xml:space="preserve"> 8a rámcového rozhodnutia Rady 2004/757/SVV  z 25. októbra 2004, ktorým sa stanovujú minimálne ustanovenia o znakoch skutkových podstát trestných činov a trestov v oblasti nezákonného obchodu s drogami sa má podrobiť kontrolným opatreniam </w:t>
      </w:r>
      <w:r>
        <w:t xml:space="preserve">aj v prípade, </w:t>
      </w:r>
      <w:r w:rsidRPr="00C2424A">
        <w:t>a</w:t>
      </w:r>
      <w:r>
        <w:t>k</w:t>
      </w:r>
      <w:r w:rsidRPr="00C2424A">
        <w:t> nie je zaradená v do žiadnej z troch skupín uvedených v prílohe č. 1</w:t>
      </w:r>
      <w:r>
        <w:t xml:space="preserve"> zákona č. 139/1998 </w:t>
      </w:r>
    </w:p>
    <w:p w14:paraId="3F45FCD6" w14:textId="64633398" w:rsidR="00831D09" w:rsidRDefault="00277AE2" w:rsidP="00B217E3">
      <w:pPr>
        <w:spacing w:line="360" w:lineRule="auto"/>
        <w:jc w:val="both"/>
      </w:pPr>
      <w:r>
        <w:t>Z. z.</w:t>
      </w:r>
      <w:r w:rsidRPr="00C2424A">
        <w:t xml:space="preserve"> </w:t>
      </w:r>
      <w:r>
        <w:t xml:space="preserve"> </w:t>
      </w:r>
    </w:p>
    <w:p w14:paraId="7B016D9D" w14:textId="77777777" w:rsidR="00277AE2" w:rsidRDefault="00277AE2" w:rsidP="00831D09">
      <w:pPr>
        <w:spacing w:line="360" w:lineRule="auto"/>
        <w:ind w:firstLine="567"/>
        <w:jc w:val="both"/>
      </w:pPr>
      <w:r>
        <w:t xml:space="preserve">Týmto ustanovením sa pružne zabezpečí implementácia </w:t>
      </w:r>
      <w:r w:rsidRPr="00C2424A">
        <w:t>delegovaného aktu Európskej komisie</w:t>
      </w:r>
      <w:r>
        <w:t xml:space="preserve"> s cieľom zabezpečiť trestno-právnu zodpovednosť za nedodržanie ustanovení zákona č. 139/1998 Z. z. Je to o to dôležitejšie, že lehota na prebranie príslušného delegovaného aktu Európskej komisie sa skrátila z jedného roka na šesť mesiacov.</w:t>
      </w:r>
    </w:p>
    <w:p w14:paraId="00D71201" w14:textId="63424697" w:rsidR="001B5AB1" w:rsidRDefault="001B5AB1" w:rsidP="005F32AD">
      <w:pPr>
        <w:pStyle w:val="Nzov"/>
        <w:spacing w:line="360" w:lineRule="auto"/>
        <w:ind w:firstLine="426"/>
        <w:jc w:val="both"/>
        <w:rPr>
          <w:b w:val="0"/>
        </w:rPr>
      </w:pPr>
    </w:p>
    <w:p w14:paraId="009B04CC" w14:textId="77777777" w:rsidR="00304091" w:rsidRPr="00C43394" w:rsidRDefault="00304091" w:rsidP="005F32AD">
      <w:pPr>
        <w:pStyle w:val="Nzov"/>
        <w:spacing w:line="360" w:lineRule="auto"/>
        <w:ind w:firstLine="426"/>
        <w:jc w:val="both"/>
        <w:rPr>
          <w:b w:val="0"/>
        </w:rPr>
      </w:pPr>
    </w:p>
    <w:p w14:paraId="42BCE69B" w14:textId="77777777" w:rsidR="00B217E3" w:rsidRDefault="00B217E3" w:rsidP="00B217E3">
      <w:pPr>
        <w:pStyle w:val="Nzov"/>
        <w:spacing w:line="360" w:lineRule="auto"/>
        <w:jc w:val="both"/>
        <w:rPr>
          <w:b w:val="0"/>
          <w:bCs w:val="0"/>
        </w:rPr>
      </w:pPr>
    </w:p>
    <w:p w14:paraId="579DA25A" w14:textId="77777777" w:rsidR="00B217E3" w:rsidRDefault="00B217E3" w:rsidP="00B217E3">
      <w:pPr>
        <w:pStyle w:val="Nzov"/>
        <w:spacing w:line="360" w:lineRule="auto"/>
        <w:jc w:val="both"/>
        <w:rPr>
          <w:b w:val="0"/>
          <w:bCs w:val="0"/>
        </w:rPr>
      </w:pPr>
    </w:p>
    <w:p w14:paraId="0FF80C93" w14:textId="77777777" w:rsidR="00B217E3" w:rsidRDefault="00B217E3" w:rsidP="00B217E3">
      <w:pPr>
        <w:pStyle w:val="Nzov"/>
        <w:spacing w:line="360" w:lineRule="auto"/>
        <w:jc w:val="both"/>
        <w:rPr>
          <w:b w:val="0"/>
          <w:bCs w:val="0"/>
        </w:rPr>
      </w:pPr>
    </w:p>
    <w:p w14:paraId="16CFAE5A" w14:textId="703081FF" w:rsidR="00304091" w:rsidRDefault="00E421C7" w:rsidP="00B217E3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  <w:bCs w:val="0"/>
        </w:rPr>
        <w:t xml:space="preserve">K bodu </w:t>
      </w:r>
      <w:r w:rsidR="002B0EDE">
        <w:rPr>
          <w:b w:val="0"/>
        </w:rPr>
        <w:t>3</w:t>
      </w:r>
    </w:p>
    <w:p w14:paraId="37CD2E6A" w14:textId="6324D36B" w:rsidR="001B5AB1" w:rsidRPr="00C43394" w:rsidRDefault="00831D09" w:rsidP="00B217E3">
      <w:pPr>
        <w:pStyle w:val="Nzov"/>
        <w:spacing w:line="360" w:lineRule="auto"/>
        <w:jc w:val="both"/>
        <w:rPr>
          <w:b w:val="0"/>
        </w:rPr>
      </w:pPr>
      <w:r w:rsidRPr="00831D09">
        <w:rPr>
          <w:b w:val="0"/>
        </w:rPr>
        <w:t>Lehota šiestich rokov sa</w:t>
      </w:r>
      <w:r>
        <w:rPr>
          <w:b w:val="0"/>
        </w:rPr>
        <w:t xml:space="preserve"> zrušuje na </w:t>
      </w:r>
      <w:r w:rsidRPr="001E23A5">
        <w:rPr>
          <w:b w:val="0"/>
          <w:bCs w:val="0"/>
        </w:rPr>
        <w:t>preuká</w:t>
      </w:r>
      <w:r>
        <w:rPr>
          <w:b w:val="0"/>
          <w:bCs w:val="0"/>
        </w:rPr>
        <w:t>zanie</w:t>
      </w:r>
      <w:r w:rsidRPr="001E23A5">
        <w:rPr>
          <w:b w:val="0"/>
          <w:bCs w:val="0"/>
        </w:rPr>
        <w:t xml:space="preserve">, že riziková látka </w:t>
      </w:r>
      <w:r>
        <w:rPr>
          <w:b w:val="0"/>
          <w:bCs w:val="0"/>
        </w:rPr>
        <w:t>ne</w:t>
      </w:r>
      <w:r w:rsidRPr="001E23A5">
        <w:rPr>
          <w:b w:val="0"/>
          <w:bCs w:val="0"/>
        </w:rPr>
        <w:t>má vlastnosti omamnej látky alebo psychotropnej látky</w:t>
      </w:r>
      <w:r>
        <w:rPr>
          <w:b w:val="0"/>
          <w:bCs w:val="0"/>
        </w:rPr>
        <w:t xml:space="preserve"> a na následné</w:t>
      </w:r>
      <w:r w:rsidRPr="001E23A5">
        <w:rPr>
          <w:b w:val="0"/>
          <w:bCs w:val="0"/>
        </w:rPr>
        <w:t xml:space="preserve"> </w:t>
      </w:r>
      <w:r>
        <w:rPr>
          <w:b w:val="0"/>
          <w:bCs w:val="0"/>
        </w:rPr>
        <w:t>vy</w:t>
      </w:r>
      <w:r w:rsidRPr="001E23A5">
        <w:rPr>
          <w:b w:val="0"/>
          <w:bCs w:val="0"/>
        </w:rPr>
        <w:t>rad</w:t>
      </w:r>
      <w:r>
        <w:rPr>
          <w:b w:val="0"/>
          <w:bCs w:val="0"/>
        </w:rPr>
        <w:t>enie rizikovej látky</w:t>
      </w:r>
      <w:r w:rsidRPr="001E23A5">
        <w:rPr>
          <w:b w:val="0"/>
          <w:bCs w:val="0"/>
        </w:rPr>
        <w:t xml:space="preserve"> </w:t>
      </w:r>
      <w:r w:rsidRPr="00F123A7">
        <w:rPr>
          <w:b w:val="0"/>
          <w:bCs w:val="0"/>
        </w:rPr>
        <w:t>zo zoznamu rizikových látok</w:t>
      </w:r>
      <w:r>
        <w:rPr>
          <w:b w:val="0"/>
          <w:bCs w:val="0"/>
        </w:rPr>
        <w:t xml:space="preserve">. </w:t>
      </w:r>
    </w:p>
    <w:p w14:paraId="557A739F" w14:textId="17A15A44" w:rsidR="00767EA1" w:rsidRPr="00767EA1" w:rsidRDefault="00767EA1" w:rsidP="00767EA1">
      <w:pPr>
        <w:pStyle w:val="Obyaj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A1">
        <w:rPr>
          <w:rFonts w:ascii="Times New Roman" w:hAnsi="Times New Roman" w:cs="Times New Roman"/>
          <w:sz w:val="24"/>
          <w:szCs w:val="24"/>
        </w:rPr>
        <w:t>Na skúmanie rizík psychoaktívnych látok,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7E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v </w:t>
      </w:r>
      <w:r w:rsidRPr="00767E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lovenskej republike vybudované</w:t>
      </w:r>
      <w:r w:rsidRPr="00767EA1">
        <w:rPr>
          <w:rFonts w:ascii="Times New Roman" w:hAnsi="Times New Roman" w:cs="Times New Roman"/>
          <w:sz w:val="24"/>
          <w:szCs w:val="24"/>
        </w:rPr>
        <w:t xml:space="preserve"> referenčné laboratórium</w:t>
      </w:r>
      <w:r>
        <w:rPr>
          <w:rFonts w:ascii="Times New Roman" w:hAnsi="Times New Roman" w:cs="Times New Roman"/>
          <w:sz w:val="24"/>
          <w:szCs w:val="24"/>
        </w:rPr>
        <w:t>, ktoré by sa</w:t>
      </w:r>
      <w:r w:rsidRPr="00767EA1">
        <w:rPr>
          <w:rFonts w:ascii="Times New Roman" w:hAnsi="Times New Roman" w:cs="Times New Roman"/>
          <w:sz w:val="24"/>
          <w:szCs w:val="24"/>
        </w:rPr>
        <w:t xml:space="preserve"> komplexne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A1">
        <w:rPr>
          <w:rFonts w:ascii="Times New Roman" w:hAnsi="Times New Roman" w:cs="Times New Roman"/>
          <w:sz w:val="24"/>
          <w:szCs w:val="24"/>
        </w:rPr>
        <w:t>zaobera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767EA1">
        <w:rPr>
          <w:rFonts w:ascii="Times New Roman" w:hAnsi="Times New Roman" w:cs="Times New Roman"/>
          <w:sz w:val="24"/>
          <w:szCs w:val="24"/>
        </w:rPr>
        <w:t xml:space="preserve"> skúmaním drog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767EA1">
        <w:rPr>
          <w:rFonts w:ascii="Times New Roman" w:hAnsi="Times New Roman" w:cs="Times New Roman"/>
          <w:sz w:val="24"/>
          <w:szCs w:val="24"/>
        </w:rPr>
        <w:t xml:space="preserve">aposledy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67E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ybudovanie referenčného laboratória </w:t>
      </w:r>
      <w:r w:rsidRPr="0076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plánovalo v rámci projektu presídlenia Európskej liekovej agentúry (EMA)</w:t>
      </w:r>
      <w:r w:rsidRPr="00767EA1">
        <w:rPr>
          <w:rFonts w:ascii="Times New Roman" w:hAnsi="Times New Roman" w:cs="Times New Roman"/>
          <w:sz w:val="24"/>
          <w:szCs w:val="24"/>
        </w:rPr>
        <w:t xml:space="preserve"> na Slovensk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7EA1">
        <w:rPr>
          <w:rFonts w:ascii="Times New Roman" w:hAnsi="Times New Roman" w:cs="Times New Roman"/>
          <w:sz w:val="24"/>
          <w:szCs w:val="24"/>
        </w:rPr>
        <w:t>.</w:t>
      </w:r>
    </w:p>
    <w:p w14:paraId="4E5352C9" w14:textId="77777777" w:rsidR="00831D09" w:rsidRDefault="00831D09" w:rsidP="00831D09">
      <w:pPr>
        <w:pStyle w:val="Nzov"/>
        <w:spacing w:line="360" w:lineRule="auto"/>
        <w:ind w:firstLine="567"/>
        <w:jc w:val="both"/>
        <w:rPr>
          <w:b w:val="0"/>
          <w:bCs w:val="0"/>
        </w:rPr>
      </w:pPr>
      <w:r w:rsidRPr="00831D09">
        <w:rPr>
          <w:b w:val="0"/>
        </w:rPr>
        <w:t>Lehota šiestich rokov sa</w:t>
      </w:r>
      <w:r>
        <w:rPr>
          <w:b w:val="0"/>
        </w:rPr>
        <w:t xml:space="preserve"> zrušuje na </w:t>
      </w:r>
      <w:r w:rsidRPr="001E23A5">
        <w:rPr>
          <w:b w:val="0"/>
          <w:bCs w:val="0"/>
        </w:rPr>
        <w:t>preuká</w:t>
      </w:r>
      <w:r>
        <w:rPr>
          <w:b w:val="0"/>
          <w:bCs w:val="0"/>
        </w:rPr>
        <w:t>zanie</w:t>
      </w:r>
      <w:r w:rsidRPr="001E23A5">
        <w:rPr>
          <w:b w:val="0"/>
          <w:bCs w:val="0"/>
        </w:rPr>
        <w:t>, že riziková látka má vlastnosti omamnej látky alebo psychotropnej látky</w:t>
      </w:r>
      <w:r>
        <w:rPr>
          <w:b w:val="0"/>
          <w:bCs w:val="0"/>
        </w:rPr>
        <w:t xml:space="preserve"> a na následné</w:t>
      </w:r>
      <w:r w:rsidRPr="001E23A5">
        <w:rPr>
          <w:b w:val="0"/>
          <w:bCs w:val="0"/>
        </w:rPr>
        <w:t xml:space="preserve"> zarad</w:t>
      </w:r>
      <w:r>
        <w:rPr>
          <w:b w:val="0"/>
          <w:bCs w:val="0"/>
        </w:rPr>
        <w:t>enie rizikovej látky</w:t>
      </w:r>
      <w:r w:rsidRPr="001E23A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sa </w:t>
      </w:r>
      <w:r w:rsidRPr="001E23A5">
        <w:rPr>
          <w:b w:val="0"/>
          <w:bCs w:val="0"/>
        </w:rPr>
        <w:t>do zoznamu omamných látok a psychotropných látok uvedeného v prílohe č. 1</w:t>
      </w:r>
      <w:r>
        <w:rPr>
          <w:b w:val="0"/>
          <w:bCs w:val="0"/>
        </w:rPr>
        <w:t xml:space="preserve"> </w:t>
      </w:r>
      <w:r w:rsidRPr="00F123A7">
        <w:rPr>
          <w:b w:val="0"/>
          <w:bCs w:val="0"/>
        </w:rPr>
        <w:t>a</w:t>
      </w:r>
      <w:r>
        <w:rPr>
          <w:b w:val="0"/>
          <w:bCs w:val="0"/>
        </w:rPr>
        <w:t xml:space="preserve"> na </w:t>
      </w:r>
      <w:r w:rsidRPr="00F123A7">
        <w:rPr>
          <w:b w:val="0"/>
          <w:bCs w:val="0"/>
        </w:rPr>
        <w:t>súčasn</w:t>
      </w:r>
      <w:r>
        <w:rPr>
          <w:b w:val="0"/>
          <w:bCs w:val="0"/>
        </w:rPr>
        <w:t>é</w:t>
      </w:r>
      <w:r w:rsidRPr="00F123A7">
        <w:rPr>
          <w:b w:val="0"/>
          <w:bCs w:val="0"/>
        </w:rPr>
        <w:t xml:space="preserve"> vyrad</w:t>
      </w:r>
      <w:r>
        <w:rPr>
          <w:b w:val="0"/>
          <w:bCs w:val="0"/>
        </w:rPr>
        <w:t>enie rizikovej látky</w:t>
      </w:r>
      <w:r w:rsidRPr="00F123A7">
        <w:rPr>
          <w:b w:val="0"/>
          <w:bCs w:val="0"/>
        </w:rPr>
        <w:t xml:space="preserve"> zo zoznamu rizikových látok</w:t>
      </w:r>
      <w:r>
        <w:rPr>
          <w:b w:val="0"/>
          <w:bCs w:val="0"/>
        </w:rPr>
        <w:t>.</w:t>
      </w:r>
    </w:p>
    <w:p w14:paraId="6D9BC5A1" w14:textId="12F32C26" w:rsidR="00767EA1" w:rsidRPr="00767EA1" w:rsidRDefault="00767EA1" w:rsidP="00767EA1">
      <w:pPr>
        <w:pStyle w:val="Obyaj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A1">
        <w:rPr>
          <w:rFonts w:ascii="Times New Roman" w:hAnsi="Times New Roman" w:cs="Times New Roman"/>
          <w:sz w:val="24"/>
          <w:szCs w:val="24"/>
        </w:rPr>
        <w:t>Na skúmanie rizík psychoaktívnych látok,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7E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v </w:t>
      </w:r>
      <w:r w:rsidRPr="00767E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lovenskej republike vybudované</w:t>
      </w:r>
      <w:r w:rsidRPr="00767EA1">
        <w:rPr>
          <w:rFonts w:ascii="Times New Roman" w:hAnsi="Times New Roman" w:cs="Times New Roman"/>
          <w:sz w:val="24"/>
          <w:szCs w:val="24"/>
        </w:rPr>
        <w:t xml:space="preserve"> referenčné laboratórium</w:t>
      </w:r>
      <w:r>
        <w:rPr>
          <w:rFonts w:ascii="Times New Roman" w:hAnsi="Times New Roman" w:cs="Times New Roman"/>
          <w:sz w:val="24"/>
          <w:szCs w:val="24"/>
        </w:rPr>
        <w:t>, ktoré by sa</w:t>
      </w:r>
      <w:r w:rsidRPr="00767EA1">
        <w:rPr>
          <w:rFonts w:ascii="Times New Roman" w:hAnsi="Times New Roman" w:cs="Times New Roman"/>
          <w:sz w:val="24"/>
          <w:szCs w:val="24"/>
        </w:rPr>
        <w:t xml:space="preserve"> komplexne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A1">
        <w:rPr>
          <w:rFonts w:ascii="Times New Roman" w:hAnsi="Times New Roman" w:cs="Times New Roman"/>
          <w:sz w:val="24"/>
          <w:szCs w:val="24"/>
        </w:rPr>
        <w:t>zaobera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767EA1">
        <w:rPr>
          <w:rFonts w:ascii="Times New Roman" w:hAnsi="Times New Roman" w:cs="Times New Roman"/>
          <w:sz w:val="24"/>
          <w:szCs w:val="24"/>
        </w:rPr>
        <w:t xml:space="preserve"> skúmaním drog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767EA1">
        <w:rPr>
          <w:rFonts w:ascii="Times New Roman" w:hAnsi="Times New Roman" w:cs="Times New Roman"/>
          <w:sz w:val="24"/>
          <w:szCs w:val="24"/>
        </w:rPr>
        <w:t xml:space="preserve">aposledy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67E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ybudovanie referenčného laboratória </w:t>
      </w:r>
      <w:r w:rsidRPr="0076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plánovalo v rámci projektu presídlenia Európskej liekovej agentúry (EMA)</w:t>
      </w:r>
      <w:r w:rsidRPr="00767EA1">
        <w:rPr>
          <w:rFonts w:ascii="Times New Roman" w:hAnsi="Times New Roman" w:cs="Times New Roman"/>
          <w:sz w:val="24"/>
          <w:szCs w:val="24"/>
        </w:rPr>
        <w:t xml:space="preserve"> na Slovensk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7EA1">
        <w:rPr>
          <w:rFonts w:ascii="Times New Roman" w:hAnsi="Times New Roman" w:cs="Times New Roman"/>
          <w:sz w:val="24"/>
          <w:szCs w:val="24"/>
        </w:rPr>
        <w:t>.</w:t>
      </w:r>
    </w:p>
    <w:p w14:paraId="1CF40F93" w14:textId="77777777" w:rsidR="00E421C7" w:rsidRDefault="00E421C7" w:rsidP="00831D09">
      <w:pPr>
        <w:pStyle w:val="Nzov"/>
        <w:spacing w:line="360" w:lineRule="auto"/>
        <w:ind w:firstLine="567"/>
        <w:jc w:val="both"/>
        <w:rPr>
          <w:b w:val="0"/>
        </w:rPr>
      </w:pPr>
    </w:p>
    <w:p w14:paraId="5FA39875" w14:textId="1259D871" w:rsidR="00E421C7" w:rsidRDefault="00E421C7" w:rsidP="00E421C7">
      <w:pPr>
        <w:pStyle w:val="Nzov"/>
        <w:spacing w:line="360" w:lineRule="auto"/>
        <w:jc w:val="both"/>
        <w:rPr>
          <w:b w:val="0"/>
        </w:rPr>
      </w:pPr>
      <w:r>
        <w:rPr>
          <w:b w:val="0"/>
        </w:rPr>
        <w:t xml:space="preserve">K bodu </w:t>
      </w:r>
      <w:r w:rsidR="002B0EDE">
        <w:rPr>
          <w:b w:val="0"/>
        </w:rPr>
        <w:t>4</w:t>
      </w:r>
    </w:p>
    <w:p w14:paraId="4B37CB84" w14:textId="77777777" w:rsidR="00E421C7" w:rsidRDefault="00E421C7" w:rsidP="00831D09">
      <w:pPr>
        <w:pStyle w:val="Nzov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Za zrušovacie ustanovenie § 43 sa vkladá nový § 43a obsahujúci záverečné ustanovenie, podľa ktorého  sú </w:t>
      </w:r>
      <w:r w:rsidRPr="00B217E3">
        <w:rPr>
          <w:b w:val="0"/>
        </w:rPr>
        <w:t xml:space="preserve">právne záväzné </w:t>
      </w:r>
      <w:r>
        <w:rPr>
          <w:b w:val="0"/>
        </w:rPr>
        <w:t xml:space="preserve">preberané </w:t>
      </w:r>
      <w:r w:rsidRPr="00B217E3">
        <w:rPr>
          <w:b w:val="0"/>
        </w:rPr>
        <w:t>akty Európskej únie uvedené v prílohe č. 3.</w:t>
      </w:r>
    </w:p>
    <w:p w14:paraId="667954DF" w14:textId="682AC0EA" w:rsidR="00E421C7" w:rsidRDefault="00E421C7" w:rsidP="00831D09">
      <w:pPr>
        <w:pStyle w:val="Nzov"/>
        <w:spacing w:line="360" w:lineRule="auto"/>
        <w:ind w:firstLine="567"/>
        <w:jc w:val="both"/>
        <w:rPr>
          <w:b w:val="0"/>
        </w:rPr>
      </w:pPr>
      <w:r w:rsidRPr="00E421C7">
        <w:rPr>
          <w:b w:val="0"/>
        </w:rPr>
        <w:t xml:space="preserve"> </w:t>
      </w:r>
    </w:p>
    <w:p w14:paraId="0BF99ED0" w14:textId="402FDC00" w:rsidR="00767EA1" w:rsidRPr="00C43394" w:rsidRDefault="00E421C7" w:rsidP="00E421C7">
      <w:pPr>
        <w:pStyle w:val="Nzov"/>
        <w:spacing w:line="360" w:lineRule="auto"/>
        <w:jc w:val="both"/>
        <w:rPr>
          <w:b w:val="0"/>
        </w:rPr>
      </w:pPr>
      <w:r>
        <w:rPr>
          <w:b w:val="0"/>
        </w:rPr>
        <w:t>K bodu</w:t>
      </w:r>
      <w:r w:rsidR="00042BFA">
        <w:rPr>
          <w:b w:val="0"/>
        </w:rPr>
        <w:t xml:space="preserve"> </w:t>
      </w:r>
      <w:r w:rsidR="002B0EDE">
        <w:rPr>
          <w:b w:val="0"/>
        </w:rPr>
        <w:t>5</w:t>
      </w:r>
    </w:p>
    <w:p w14:paraId="0FD26146" w14:textId="0717BB94" w:rsidR="008F06D7" w:rsidRDefault="008F06D7" w:rsidP="008F06D7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="006325D1" w:rsidRPr="00C43394">
        <w:t xml:space="preserve"> </w:t>
      </w:r>
      <w:r>
        <w:t>dňa 14. 3.2018</w:t>
      </w:r>
      <w:r w:rsidRPr="00C43394">
        <w:t xml:space="preserve"> sa navrhuje zaradiť látku </w:t>
      </w:r>
      <w:r w:rsidRPr="008F06D7">
        <w:rPr>
          <w:bCs/>
        </w:rPr>
        <w:t>4-FIBF, pFIBF, 4-Fluórizobutyrfentanyl</w:t>
      </w:r>
      <w:r>
        <w:rPr>
          <w:bCs/>
        </w:rPr>
        <w:t xml:space="preserve"> </w:t>
      </w:r>
      <w:r w:rsidRPr="00C43394">
        <w:t>medzi omamné látky I. skupiny.</w:t>
      </w:r>
    </w:p>
    <w:p w14:paraId="14EA72DB" w14:textId="77777777" w:rsidR="008F06D7" w:rsidRPr="00C43394" w:rsidRDefault="008F06D7" w:rsidP="008F06D7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t xml:space="preserve">Podľa hodnotenia odborného výboru pre drogovú závislosť WHO (ďalej len „odborný výbor“) je </w:t>
      </w:r>
      <w:r w:rsidRPr="008F06D7">
        <w:rPr>
          <w:bCs/>
        </w:rPr>
        <w:t>4-FIBF, pFIBF, 4-Fluórizobutyrfentanyl</w:t>
      </w:r>
      <w:r w:rsidRPr="00C43394">
        <w:rPr>
          <w:color w:val="444444"/>
        </w:rPr>
        <w:t xml:space="preserve">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sa zneužíva alebo ju možno zneužívať, pričom sa môže stať verejným </w:t>
      </w:r>
      <w:r w:rsidRPr="00C43394">
        <w:rPr>
          <w:color w:val="444444"/>
        </w:rPr>
        <w:lastRenderedPageBreak/>
        <w:t xml:space="preserve">zdravotným a sociálnym problémom, čo si vyžaduje, aby podliehala medzinárodnej kontrole. </w:t>
      </w:r>
    </w:p>
    <w:p w14:paraId="0144FD6D" w14:textId="77777777" w:rsidR="003852AC" w:rsidRDefault="00767EA1" w:rsidP="00767EA1">
      <w:pPr>
        <w:pStyle w:val="Nzov"/>
        <w:spacing w:line="360" w:lineRule="auto"/>
        <w:ind w:firstLine="567"/>
        <w:jc w:val="both"/>
        <w:rPr>
          <w:rFonts w:ascii="Times" w:hAnsi="Times" w:cs="Times"/>
          <w:b w:val="0"/>
          <w:sz w:val="25"/>
          <w:szCs w:val="25"/>
        </w:rPr>
      </w:pPr>
      <w:r>
        <w:rPr>
          <w:b w:val="0"/>
        </w:rPr>
        <w:t xml:space="preserve">Na základe vykonávacieho rozhodnutia Rady (EÚ) č. 2017/2170 z 15 novembra 2017 sa do skupiny I omamných látok zaraďuje látka </w:t>
      </w:r>
      <w:r>
        <w:rPr>
          <w:b w:val="0"/>
          <w:bCs w:val="0"/>
        </w:rPr>
        <w:t>Furanyl</w:t>
      </w:r>
      <w:r w:rsidRPr="004C3DC9">
        <w:rPr>
          <w:b w:val="0"/>
          <w:bCs w:val="0"/>
        </w:rPr>
        <w:t xml:space="preserve">fentanyl, chemicky </w:t>
      </w:r>
      <w:r w:rsidRPr="004C3DC9">
        <w:rPr>
          <w:rFonts w:ascii="Times" w:hAnsi="Times" w:cs="Times"/>
          <w:b w:val="0"/>
          <w:sz w:val="25"/>
          <w:szCs w:val="25"/>
        </w:rPr>
        <w:t>N-fenyl-N-[1-(2-fenyletyl)-piperidín-4-yl]</w:t>
      </w:r>
      <w:r>
        <w:rPr>
          <w:rFonts w:ascii="Times" w:hAnsi="Times" w:cs="Times"/>
          <w:b w:val="0"/>
          <w:sz w:val="25"/>
          <w:szCs w:val="25"/>
        </w:rPr>
        <w:t>f</w:t>
      </w:r>
      <w:r w:rsidRPr="004C3DC9">
        <w:rPr>
          <w:rFonts w:ascii="Times" w:hAnsi="Times" w:cs="Times"/>
          <w:b w:val="0"/>
          <w:sz w:val="25"/>
          <w:szCs w:val="25"/>
        </w:rPr>
        <w:t>u</w:t>
      </w:r>
      <w:r>
        <w:rPr>
          <w:rFonts w:ascii="Times" w:hAnsi="Times" w:cs="Times"/>
          <w:b w:val="0"/>
          <w:sz w:val="25"/>
          <w:szCs w:val="25"/>
        </w:rPr>
        <w:t>r</w:t>
      </w:r>
      <w:r w:rsidRPr="004C3DC9">
        <w:rPr>
          <w:rFonts w:ascii="Times" w:hAnsi="Times" w:cs="Times"/>
          <w:b w:val="0"/>
          <w:sz w:val="25"/>
          <w:szCs w:val="25"/>
        </w:rPr>
        <w:t>án</w:t>
      </w:r>
      <w:r>
        <w:rPr>
          <w:rFonts w:ascii="Times" w:hAnsi="Times" w:cs="Times"/>
          <w:b w:val="0"/>
          <w:sz w:val="25"/>
          <w:szCs w:val="25"/>
        </w:rPr>
        <w:t>-2-karboxamid</w:t>
      </w:r>
      <w:r w:rsidR="0094567C">
        <w:rPr>
          <w:rFonts w:ascii="Times" w:hAnsi="Times" w:cs="Times"/>
          <w:b w:val="0"/>
          <w:sz w:val="25"/>
          <w:szCs w:val="25"/>
        </w:rPr>
        <w:t>.</w:t>
      </w:r>
    </w:p>
    <w:p w14:paraId="4EBAE51C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Furanylfentanyl nemá v členských štátoch Európskej únie uznávané využitie na účely humánnej alebo veterinárnej medicíny. Nič nenasvedčuje tomu, že by sa furanylfentanyl dal použiť na akékoľvek iné účely než ako analytický referenčný štandard a vo vedeckom výskume.</w:t>
      </w:r>
    </w:p>
    <w:p w14:paraId="72F44AF2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Furanylfentanyl sa predáva cez internet v malých a veľkoobchodných množstvách ako „chemikália na výskumné účely“, zvyčajne vo forme prášku a nosných sprejov pripravených na okamžité použitie. Podľa informácií získaných pri zabavení sa furanylfentanyl mohol predávať aj na nelegálnom trhu s opioidmi.</w:t>
      </w:r>
    </w:p>
    <w:p w14:paraId="20EC212C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Furanylfentanyl nie je uveden</w:t>
      </w:r>
      <w:r w:rsidR="005318ED">
        <w:rPr>
          <w:b w:val="0"/>
          <w:color w:val="444444"/>
        </w:rPr>
        <w:t>ý</w:t>
      </w:r>
      <w:r w:rsidRPr="0094567C">
        <w:rPr>
          <w:b w:val="0"/>
          <w:color w:val="444444"/>
        </w:rPr>
        <w:t xml:space="preserve"> v zozname látok podliehajúcich kontrole podľa Jednotného dohovoru Organizácie Spojených národov o omamných látkach z roku 1961, ani v zozname Dohovoru Organizácie Spojených národov o psychotropných látkach z roku 1971. Táto látka nie je v súčasnosti predmetom hodnotenia v rámci systému </w:t>
      </w:r>
      <w:r w:rsidR="005318ED" w:rsidRPr="0094567C">
        <w:rPr>
          <w:b w:val="0"/>
          <w:color w:val="444444"/>
        </w:rPr>
        <w:t>Organizácie Spojených národov</w:t>
      </w:r>
      <w:r w:rsidRPr="0094567C">
        <w:rPr>
          <w:b w:val="0"/>
          <w:color w:val="444444"/>
        </w:rPr>
        <w:t>.</w:t>
      </w:r>
    </w:p>
    <w:p w14:paraId="1DC1672F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Keďže desať členských štátov kontroluje furanylfentanyl podľa vnútroštátnych právnych predpisov o kontrole drog a tri členské štáty používajú na jeho kontrolu iné legislatívne opatrenia, podrobenie tejto látky kontrolným opatreniam v</w:t>
      </w:r>
      <w:r w:rsidR="005318ED">
        <w:rPr>
          <w:b w:val="0"/>
          <w:color w:val="444444"/>
        </w:rPr>
        <w:t>o všetkých členských štátoch Európskej únie</w:t>
      </w:r>
      <w:r w:rsidRPr="0094567C">
        <w:rPr>
          <w:b w:val="0"/>
          <w:color w:val="444444"/>
        </w:rPr>
        <w:t xml:space="preserve"> pom</w:t>
      </w:r>
      <w:r w:rsidR="005318ED">
        <w:rPr>
          <w:b w:val="0"/>
          <w:color w:val="444444"/>
        </w:rPr>
        <w:t>ôže</w:t>
      </w:r>
      <w:r w:rsidRPr="0094567C">
        <w:rPr>
          <w:b w:val="0"/>
          <w:color w:val="444444"/>
        </w:rPr>
        <w:t xml:space="preserve"> predísť vzniku prekážok pri cezhraničnom presadzovaní práva a justičnej spolupráci a</w:t>
      </w:r>
      <w:r w:rsidR="005318ED">
        <w:rPr>
          <w:b w:val="0"/>
          <w:color w:val="444444"/>
        </w:rPr>
        <w:t> </w:t>
      </w:r>
      <w:r w:rsidRPr="0094567C">
        <w:rPr>
          <w:b w:val="0"/>
          <w:color w:val="444444"/>
        </w:rPr>
        <w:t>prispe</w:t>
      </w:r>
      <w:r w:rsidR="005318ED">
        <w:rPr>
          <w:b w:val="0"/>
          <w:color w:val="444444"/>
        </w:rPr>
        <w:t>je k</w:t>
      </w:r>
      <w:r w:rsidRPr="0094567C">
        <w:rPr>
          <w:b w:val="0"/>
          <w:color w:val="444444"/>
        </w:rPr>
        <w:t xml:space="preserve"> ochrane </w:t>
      </w:r>
      <w:r w:rsidR="005318ED" w:rsidRPr="0094567C">
        <w:rPr>
          <w:b w:val="0"/>
          <w:color w:val="444444"/>
        </w:rPr>
        <w:t>členských štátov</w:t>
      </w:r>
      <w:r w:rsidR="005318ED">
        <w:rPr>
          <w:b w:val="0"/>
          <w:color w:val="444444"/>
        </w:rPr>
        <w:t xml:space="preserve"> Európskej únie</w:t>
      </w:r>
      <w:r w:rsidR="005318ED" w:rsidRPr="0094567C">
        <w:rPr>
          <w:b w:val="0"/>
          <w:color w:val="444444"/>
        </w:rPr>
        <w:t xml:space="preserve"> </w:t>
      </w:r>
      <w:r w:rsidRPr="0094567C">
        <w:rPr>
          <w:b w:val="0"/>
          <w:color w:val="444444"/>
        </w:rPr>
        <w:t>pred rizikami vyplývajúcimi z dostupnosti a užívania tejto látky.</w:t>
      </w:r>
    </w:p>
    <w:p w14:paraId="1FA03385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 xml:space="preserve">Zo správy o hodnotení rizika vyplýva, že mnohé z otázok spojených s furanylfentanylom vyplývajú z nedostatku údajov o rizikách pre zdravie jednotlivca, rizikách pre verejné zdravie a o spoločenských rizikách a mohli by byť zodpovedané prostredníctvom ďalšieho výskumu. Dostupné dôkazy a informácie o zdravotných a spoločenských rizikách, ktoré táto látka predstavuje, aj vzhľadom na jej podobnosti s fentanylom, poskytujú dostatočné dôvody na to, aby sa furanylfentanyl podrobil kontrolným opatreniam </w:t>
      </w:r>
      <w:r w:rsidR="005318ED" w:rsidRPr="0094567C">
        <w:rPr>
          <w:b w:val="0"/>
          <w:color w:val="444444"/>
        </w:rPr>
        <w:t>v</w:t>
      </w:r>
      <w:r w:rsidR="005318ED">
        <w:rPr>
          <w:b w:val="0"/>
          <w:color w:val="444444"/>
        </w:rPr>
        <w:t>o všetkých členských štátoch Európskej únie</w:t>
      </w:r>
      <w:r w:rsidRPr="0094567C">
        <w:rPr>
          <w:b w:val="0"/>
          <w:color w:val="444444"/>
        </w:rPr>
        <w:t>.</w:t>
      </w:r>
    </w:p>
    <w:p w14:paraId="5FE526B1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 xml:space="preserve">Päť členských štátov nahlásilo 22 úmrtí spojených s furanylfentanylom. V najmenej desiatich prípadoch z týchto úmrtí bol furanylfentanyl príčinou úmrtia </w:t>
      </w:r>
      <w:r w:rsidRPr="0094567C">
        <w:rPr>
          <w:b w:val="0"/>
          <w:color w:val="444444"/>
        </w:rPr>
        <w:lastRenderedPageBreak/>
        <w:t>alebo k nemu pravdepodobne prispel. Tri členské štáty okrem toho nahlásili 11 akútnych intoxikácií bez smrteľných následkov spojených s furanylfentanylom.</w:t>
      </w:r>
    </w:p>
    <w:p w14:paraId="750A4909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 xml:space="preserve">Informácie o možnom zapojení organizovaného zločinu do výroby, distribúcie (obchodu) a dodávania furanylfentanylu v rámci </w:t>
      </w:r>
      <w:r w:rsidR="005318ED">
        <w:rPr>
          <w:b w:val="0"/>
          <w:color w:val="444444"/>
        </w:rPr>
        <w:t>Európskej ú</w:t>
      </w:r>
      <w:r w:rsidRPr="0094567C">
        <w:rPr>
          <w:b w:val="0"/>
          <w:color w:val="444444"/>
        </w:rPr>
        <w:t>nie nie sú k dispozícii. Z dostupných údajov vyplýva, že furanylfentanyl sa vyrába v chemických podnikoch so sídlom v Číne.</w:t>
      </w:r>
    </w:p>
    <w:p w14:paraId="26A0DE53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Furanylfentanyl je syntetický opioid a je štruktúrou podobný fentanylu, kontrolovanej látke, ktorá sa bežne používa v medicíne pri celkovej anestézii počas operácií a na tlmenie bolesti. Furanylfentanyl je tiež štrukturálne príbuzný acetylfentanylu a akryloylfentanylu, ktoré boli predmetom spoločnej správy EMCDDA a Europolu v decembri 2015 a v novembri 2016.</w:t>
      </w:r>
    </w:p>
    <w:p w14:paraId="047DD9F7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</w:rPr>
      </w:pPr>
      <w:r w:rsidRPr="0094567C">
        <w:rPr>
          <w:b w:val="0"/>
          <w:color w:val="444444"/>
        </w:rPr>
        <w:t>Furanylfentanyl je dostupný v</w:t>
      </w:r>
      <w:r w:rsidR="005318ED">
        <w:rPr>
          <w:b w:val="0"/>
          <w:color w:val="444444"/>
        </w:rPr>
        <w:t> Európskej ú</w:t>
      </w:r>
      <w:r w:rsidRPr="0094567C">
        <w:rPr>
          <w:b w:val="0"/>
          <w:color w:val="444444"/>
        </w:rPr>
        <w:t xml:space="preserve">nii </w:t>
      </w:r>
      <w:r w:rsidR="005318ED">
        <w:rPr>
          <w:b w:val="0"/>
          <w:color w:val="444444"/>
        </w:rPr>
        <w:t>najmenej</w:t>
      </w:r>
      <w:r w:rsidRPr="0094567C">
        <w:rPr>
          <w:b w:val="0"/>
          <w:color w:val="444444"/>
        </w:rPr>
        <w:t xml:space="preserve"> od júna 2015 a bol zistený v 16 členských štátoch</w:t>
      </w:r>
      <w:r w:rsidR="005318ED">
        <w:rPr>
          <w:b w:val="0"/>
          <w:color w:val="444444"/>
        </w:rPr>
        <w:t xml:space="preserve"> EÚ</w:t>
      </w:r>
      <w:r w:rsidRPr="0094567C">
        <w:rPr>
          <w:b w:val="0"/>
          <w:color w:val="444444"/>
        </w:rPr>
        <w:t xml:space="preserve">. Vo väčšine prípadov bol zaistený vo forme prášku, ale aj v tekutej </w:t>
      </w:r>
      <w:r w:rsidR="005318ED">
        <w:rPr>
          <w:b w:val="0"/>
          <w:color w:val="444444"/>
        </w:rPr>
        <w:t xml:space="preserve">forme </w:t>
      </w:r>
      <w:r w:rsidRPr="0094567C">
        <w:rPr>
          <w:b w:val="0"/>
          <w:color w:val="444444"/>
        </w:rPr>
        <w:t>a </w:t>
      </w:r>
      <w:r w:rsidR="005318ED">
        <w:rPr>
          <w:b w:val="0"/>
          <w:color w:val="444444"/>
        </w:rPr>
        <w:t>vo</w:t>
      </w:r>
      <w:r w:rsidRPr="0094567C">
        <w:rPr>
          <w:b w:val="0"/>
          <w:color w:val="444444"/>
        </w:rPr>
        <w:t xml:space="preserve"> forme</w:t>
      </w:r>
      <w:r w:rsidR="005318ED">
        <w:rPr>
          <w:b w:val="0"/>
          <w:color w:val="444444"/>
        </w:rPr>
        <w:t xml:space="preserve"> tabliet</w:t>
      </w:r>
      <w:r w:rsidRPr="0094567C">
        <w:rPr>
          <w:b w:val="0"/>
          <w:color w:val="444444"/>
        </w:rPr>
        <w:t>. Odhalené množstvá sú pomerne malé. Takéto množstvá však treba posudzovať v spojitosti s účinnosťou tejto látky.</w:t>
      </w:r>
    </w:p>
    <w:p w14:paraId="6B1F9AF7" w14:textId="77777777" w:rsidR="008F06D7" w:rsidRDefault="008F06D7" w:rsidP="00767EA1">
      <w:pPr>
        <w:pStyle w:val="Nzov"/>
        <w:spacing w:line="360" w:lineRule="auto"/>
        <w:ind w:firstLine="567"/>
        <w:jc w:val="both"/>
        <w:rPr>
          <w:b w:val="0"/>
        </w:rPr>
      </w:pPr>
    </w:p>
    <w:p w14:paraId="3688E573" w14:textId="6C922505" w:rsidR="0094567C" w:rsidRPr="00B217E3" w:rsidRDefault="008F06D7" w:rsidP="00E421C7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 xml:space="preserve">K bodu </w:t>
      </w:r>
      <w:r w:rsidR="002B0EDE">
        <w:rPr>
          <w:b w:val="0"/>
        </w:rPr>
        <w:t>6</w:t>
      </w:r>
    </w:p>
    <w:p w14:paraId="3CD74006" w14:textId="3DA312AC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látku </w:t>
      </w:r>
      <w:r w:rsidRPr="009F1A88">
        <w:t xml:space="preserve">Ocfentanyl </w:t>
      </w:r>
      <w:r w:rsidRPr="00C43394">
        <w:t xml:space="preserve">medzi omamné látky </w:t>
      </w:r>
      <w:r>
        <w:t>I</w:t>
      </w:r>
      <w:r w:rsidRPr="00C43394">
        <w:t>. skupiny.</w:t>
      </w:r>
    </w:p>
    <w:p w14:paraId="28BFF874" w14:textId="77777777" w:rsidR="009F1A88" w:rsidRPr="00C43394" w:rsidRDefault="009F1A88" w:rsidP="009F1A88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t xml:space="preserve">Podľa hodnotenia odborného výboru pre drogovú závislosť WHO (ďalej len „odborný výbor“) je </w:t>
      </w:r>
      <w:r w:rsidRPr="009F1A88">
        <w:t>Ocfentanyl</w:t>
      </w:r>
      <w:r w:rsidRPr="00C43394">
        <w:rPr>
          <w:color w:val="444444"/>
        </w:rPr>
        <w:t xml:space="preserve">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</w:p>
    <w:p w14:paraId="67AB3E8C" w14:textId="77777777" w:rsidR="008F06D7" w:rsidRDefault="008F06D7" w:rsidP="00767EA1">
      <w:pPr>
        <w:pStyle w:val="Nzov"/>
        <w:spacing w:line="360" w:lineRule="auto"/>
        <w:ind w:firstLine="567"/>
        <w:jc w:val="both"/>
        <w:rPr>
          <w:b w:val="0"/>
        </w:rPr>
      </w:pPr>
    </w:p>
    <w:p w14:paraId="2F8B7AD8" w14:textId="5F52B822" w:rsidR="009F1A88" w:rsidRPr="00B217E3" w:rsidRDefault="009F1A88" w:rsidP="00E421C7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>K</w:t>
      </w:r>
      <w:r w:rsidR="00042BFA">
        <w:rPr>
          <w:b w:val="0"/>
        </w:rPr>
        <w:t> </w:t>
      </w:r>
      <w:r w:rsidRPr="00B217E3">
        <w:rPr>
          <w:b w:val="0"/>
        </w:rPr>
        <w:t>bodu</w:t>
      </w:r>
      <w:r w:rsidR="00042BFA">
        <w:rPr>
          <w:b w:val="0"/>
        </w:rPr>
        <w:t xml:space="preserve"> </w:t>
      </w:r>
      <w:r w:rsidR="002B0EDE">
        <w:rPr>
          <w:b w:val="0"/>
        </w:rPr>
        <w:t>7</w:t>
      </w:r>
    </w:p>
    <w:p w14:paraId="14F47F39" w14:textId="036ED2E3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látku </w:t>
      </w:r>
      <w:r>
        <w:t>THF-F, Tetrahydrofuranylfentanyl</w:t>
      </w:r>
      <w:r w:rsidRPr="00C43394">
        <w:t xml:space="preserve"> medzi omamné látky </w:t>
      </w:r>
      <w:r>
        <w:t>I</w:t>
      </w:r>
      <w:r w:rsidRPr="00C43394">
        <w:t>. skupiny.</w:t>
      </w:r>
    </w:p>
    <w:p w14:paraId="02C15D84" w14:textId="77777777" w:rsidR="009F1A88" w:rsidRDefault="009F1A88" w:rsidP="009F1A88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lastRenderedPageBreak/>
        <w:t xml:space="preserve">Podľa hodnotenia odborného výboru pre drogovú závislosť WHO (ďalej len „odborný výbor“) je </w:t>
      </w:r>
      <w:r>
        <w:t>THF-F, Tetrahydrofuranylfentanyl</w:t>
      </w:r>
      <w:r w:rsidRPr="00C43394">
        <w:rPr>
          <w:color w:val="444444"/>
        </w:rPr>
        <w:t xml:space="preserve">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</w:p>
    <w:p w14:paraId="4F2D4015" w14:textId="77777777" w:rsidR="009F1A88" w:rsidRDefault="009F1A88" w:rsidP="009F1A88">
      <w:pPr>
        <w:spacing w:line="360" w:lineRule="auto"/>
        <w:ind w:firstLine="708"/>
        <w:jc w:val="both"/>
        <w:rPr>
          <w:color w:val="444444"/>
        </w:rPr>
      </w:pPr>
    </w:p>
    <w:p w14:paraId="16004924" w14:textId="6644CE13" w:rsidR="009F1A88" w:rsidRPr="00B217E3" w:rsidRDefault="009F1A88" w:rsidP="00E421C7">
      <w:pPr>
        <w:spacing w:line="360" w:lineRule="auto"/>
        <w:jc w:val="both"/>
        <w:rPr>
          <w:color w:val="444444"/>
        </w:rPr>
      </w:pPr>
      <w:r w:rsidRPr="00B217E3">
        <w:rPr>
          <w:color w:val="444444"/>
        </w:rPr>
        <w:t xml:space="preserve">K bodu </w:t>
      </w:r>
      <w:r w:rsidR="002B0EDE">
        <w:rPr>
          <w:color w:val="444444"/>
        </w:rPr>
        <w:t>8</w:t>
      </w:r>
    </w:p>
    <w:p w14:paraId="24029696" w14:textId="78A2AE81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>AB-CHMINACA</w:t>
      </w:r>
      <w:r w:rsidRPr="00C43394">
        <w:t xml:space="preserve"> </w:t>
      </w:r>
      <w:r>
        <w:t xml:space="preserve"> a látku </w:t>
      </w:r>
      <w:r>
        <w:rPr>
          <w:rFonts w:ascii="Times" w:hAnsi="Times" w:cs="Times"/>
          <w:sz w:val="25"/>
          <w:szCs w:val="25"/>
        </w:rPr>
        <w:t>AB-PINACA</w:t>
      </w:r>
      <w:r w:rsidRPr="00C43394">
        <w:t xml:space="preserve"> 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skupiny.</w:t>
      </w:r>
    </w:p>
    <w:p w14:paraId="1257CE4A" w14:textId="77777777" w:rsidR="009F1A88" w:rsidRDefault="009F1A88" w:rsidP="009F1A88">
      <w:pPr>
        <w:spacing w:line="360" w:lineRule="auto"/>
        <w:ind w:firstLine="708"/>
        <w:jc w:val="both"/>
      </w:pPr>
    </w:p>
    <w:p w14:paraId="4D919F89" w14:textId="470BFD3F" w:rsidR="009F1A88" w:rsidRPr="00B217E3" w:rsidRDefault="009F1A88" w:rsidP="00E421C7">
      <w:pPr>
        <w:spacing w:line="360" w:lineRule="auto"/>
        <w:jc w:val="both"/>
      </w:pPr>
      <w:r w:rsidRPr="00B217E3">
        <w:t xml:space="preserve">K bodu </w:t>
      </w:r>
      <w:r w:rsidR="002B0EDE">
        <w:t>9</w:t>
      </w:r>
    </w:p>
    <w:p w14:paraId="66A21C84" w14:textId="31FF3992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 w:rsidR="00163F75">
        <w:t xml:space="preserve">4-FA,  </w:t>
      </w:r>
      <w:r w:rsidR="00163F75" w:rsidRPr="00C378F6">
        <w:t>4-Fluóramfetamín</w:t>
      </w:r>
      <w:r w:rsidR="00163F75">
        <w:t xml:space="preserve"> </w:t>
      </w:r>
      <w:r>
        <w:t xml:space="preserve">a látku </w:t>
      </w:r>
      <w:r w:rsidR="00163F75" w:rsidRPr="00E95874">
        <w:t>5F-ADB/5F-MDMB-PINACA</w:t>
      </w:r>
      <w:r w:rsidR="00163F75" w:rsidRPr="00C43394">
        <w:t xml:space="preserve">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 w:rsidR="00163F75">
        <w:t>.</w:t>
      </w:r>
    </w:p>
    <w:p w14:paraId="742CD44F" w14:textId="77777777" w:rsidR="00163F75" w:rsidRDefault="00163F75" w:rsidP="009F1A88">
      <w:pPr>
        <w:spacing w:line="360" w:lineRule="auto"/>
        <w:ind w:firstLine="708"/>
        <w:jc w:val="both"/>
      </w:pPr>
    </w:p>
    <w:p w14:paraId="76D9CB2A" w14:textId="68BEFE54" w:rsidR="00163F75" w:rsidRPr="00B217E3" w:rsidRDefault="00163F75" w:rsidP="00E421C7">
      <w:pPr>
        <w:spacing w:line="360" w:lineRule="auto"/>
        <w:jc w:val="both"/>
      </w:pPr>
      <w:r w:rsidRPr="00B217E3">
        <w:t xml:space="preserve">K bodu </w:t>
      </w:r>
      <w:r w:rsidR="002B0EDE">
        <w:t>10</w:t>
      </w:r>
    </w:p>
    <w:p w14:paraId="1C53FCD3" w14:textId="022FD2E8" w:rsidR="00163F75" w:rsidRDefault="00163F75" w:rsidP="00163F75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 xml:space="preserve">5-F-PB-22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>.</w:t>
      </w:r>
    </w:p>
    <w:p w14:paraId="5D16FA26" w14:textId="77777777" w:rsidR="00163F75" w:rsidRDefault="00163F75" w:rsidP="00163F75">
      <w:pPr>
        <w:spacing w:line="360" w:lineRule="auto"/>
        <w:ind w:firstLine="708"/>
        <w:jc w:val="both"/>
      </w:pPr>
    </w:p>
    <w:p w14:paraId="5273B827" w14:textId="673594ED" w:rsidR="002B0EDE" w:rsidRDefault="00163F75" w:rsidP="00B217E3">
      <w:pPr>
        <w:spacing w:line="360" w:lineRule="auto"/>
        <w:jc w:val="both"/>
      </w:pPr>
      <w:r w:rsidRPr="00B217E3">
        <w:t xml:space="preserve">K bodu </w:t>
      </w:r>
      <w:r w:rsidR="00042BFA">
        <w:t>1</w:t>
      </w:r>
      <w:r w:rsidR="002B0EDE">
        <w:t>1</w:t>
      </w:r>
    </w:p>
    <w:p w14:paraId="494504E4" w14:textId="0D9F4083" w:rsidR="00163F75" w:rsidRDefault="00163F75" w:rsidP="00B217E3">
      <w:pPr>
        <w:spacing w:line="360" w:lineRule="auto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 xml:space="preserve">UR-144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>.</w:t>
      </w:r>
    </w:p>
    <w:p w14:paraId="77D98614" w14:textId="77777777" w:rsidR="00163F75" w:rsidRDefault="00163F75" w:rsidP="00163F75">
      <w:pPr>
        <w:spacing w:line="360" w:lineRule="auto"/>
        <w:ind w:firstLine="708"/>
        <w:jc w:val="both"/>
      </w:pPr>
    </w:p>
    <w:p w14:paraId="6EF992A4" w14:textId="673C3804" w:rsidR="00163F75" w:rsidRPr="00B217E3" w:rsidRDefault="00163F75" w:rsidP="00E421C7">
      <w:pPr>
        <w:spacing w:line="360" w:lineRule="auto"/>
        <w:jc w:val="both"/>
      </w:pPr>
      <w:r w:rsidRPr="00B217E3">
        <w:t>K bodu 1</w:t>
      </w:r>
      <w:r w:rsidR="002B0EDE">
        <w:t>2</w:t>
      </w:r>
    </w:p>
    <w:p w14:paraId="777B94A3" w14:textId="0C3DD230" w:rsidR="00163F75" w:rsidRDefault="00163F75" w:rsidP="00163F75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>Carfentanyl</w:t>
      </w:r>
      <w:r w:rsidRPr="00C43394">
        <w:t xml:space="preserve"> medzi </w:t>
      </w:r>
      <w:r>
        <w:t>omam</w:t>
      </w:r>
      <w:r w:rsidRPr="00C43394">
        <w:t xml:space="preserve">né látky </w:t>
      </w:r>
      <w:r>
        <w:t>II</w:t>
      </w:r>
      <w:r w:rsidRPr="00C43394">
        <w:t>. skupiny</w:t>
      </w:r>
      <w:r>
        <w:t>.</w:t>
      </w:r>
    </w:p>
    <w:p w14:paraId="5B02232E" w14:textId="77777777" w:rsidR="00163F75" w:rsidRDefault="00163F75" w:rsidP="00163F75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lastRenderedPageBreak/>
        <w:t xml:space="preserve">Podľa hodnotenia odborného výboru pre drogovú závislosť WHO (ďalej len „odborný výbor“) je </w:t>
      </w:r>
      <w:r>
        <w:t>Carfentanyl</w:t>
      </w:r>
      <w:r w:rsidRPr="00C43394">
        <w:t xml:space="preserve"> </w:t>
      </w:r>
      <w:r w:rsidRPr="00C43394">
        <w:rPr>
          <w:color w:val="444444"/>
        </w:rPr>
        <w:t xml:space="preserve">látka, ktorú možno zneužívať podobným spôsobom a ktorá môže mať podobné negatívne účinky na zdravie ako kontrolované opioidy, ako je morfín a fentanyl. Okrem toho možno uvedenú látku konvertovať na fentanyl. Uvedená látka </w:t>
      </w:r>
      <w:r>
        <w:rPr>
          <w:color w:val="444444"/>
        </w:rPr>
        <w:t>sa používa vo veterinárnej medicíne pri liečbe veľkých zvierat</w:t>
      </w:r>
      <w:r w:rsidRPr="00C43394">
        <w:rPr>
          <w:color w:val="444444"/>
        </w:rPr>
        <w:t xml:space="preserve">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  <w:r>
        <w:rPr>
          <w:color w:val="444444"/>
        </w:rPr>
        <w:t>Vzhľadom na možné využitie carfentanylu v lieku na veterinárne použitie navrhuje sa zaradiť medzi omamné látky II. skupiny, čo znamená, že veterinárny lekár bude povinný predpísať takýto veterinárny liek na tlačiv</w:t>
      </w:r>
      <w:r w:rsidR="00C7101E">
        <w:rPr>
          <w:color w:val="444444"/>
        </w:rPr>
        <w:t>e</w:t>
      </w:r>
      <w:r>
        <w:rPr>
          <w:color w:val="444444"/>
        </w:rPr>
        <w:t xml:space="preserve"> so šikmým modrým pruhom, ktoré je podľa zákona č. 362/2011 Z. z.</w:t>
      </w:r>
      <w:r w:rsidR="00C7101E">
        <w:rPr>
          <w:color w:val="444444"/>
        </w:rPr>
        <w:t xml:space="preserve"> </w:t>
      </w:r>
      <w:r>
        <w:rPr>
          <w:color w:val="444444"/>
        </w:rPr>
        <w:t xml:space="preserve">o liekoch a zdravotníckych pomôckach </w:t>
      </w:r>
      <w:r w:rsidR="00C7101E">
        <w:rPr>
          <w:color w:val="444444"/>
        </w:rPr>
        <w:t>určené na predpisovanie liekov s obsahom omamnej látky II. skupiny alebo psychotropnej látky II. skupiny.</w:t>
      </w:r>
    </w:p>
    <w:p w14:paraId="7C0C8030" w14:textId="77777777" w:rsidR="00C7101E" w:rsidRDefault="00C7101E" w:rsidP="00163F75">
      <w:pPr>
        <w:spacing w:line="360" w:lineRule="auto"/>
        <w:ind w:firstLine="708"/>
        <w:jc w:val="both"/>
        <w:rPr>
          <w:color w:val="444444"/>
        </w:rPr>
      </w:pPr>
    </w:p>
    <w:p w14:paraId="069EA189" w14:textId="1C729EB9" w:rsidR="00C7101E" w:rsidRPr="00B217E3" w:rsidRDefault="00C7101E" w:rsidP="00967461">
      <w:pPr>
        <w:spacing w:line="360" w:lineRule="auto"/>
        <w:jc w:val="both"/>
        <w:rPr>
          <w:color w:val="444444"/>
        </w:rPr>
      </w:pPr>
      <w:r w:rsidRPr="00B217E3">
        <w:rPr>
          <w:color w:val="444444"/>
        </w:rPr>
        <w:t>K bodu 1</w:t>
      </w:r>
      <w:r w:rsidR="002B0EDE">
        <w:rPr>
          <w:color w:val="444444"/>
        </w:rPr>
        <w:t>3</w:t>
      </w:r>
    </w:p>
    <w:p w14:paraId="0EA7AE0F" w14:textId="743FD9DF" w:rsidR="00C7101E" w:rsidRDefault="00C7101E" w:rsidP="00C7101E">
      <w:pPr>
        <w:spacing w:line="360" w:lineRule="auto"/>
        <w:ind w:firstLine="708"/>
        <w:jc w:val="both"/>
      </w:pPr>
      <w:r>
        <w:rPr>
          <w:color w:val="444444"/>
        </w:rPr>
        <w:t xml:space="preserve">Navrhuje sa vypustenie látky </w:t>
      </w:r>
      <w:r w:rsidRPr="00C378F6">
        <w:t>4-Fluóramfetamín</w:t>
      </w:r>
      <w:r>
        <w:t xml:space="preserve"> zo zoznamu psychotropných látok II. skupiny, pretože na </w:t>
      </w:r>
      <w:r w:rsidRPr="00C43394">
        <w:t>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 w:rsidRPr="00C378F6">
        <w:t>4-Fluóramfetamín</w:t>
      </w:r>
      <w:r>
        <w:t xml:space="preserve">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 xml:space="preserve"> (viď bod 9), pretože nemá využitie ani v humánnej medicíne ani vo veterinárnej medicíne.</w:t>
      </w:r>
    </w:p>
    <w:p w14:paraId="51CD2C25" w14:textId="77777777" w:rsidR="00C7101E" w:rsidRDefault="00C7101E" w:rsidP="00163F75">
      <w:pPr>
        <w:spacing w:line="360" w:lineRule="auto"/>
        <w:ind w:firstLine="708"/>
        <w:jc w:val="both"/>
        <w:rPr>
          <w:color w:val="444444"/>
        </w:rPr>
      </w:pPr>
    </w:p>
    <w:p w14:paraId="47237835" w14:textId="0EE5E43A" w:rsidR="003852AC" w:rsidRPr="00B217E3" w:rsidRDefault="008F06D7" w:rsidP="00967461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>K bodu 1</w:t>
      </w:r>
      <w:r w:rsidR="002B0EDE">
        <w:rPr>
          <w:b w:val="0"/>
        </w:rPr>
        <w:t>4</w:t>
      </w:r>
    </w:p>
    <w:p w14:paraId="36C77141" w14:textId="77777777" w:rsidR="003852AC" w:rsidRPr="00C43394" w:rsidRDefault="003852AC" w:rsidP="001437EC">
      <w:pPr>
        <w:pStyle w:val="Odsekzoznamu"/>
        <w:spacing w:after="200" w:line="360" w:lineRule="auto"/>
        <w:ind w:left="0" w:firstLine="708"/>
        <w:jc w:val="both"/>
      </w:pPr>
      <w:r w:rsidRPr="00C43394">
        <w:t>Z</w:t>
      </w:r>
      <w:r w:rsidR="005318ED">
        <w:t>ákon sa dopĺňa novou prílohou č. 3. Ide o transpozičnú prílohu, v ktorej sa odkazuje na preberané právne záväzne akty Európskej únie.</w:t>
      </w:r>
    </w:p>
    <w:p w14:paraId="1C50A8F3" w14:textId="77777777" w:rsidR="005F32AD" w:rsidRPr="00C43394" w:rsidRDefault="005F32AD" w:rsidP="005F32AD">
      <w:pPr>
        <w:tabs>
          <w:tab w:val="left" w:pos="720"/>
          <w:tab w:val="left" w:pos="8520"/>
        </w:tabs>
        <w:suppressAutoHyphens/>
        <w:rPr>
          <w:color w:val="000000"/>
          <w:bdr w:val="none" w:sz="0" w:space="0" w:color="auto" w:frame="1"/>
          <w:lang w:eastAsia="en-GB"/>
        </w:rPr>
      </w:pPr>
      <w:r w:rsidRPr="00C43394">
        <w:rPr>
          <w:color w:val="000000"/>
          <w:bdr w:val="none" w:sz="0" w:space="0" w:color="auto" w:frame="1"/>
          <w:lang w:eastAsia="en-GB"/>
        </w:rPr>
        <w:t> </w:t>
      </w:r>
    </w:p>
    <w:p w14:paraId="5D6E400D" w14:textId="77777777" w:rsidR="005F32AD" w:rsidRPr="00C43394" w:rsidRDefault="005F32AD" w:rsidP="005F32AD">
      <w:pPr>
        <w:pStyle w:val="Nzov"/>
        <w:spacing w:line="360" w:lineRule="auto"/>
        <w:jc w:val="both"/>
      </w:pPr>
      <w:r w:rsidRPr="00C43394">
        <w:t>K čl. II</w:t>
      </w:r>
    </w:p>
    <w:p w14:paraId="699C2164" w14:textId="1A37006B" w:rsidR="005F32AD" w:rsidRDefault="005F32AD" w:rsidP="00D55866">
      <w:pPr>
        <w:pStyle w:val="Default"/>
        <w:spacing w:line="360" w:lineRule="auto"/>
        <w:ind w:firstLine="708"/>
        <w:jc w:val="both"/>
      </w:pPr>
      <w:r w:rsidRPr="00C43394">
        <w:rPr>
          <w:rFonts w:ascii="Times New Roman" w:hAnsi="Times New Roman" w:cs="Times New Roman"/>
        </w:rPr>
        <w:t>Dátum účinnosti sa navrhuje s prihliadnutím na predpokladanú dĺžku legislatívneho procesu</w:t>
      </w:r>
      <w:r w:rsidR="00DD1228">
        <w:rPr>
          <w:rFonts w:ascii="Times New Roman" w:hAnsi="Times New Roman" w:cs="Times New Roman"/>
        </w:rPr>
        <w:t xml:space="preserve"> a stanovený termín transpozície smernice</w:t>
      </w:r>
      <w:r w:rsidR="00DD1228" w:rsidRPr="00DD1228">
        <w:rPr>
          <w:rFonts w:ascii="Times New Roman" w:hAnsi="Times New Roman" w:cs="Times New Roman"/>
          <w:bCs/>
          <w:lang w:eastAsia="sk-SK"/>
        </w:rPr>
        <w:t xml:space="preserve"> </w:t>
      </w:r>
      <w:r w:rsidR="00DD1228" w:rsidRPr="00C2424A">
        <w:rPr>
          <w:rFonts w:ascii="Times New Roman" w:hAnsi="Times New Roman" w:cs="Times New Roman"/>
          <w:bCs/>
          <w:lang w:eastAsia="sk-SK"/>
        </w:rPr>
        <w:t>Európskeho parlamentu a Rady (EÚ) 2017/2103 z 15. novembra 2017</w:t>
      </w:r>
      <w:bookmarkStart w:id="0" w:name="_GoBack"/>
      <w:bookmarkEnd w:id="0"/>
      <w:r w:rsidR="00DD1228">
        <w:rPr>
          <w:rFonts w:ascii="Times New Roman" w:hAnsi="Times New Roman" w:cs="Times New Roman"/>
        </w:rPr>
        <w:t xml:space="preserve">. </w:t>
      </w:r>
    </w:p>
    <w:p w14:paraId="25B9DE09" w14:textId="77777777" w:rsidR="005F32AD" w:rsidRDefault="005F32AD" w:rsidP="005F32AD">
      <w:pPr>
        <w:spacing w:line="360" w:lineRule="auto"/>
        <w:jc w:val="center"/>
      </w:pPr>
    </w:p>
    <w:p w14:paraId="6687B78A" w14:textId="77777777" w:rsidR="002E3065" w:rsidRDefault="002E3065" w:rsidP="002E3065">
      <w:pPr>
        <w:pStyle w:val="Nzov"/>
        <w:jc w:val="both"/>
        <w:rPr>
          <w:b w:val="0"/>
        </w:rPr>
      </w:pPr>
    </w:p>
    <w:p w14:paraId="7F9912C7" w14:textId="77777777" w:rsidR="002E3065" w:rsidRDefault="002E3065" w:rsidP="002E3065">
      <w:pPr>
        <w:pStyle w:val="Nzov"/>
        <w:jc w:val="both"/>
        <w:rPr>
          <w:b w:val="0"/>
        </w:rPr>
      </w:pPr>
    </w:p>
    <w:p w14:paraId="2E7260D8" w14:textId="77777777" w:rsidR="002A4F4D" w:rsidRPr="00402724" w:rsidRDefault="002A4F4D" w:rsidP="002E3065">
      <w:pPr>
        <w:pStyle w:val="Nzov"/>
        <w:jc w:val="both"/>
        <w:rPr>
          <w:b w:val="0"/>
        </w:rPr>
      </w:pPr>
    </w:p>
    <w:p w14:paraId="74F9FE61" w14:textId="77777777" w:rsidR="002E3065" w:rsidRDefault="002E3065" w:rsidP="002E3065">
      <w:pPr>
        <w:pStyle w:val="Nzov"/>
        <w:jc w:val="both"/>
        <w:rPr>
          <w:b w:val="0"/>
        </w:rPr>
      </w:pPr>
    </w:p>
    <w:p w14:paraId="35A0CD1E" w14:textId="77777777" w:rsidR="002E3065" w:rsidRPr="00402724" w:rsidRDefault="002E3065" w:rsidP="002E3065">
      <w:pPr>
        <w:pStyle w:val="Nzov"/>
        <w:jc w:val="both"/>
        <w:rPr>
          <w:b w:val="0"/>
        </w:rPr>
      </w:pPr>
    </w:p>
    <w:p w14:paraId="74E9D7BB" w14:textId="77777777" w:rsidR="002E3065" w:rsidRPr="00402724" w:rsidRDefault="002E3065" w:rsidP="002E3065">
      <w:pPr>
        <w:pStyle w:val="Nzov"/>
        <w:jc w:val="both"/>
        <w:rPr>
          <w:b w:val="0"/>
        </w:rPr>
      </w:pPr>
    </w:p>
    <w:p w14:paraId="4A0606FC" w14:textId="77777777" w:rsidR="002E3065" w:rsidRPr="00402724" w:rsidRDefault="002E3065" w:rsidP="002E3065">
      <w:pPr>
        <w:pStyle w:val="Nzov"/>
        <w:jc w:val="both"/>
      </w:pPr>
    </w:p>
    <w:p w14:paraId="6446DAAB" w14:textId="77777777" w:rsidR="002E3065" w:rsidRPr="00402724" w:rsidRDefault="002E3065" w:rsidP="002E3065">
      <w:pPr>
        <w:pStyle w:val="Nzov"/>
        <w:jc w:val="both"/>
      </w:pPr>
    </w:p>
    <w:p w14:paraId="0D3FCC42" w14:textId="77777777" w:rsidR="002E3065" w:rsidRPr="00402724" w:rsidRDefault="002E3065" w:rsidP="002E3065">
      <w:pPr>
        <w:pStyle w:val="Nzov"/>
        <w:ind w:firstLine="5387"/>
        <w:jc w:val="both"/>
        <w:rPr>
          <w:b w:val="0"/>
        </w:rPr>
      </w:pPr>
    </w:p>
    <w:p w14:paraId="638BB64C" w14:textId="77777777" w:rsidR="002E3065" w:rsidRDefault="002E3065" w:rsidP="002E3065">
      <w:pPr>
        <w:pStyle w:val="Nzov"/>
        <w:ind w:firstLine="5387"/>
        <w:jc w:val="both"/>
        <w:rPr>
          <w:b w:val="0"/>
        </w:rPr>
      </w:pPr>
    </w:p>
    <w:p w14:paraId="01DD75E7" w14:textId="77777777" w:rsidR="002A4F4D" w:rsidRDefault="002A4F4D" w:rsidP="002E3065">
      <w:pPr>
        <w:pStyle w:val="Nzov"/>
        <w:ind w:firstLine="5387"/>
        <w:jc w:val="both"/>
        <w:rPr>
          <w:b w:val="0"/>
        </w:rPr>
      </w:pPr>
    </w:p>
    <w:p w14:paraId="2800CECD" w14:textId="77777777" w:rsidR="002A4F4D" w:rsidRPr="00402724" w:rsidRDefault="002A4F4D" w:rsidP="002E3065">
      <w:pPr>
        <w:pStyle w:val="Nzov"/>
        <w:ind w:firstLine="5387"/>
        <w:jc w:val="both"/>
        <w:rPr>
          <w:b w:val="0"/>
        </w:rPr>
      </w:pPr>
    </w:p>
    <w:p w14:paraId="420A4493" w14:textId="77777777" w:rsidR="002E3065" w:rsidRPr="00402724" w:rsidRDefault="002E3065" w:rsidP="002E3065">
      <w:pPr>
        <w:pStyle w:val="Nzov"/>
        <w:ind w:firstLine="5387"/>
        <w:jc w:val="both"/>
        <w:rPr>
          <w:b w:val="0"/>
        </w:rPr>
      </w:pPr>
    </w:p>
    <w:p w14:paraId="1EF58B6E" w14:textId="77777777" w:rsidR="002E3065" w:rsidRPr="00402724" w:rsidRDefault="002E3065" w:rsidP="002E3065">
      <w:pPr>
        <w:pStyle w:val="Nzov"/>
        <w:ind w:firstLine="5387"/>
        <w:jc w:val="both"/>
        <w:rPr>
          <w:b w:val="0"/>
        </w:rPr>
      </w:pPr>
    </w:p>
    <w:p w14:paraId="4CF2AE23" w14:textId="77777777" w:rsidR="00B94C11" w:rsidRDefault="00B94C11"/>
    <w:sectPr w:rsidR="00B94C11" w:rsidSect="004B684C">
      <w:footerReference w:type="default" r:id="rId8"/>
      <w:pgSz w:w="11906" w:h="16838"/>
      <w:pgMar w:top="1417" w:right="1417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C795" w14:textId="77777777" w:rsidR="002F3AB7" w:rsidRDefault="002F3AB7" w:rsidP="004B684C">
      <w:r>
        <w:separator/>
      </w:r>
    </w:p>
  </w:endnote>
  <w:endnote w:type="continuationSeparator" w:id="0">
    <w:p w14:paraId="7CD3A731" w14:textId="77777777" w:rsidR="002F3AB7" w:rsidRDefault="002F3AB7" w:rsidP="004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16E0" w14:textId="7128FF2E" w:rsidR="004B684C" w:rsidRDefault="004B684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2716E">
      <w:rPr>
        <w:noProof/>
      </w:rPr>
      <w:t>7</w:t>
    </w:r>
    <w:r>
      <w:fldChar w:fldCharType="end"/>
    </w:r>
  </w:p>
  <w:p w14:paraId="497880D1" w14:textId="77777777" w:rsidR="004B684C" w:rsidRDefault="004B68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E26A" w14:textId="77777777" w:rsidR="002F3AB7" w:rsidRDefault="002F3AB7" w:rsidP="004B684C">
      <w:r>
        <w:separator/>
      </w:r>
    </w:p>
  </w:footnote>
  <w:footnote w:type="continuationSeparator" w:id="0">
    <w:p w14:paraId="2C6A2D82" w14:textId="77777777" w:rsidR="002F3AB7" w:rsidRDefault="002F3AB7" w:rsidP="004B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CF9"/>
    <w:multiLevelType w:val="hybridMultilevel"/>
    <w:tmpl w:val="4E8CCC64"/>
    <w:lvl w:ilvl="0" w:tplc="D43A4F7C">
      <w:start w:val="1"/>
      <w:numFmt w:val="decimal"/>
      <w:lvlText w:val="K bodu %1"/>
      <w:lvlJc w:val="left"/>
      <w:pPr>
        <w:ind w:left="1353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4A752EBD"/>
    <w:multiLevelType w:val="hybridMultilevel"/>
    <w:tmpl w:val="3A148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D"/>
    <w:rsid w:val="000209F3"/>
    <w:rsid w:val="00023961"/>
    <w:rsid w:val="00035E4A"/>
    <w:rsid w:val="00042BFA"/>
    <w:rsid w:val="00045AF8"/>
    <w:rsid w:val="00053969"/>
    <w:rsid w:val="00081E35"/>
    <w:rsid w:val="000A3DFF"/>
    <w:rsid w:val="000D1F2C"/>
    <w:rsid w:val="0013037A"/>
    <w:rsid w:val="001437EC"/>
    <w:rsid w:val="001528CA"/>
    <w:rsid w:val="00163F75"/>
    <w:rsid w:val="00166205"/>
    <w:rsid w:val="001718C8"/>
    <w:rsid w:val="00197FD0"/>
    <w:rsid w:val="001B5AB1"/>
    <w:rsid w:val="001F1F3B"/>
    <w:rsid w:val="002212F0"/>
    <w:rsid w:val="0022680F"/>
    <w:rsid w:val="0023548E"/>
    <w:rsid w:val="00277AE2"/>
    <w:rsid w:val="00297DAB"/>
    <w:rsid w:val="002A228E"/>
    <w:rsid w:val="002A4F4D"/>
    <w:rsid w:val="002B0EDE"/>
    <w:rsid w:val="002B6319"/>
    <w:rsid w:val="002C2C0F"/>
    <w:rsid w:val="002C3FB0"/>
    <w:rsid w:val="002E3065"/>
    <w:rsid w:val="002F121E"/>
    <w:rsid w:val="002F195C"/>
    <w:rsid w:val="002F3AB7"/>
    <w:rsid w:val="00304091"/>
    <w:rsid w:val="00327069"/>
    <w:rsid w:val="003546B7"/>
    <w:rsid w:val="003852AC"/>
    <w:rsid w:val="003975E2"/>
    <w:rsid w:val="003B2691"/>
    <w:rsid w:val="003B4D34"/>
    <w:rsid w:val="003C5399"/>
    <w:rsid w:val="003E6BBB"/>
    <w:rsid w:val="003E7AFA"/>
    <w:rsid w:val="00402724"/>
    <w:rsid w:val="00404891"/>
    <w:rsid w:val="0041173B"/>
    <w:rsid w:val="0047556C"/>
    <w:rsid w:val="0048360B"/>
    <w:rsid w:val="004B684C"/>
    <w:rsid w:val="004C3EA6"/>
    <w:rsid w:val="004F098B"/>
    <w:rsid w:val="0052716E"/>
    <w:rsid w:val="005318ED"/>
    <w:rsid w:val="00544CE5"/>
    <w:rsid w:val="005451E7"/>
    <w:rsid w:val="00572CA1"/>
    <w:rsid w:val="005B5272"/>
    <w:rsid w:val="005D7BE7"/>
    <w:rsid w:val="005E2F0A"/>
    <w:rsid w:val="005F32AD"/>
    <w:rsid w:val="005F42F8"/>
    <w:rsid w:val="00614895"/>
    <w:rsid w:val="006325D1"/>
    <w:rsid w:val="0065518E"/>
    <w:rsid w:val="00680BF2"/>
    <w:rsid w:val="00694315"/>
    <w:rsid w:val="006E2A3D"/>
    <w:rsid w:val="00755113"/>
    <w:rsid w:val="007678E2"/>
    <w:rsid w:val="00767EA1"/>
    <w:rsid w:val="007B7C81"/>
    <w:rsid w:val="007F447C"/>
    <w:rsid w:val="007F6983"/>
    <w:rsid w:val="00805AF4"/>
    <w:rsid w:val="00831AC3"/>
    <w:rsid w:val="00831D09"/>
    <w:rsid w:val="00834A49"/>
    <w:rsid w:val="00874FA1"/>
    <w:rsid w:val="008A1606"/>
    <w:rsid w:val="008A5B09"/>
    <w:rsid w:val="008D711C"/>
    <w:rsid w:val="008F06D7"/>
    <w:rsid w:val="0092208F"/>
    <w:rsid w:val="009253BA"/>
    <w:rsid w:val="00927DC6"/>
    <w:rsid w:val="0094567C"/>
    <w:rsid w:val="00954D26"/>
    <w:rsid w:val="009574BD"/>
    <w:rsid w:val="00967461"/>
    <w:rsid w:val="009F1A88"/>
    <w:rsid w:val="00A25184"/>
    <w:rsid w:val="00A54A4A"/>
    <w:rsid w:val="00A931D4"/>
    <w:rsid w:val="00A972AF"/>
    <w:rsid w:val="00AC1FBD"/>
    <w:rsid w:val="00AE77AC"/>
    <w:rsid w:val="00B217E3"/>
    <w:rsid w:val="00B72277"/>
    <w:rsid w:val="00B90748"/>
    <w:rsid w:val="00B94C11"/>
    <w:rsid w:val="00BA6DCE"/>
    <w:rsid w:val="00BB4264"/>
    <w:rsid w:val="00C43394"/>
    <w:rsid w:val="00C5641C"/>
    <w:rsid w:val="00C7101E"/>
    <w:rsid w:val="00CB6319"/>
    <w:rsid w:val="00CC1CC8"/>
    <w:rsid w:val="00D24CC1"/>
    <w:rsid w:val="00D41E0A"/>
    <w:rsid w:val="00D55866"/>
    <w:rsid w:val="00D6620F"/>
    <w:rsid w:val="00D722A2"/>
    <w:rsid w:val="00D95CF3"/>
    <w:rsid w:val="00DD1228"/>
    <w:rsid w:val="00DE73F6"/>
    <w:rsid w:val="00DF7E7A"/>
    <w:rsid w:val="00E07EF6"/>
    <w:rsid w:val="00E34249"/>
    <w:rsid w:val="00E36D73"/>
    <w:rsid w:val="00E37EE3"/>
    <w:rsid w:val="00E421C7"/>
    <w:rsid w:val="00E44FBE"/>
    <w:rsid w:val="00E55154"/>
    <w:rsid w:val="00E6273A"/>
    <w:rsid w:val="00ED5CDF"/>
    <w:rsid w:val="00ED7166"/>
    <w:rsid w:val="00EF7501"/>
    <w:rsid w:val="00F154F4"/>
    <w:rsid w:val="00F43C17"/>
    <w:rsid w:val="00F847A8"/>
    <w:rsid w:val="00FA1862"/>
    <w:rsid w:val="00FC461D"/>
    <w:rsid w:val="00FD3652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8F73E"/>
  <w14:defaultImageDpi w14:val="0"/>
  <w15:docId w15:val="{CFC28025-5024-4BE4-B59C-D1F46CE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F32A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5F32A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5F32AD"/>
    <w:pPr>
      <w:ind w:left="720"/>
      <w:contextualSpacing/>
    </w:pPr>
  </w:style>
  <w:style w:type="paragraph" w:customStyle="1" w:styleId="Default">
    <w:name w:val="Default"/>
    <w:rsid w:val="005F32A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F32AD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4B68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684C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B68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684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8A1606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A1606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67EA1"/>
    <w:rPr>
      <w:rFonts w:ascii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67EA1"/>
    <w:rPr>
      <w:rFonts w:ascii="Calibri" w:hAnsi="Calibri" w:cs="Consolas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045A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A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AF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AF8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6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6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9630">
                                                      <w:marLeft w:val="810"/>
                                                      <w:marRight w:val="81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9632">
                                                          <w:marLeft w:val="4005"/>
                                                          <w:marRight w:val="8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7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8CA2-5465-47FC-9957-345AF962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Mazancová Tatiana</cp:lastModifiedBy>
  <cp:revision>5</cp:revision>
  <cp:lastPrinted>2017-06-22T07:41:00Z</cp:lastPrinted>
  <dcterms:created xsi:type="dcterms:W3CDTF">2018-05-03T13:58:00Z</dcterms:created>
  <dcterms:modified xsi:type="dcterms:W3CDTF">2018-05-09T09:09:00Z</dcterms:modified>
</cp:coreProperties>
</file>