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B5BB8" w14:textId="77777777" w:rsidR="005F32AD" w:rsidRPr="00C43394" w:rsidRDefault="005F32AD" w:rsidP="005F32AD">
      <w:pPr>
        <w:pStyle w:val="Nzov"/>
        <w:spacing w:line="360" w:lineRule="auto"/>
        <w:jc w:val="both"/>
      </w:pPr>
      <w:r w:rsidRPr="00C43394">
        <w:t>Osobitná časť</w:t>
      </w:r>
    </w:p>
    <w:p w14:paraId="371A9336" w14:textId="77777777" w:rsidR="005F32AD" w:rsidRPr="00C43394" w:rsidRDefault="005F32AD" w:rsidP="005F32AD">
      <w:pPr>
        <w:pStyle w:val="Nzov"/>
        <w:spacing w:line="360" w:lineRule="auto"/>
        <w:jc w:val="both"/>
      </w:pPr>
    </w:p>
    <w:p w14:paraId="118E51A4" w14:textId="77777777" w:rsidR="005F32AD" w:rsidRPr="00C43394" w:rsidRDefault="005F32AD" w:rsidP="005F32AD">
      <w:pPr>
        <w:pStyle w:val="Nzov"/>
        <w:spacing w:line="360" w:lineRule="auto"/>
        <w:jc w:val="both"/>
      </w:pPr>
      <w:r w:rsidRPr="00C43394">
        <w:t>K čl. I</w:t>
      </w:r>
    </w:p>
    <w:p w14:paraId="274D2763" w14:textId="77777777" w:rsidR="00C61580" w:rsidRDefault="00C61580" w:rsidP="005F32AD">
      <w:pPr>
        <w:pStyle w:val="Nzov"/>
        <w:spacing w:line="360" w:lineRule="auto"/>
        <w:jc w:val="both"/>
        <w:rPr>
          <w:b w:val="0"/>
        </w:rPr>
      </w:pPr>
    </w:p>
    <w:p w14:paraId="1BDEBDF2" w14:textId="2DF4E6F6" w:rsidR="005F32AD" w:rsidRDefault="00C61580" w:rsidP="005F32AD">
      <w:pPr>
        <w:pStyle w:val="Nzov"/>
        <w:spacing w:line="360" w:lineRule="auto"/>
        <w:jc w:val="both"/>
        <w:rPr>
          <w:b w:val="0"/>
        </w:rPr>
      </w:pPr>
      <w:r w:rsidRPr="00C61580">
        <w:rPr>
          <w:b w:val="0"/>
        </w:rPr>
        <w:t>K bodom 1 a</w:t>
      </w:r>
      <w:r>
        <w:rPr>
          <w:b w:val="0"/>
        </w:rPr>
        <w:t> </w:t>
      </w:r>
      <w:r w:rsidRPr="00C61580">
        <w:rPr>
          <w:b w:val="0"/>
        </w:rPr>
        <w:t>2</w:t>
      </w:r>
    </w:p>
    <w:p w14:paraId="6401ACA2" w14:textId="0A916C17" w:rsidR="00C61580" w:rsidRDefault="00C61580" w:rsidP="005F32AD">
      <w:pPr>
        <w:pStyle w:val="Nzov"/>
        <w:spacing w:line="360" w:lineRule="auto"/>
        <w:jc w:val="both"/>
        <w:rPr>
          <w:b w:val="0"/>
        </w:rPr>
      </w:pPr>
    </w:p>
    <w:p w14:paraId="07EC7325" w14:textId="4D0BE6A1" w:rsidR="00C61580" w:rsidRDefault="00C61580" w:rsidP="005F32AD">
      <w:pPr>
        <w:pStyle w:val="Nzov"/>
        <w:spacing w:line="360" w:lineRule="auto"/>
        <w:jc w:val="both"/>
        <w:rPr>
          <w:b w:val="0"/>
        </w:rPr>
      </w:pPr>
      <w:r>
        <w:rPr>
          <w:b w:val="0"/>
        </w:rPr>
        <w:t xml:space="preserve">        Navrhuje sa doplnenie ust. § 2 ods. 1 a 2 tak , aby sa pokiaľ ide  o zadefinovanie omamných a psychotropných látok zabezpečila dôsledná transpozícia Rámcového rozhodnutia Rady 2004/757/SVV v platnom znení.</w:t>
      </w:r>
    </w:p>
    <w:p w14:paraId="60A82E6C" w14:textId="77777777" w:rsidR="00C61580" w:rsidRPr="00C61580" w:rsidRDefault="00C61580" w:rsidP="005F32AD">
      <w:pPr>
        <w:pStyle w:val="Nzov"/>
        <w:spacing w:line="360" w:lineRule="auto"/>
        <w:jc w:val="both"/>
        <w:rPr>
          <w:b w:val="0"/>
        </w:rPr>
      </w:pPr>
    </w:p>
    <w:p w14:paraId="4B29BDB0" w14:textId="7EEA32AC" w:rsidR="005F32AD" w:rsidRPr="00B217E3" w:rsidRDefault="00E421C7" w:rsidP="00B217E3">
      <w:pPr>
        <w:pStyle w:val="Nzov"/>
        <w:spacing w:line="360" w:lineRule="auto"/>
        <w:jc w:val="both"/>
        <w:rPr>
          <w:b w:val="0"/>
        </w:rPr>
      </w:pPr>
      <w:r w:rsidRPr="00B217E3">
        <w:rPr>
          <w:b w:val="0"/>
        </w:rPr>
        <w:t>K bod</w:t>
      </w:r>
      <w:r w:rsidR="00042BFA">
        <w:rPr>
          <w:b w:val="0"/>
        </w:rPr>
        <w:t>u</w:t>
      </w:r>
      <w:r w:rsidR="00C61580">
        <w:rPr>
          <w:b w:val="0"/>
        </w:rPr>
        <w:t xml:space="preserve"> 3</w:t>
      </w:r>
    </w:p>
    <w:p w14:paraId="7C0B3A43" w14:textId="77777777" w:rsidR="00EC1E3C" w:rsidRDefault="00EC1E3C" w:rsidP="00831D09">
      <w:pPr>
        <w:spacing w:after="200" w:line="360" w:lineRule="auto"/>
        <w:ind w:left="-75" w:firstLine="642"/>
        <w:jc w:val="both"/>
      </w:pPr>
    </w:p>
    <w:p w14:paraId="17429F60" w14:textId="77777777" w:rsidR="00EC1E3C" w:rsidRDefault="004C3EA6" w:rsidP="00EC1E3C">
      <w:pPr>
        <w:spacing w:line="360" w:lineRule="auto"/>
        <w:ind w:firstLine="567"/>
        <w:jc w:val="both"/>
      </w:pPr>
      <w:r>
        <w:t xml:space="preserve">V základných pojmoch </w:t>
      </w:r>
      <w:r w:rsidR="00EC1E3C">
        <w:t xml:space="preserve"> v  ust. § 2 </w:t>
      </w:r>
      <w:r>
        <w:t xml:space="preserve">sa </w:t>
      </w:r>
      <w:r w:rsidR="00EC1E3C">
        <w:t>nanovo  definuje pojem omamnej látky a psychotropnej látky</w:t>
      </w:r>
      <w:r>
        <w:t xml:space="preserve"> v súlade s článkom 1 písmenom </w:t>
      </w:r>
      <w:r w:rsidR="00E421C7">
        <w:t>a</w:t>
      </w:r>
      <w:r>
        <w:t xml:space="preserve">) </w:t>
      </w:r>
      <w:r w:rsidR="002B0EDE">
        <w:t xml:space="preserve">a písmenom b) </w:t>
      </w:r>
      <w:r>
        <w:t>smernice Európskeho parlamentu a Rady (EÚ) 2017/2103.</w:t>
      </w:r>
      <w:r w:rsidR="00EC1E3C">
        <w:t xml:space="preserve"> </w:t>
      </w:r>
    </w:p>
    <w:p w14:paraId="123459AB" w14:textId="7DF46068" w:rsidR="00EC1E3C" w:rsidRDefault="00EC1E3C" w:rsidP="00EC1E3C">
      <w:pPr>
        <w:spacing w:line="360" w:lineRule="auto"/>
        <w:ind w:firstLine="567"/>
        <w:jc w:val="both"/>
      </w:pPr>
      <w:r>
        <w:t xml:space="preserve">Týmto ustanovením sa pružne zabezpečí implementácia </w:t>
      </w:r>
      <w:r w:rsidRPr="00C2424A">
        <w:t>delegovaného aktu Európskej komisie</w:t>
      </w:r>
      <w:r>
        <w:t xml:space="preserve"> s cieľom zabezpečiť trestno-právnu zodpovednosť za nedodržanie ustanovení zákona č. 139/1998 Z. z. Je to o to dôležitejšie, že lehota na prebranie príslušného delegovaného aktu Európskej komisie sa skrátila z jedného roka na šesť mesiacov.</w:t>
      </w:r>
    </w:p>
    <w:p w14:paraId="68317B95" w14:textId="7C00D123" w:rsidR="002B0EDE" w:rsidRDefault="002B0EDE" w:rsidP="00B217E3">
      <w:pPr>
        <w:spacing w:after="200" w:line="360" w:lineRule="auto"/>
        <w:ind w:left="-75" w:firstLine="75"/>
        <w:jc w:val="both"/>
      </w:pPr>
    </w:p>
    <w:p w14:paraId="35C27C27" w14:textId="29B99807" w:rsidR="002B0EDE" w:rsidRPr="00D6620F" w:rsidRDefault="00C61580" w:rsidP="00B217E3">
      <w:pPr>
        <w:spacing w:after="200" w:line="360" w:lineRule="auto"/>
        <w:ind w:left="-75" w:firstLine="75"/>
        <w:jc w:val="both"/>
      </w:pPr>
      <w:r>
        <w:t>K bodu 4</w:t>
      </w:r>
    </w:p>
    <w:p w14:paraId="4CBF316C" w14:textId="413FE52B" w:rsidR="00EC1E3C" w:rsidRDefault="00EC1E3C" w:rsidP="00EC1E3C">
      <w:pPr>
        <w:spacing w:line="360" w:lineRule="auto"/>
        <w:ind w:firstLine="567"/>
        <w:jc w:val="both"/>
      </w:pPr>
      <w:r>
        <w:t xml:space="preserve">V nadväznosti na znenie bodu 1. sa  novo definuje pojem „prípravok“. </w:t>
      </w:r>
    </w:p>
    <w:p w14:paraId="3F45FCD6" w14:textId="70954A46" w:rsidR="00831D09" w:rsidRDefault="00831D09" w:rsidP="00B217E3">
      <w:pPr>
        <w:spacing w:line="360" w:lineRule="auto"/>
        <w:jc w:val="both"/>
      </w:pPr>
    </w:p>
    <w:p w14:paraId="0FF80C93" w14:textId="729C8794" w:rsidR="00B217E3" w:rsidRDefault="00B217E3" w:rsidP="00B217E3">
      <w:pPr>
        <w:pStyle w:val="Nzov"/>
        <w:spacing w:line="360" w:lineRule="auto"/>
        <w:jc w:val="both"/>
        <w:rPr>
          <w:b w:val="0"/>
          <w:bCs w:val="0"/>
        </w:rPr>
      </w:pPr>
    </w:p>
    <w:p w14:paraId="16CFAE5A" w14:textId="5331F9F7" w:rsidR="00304091" w:rsidRDefault="00E421C7" w:rsidP="00B217E3">
      <w:pPr>
        <w:pStyle w:val="Nzov"/>
        <w:spacing w:line="360" w:lineRule="auto"/>
        <w:jc w:val="both"/>
        <w:rPr>
          <w:b w:val="0"/>
        </w:rPr>
      </w:pPr>
      <w:r w:rsidRPr="00B217E3">
        <w:rPr>
          <w:b w:val="0"/>
          <w:bCs w:val="0"/>
        </w:rPr>
        <w:t xml:space="preserve">K bodu </w:t>
      </w:r>
      <w:r w:rsidR="00C61580">
        <w:rPr>
          <w:b w:val="0"/>
          <w:bCs w:val="0"/>
        </w:rPr>
        <w:t>5</w:t>
      </w:r>
    </w:p>
    <w:p w14:paraId="5E3B5E9B" w14:textId="77777777" w:rsidR="00EC1E3C" w:rsidRDefault="00EC1E3C" w:rsidP="00B217E3">
      <w:pPr>
        <w:pStyle w:val="Nzov"/>
        <w:spacing w:line="360" w:lineRule="auto"/>
        <w:jc w:val="both"/>
        <w:rPr>
          <w:b w:val="0"/>
        </w:rPr>
      </w:pPr>
    </w:p>
    <w:p w14:paraId="37CD2E6A" w14:textId="5EAE4289" w:rsidR="001B5AB1" w:rsidRPr="00C43394" w:rsidRDefault="00831D09" w:rsidP="00EC1E3C">
      <w:pPr>
        <w:pStyle w:val="Nzov"/>
        <w:spacing w:line="360" w:lineRule="auto"/>
        <w:ind w:firstLine="567"/>
        <w:jc w:val="both"/>
        <w:rPr>
          <w:b w:val="0"/>
        </w:rPr>
      </w:pPr>
      <w:r w:rsidRPr="00831D09">
        <w:rPr>
          <w:b w:val="0"/>
        </w:rPr>
        <w:t>Lehota šiestich rokov sa</w:t>
      </w:r>
      <w:r>
        <w:rPr>
          <w:b w:val="0"/>
        </w:rPr>
        <w:t xml:space="preserve"> zrušuje na </w:t>
      </w:r>
      <w:r w:rsidRPr="001E23A5">
        <w:rPr>
          <w:b w:val="0"/>
          <w:bCs w:val="0"/>
        </w:rPr>
        <w:t>preuká</w:t>
      </w:r>
      <w:r>
        <w:rPr>
          <w:b w:val="0"/>
          <w:bCs w:val="0"/>
        </w:rPr>
        <w:t>zanie</w:t>
      </w:r>
      <w:r w:rsidRPr="001E23A5">
        <w:rPr>
          <w:b w:val="0"/>
          <w:bCs w:val="0"/>
        </w:rPr>
        <w:t xml:space="preserve">, že riziková látka </w:t>
      </w:r>
      <w:r>
        <w:rPr>
          <w:b w:val="0"/>
          <w:bCs w:val="0"/>
        </w:rPr>
        <w:t>ne</w:t>
      </w:r>
      <w:r w:rsidRPr="001E23A5">
        <w:rPr>
          <w:b w:val="0"/>
          <w:bCs w:val="0"/>
        </w:rPr>
        <w:t>má vlastnosti omamnej látky alebo psychotropnej látky</w:t>
      </w:r>
      <w:r>
        <w:rPr>
          <w:b w:val="0"/>
          <w:bCs w:val="0"/>
        </w:rPr>
        <w:t xml:space="preserve"> a na následné</w:t>
      </w:r>
      <w:r w:rsidRPr="001E23A5">
        <w:rPr>
          <w:b w:val="0"/>
          <w:bCs w:val="0"/>
        </w:rPr>
        <w:t xml:space="preserve"> </w:t>
      </w:r>
      <w:r>
        <w:rPr>
          <w:b w:val="0"/>
          <w:bCs w:val="0"/>
        </w:rPr>
        <w:t>vy</w:t>
      </w:r>
      <w:r w:rsidRPr="001E23A5">
        <w:rPr>
          <w:b w:val="0"/>
          <w:bCs w:val="0"/>
        </w:rPr>
        <w:t>rad</w:t>
      </w:r>
      <w:r>
        <w:rPr>
          <w:b w:val="0"/>
          <w:bCs w:val="0"/>
        </w:rPr>
        <w:t>enie rizikovej látky</w:t>
      </w:r>
      <w:r w:rsidRPr="001E23A5">
        <w:rPr>
          <w:b w:val="0"/>
          <w:bCs w:val="0"/>
        </w:rPr>
        <w:t xml:space="preserve"> </w:t>
      </w:r>
      <w:r w:rsidRPr="00F123A7">
        <w:rPr>
          <w:b w:val="0"/>
          <w:bCs w:val="0"/>
        </w:rPr>
        <w:t>zo zoznamu rizikových látok</w:t>
      </w:r>
      <w:r>
        <w:rPr>
          <w:b w:val="0"/>
          <w:bCs w:val="0"/>
        </w:rPr>
        <w:t xml:space="preserve">. </w:t>
      </w:r>
    </w:p>
    <w:p w14:paraId="557A739F" w14:textId="17A15A44" w:rsidR="00767EA1" w:rsidRPr="00767EA1" w:rsidRDefault="00767EA1" w:rsidP="00767EA1">
      <w:pPr>
        <w:pStyle w:val="Obyajn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A1">
        <w:rPr>
          <w:rFonts w:ascii="Times New Roman" w:hAnsi="Times New Roman" w:cs="Times New Roman"/>
          <w:sz w:val="24"/>
          <w:szCs w:val="24"/>
        </w:rPr>
        <w:t>Na skúmanie rizík psychoaktívnych látok, 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7EA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 v </w:t>
      </w:r>
      <w:r w:rsidRPr="00767E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lovenskej republike vybudované</w:t>
      </w:r>
      <w:r w:rsidRPr="00767EA1">
        <w:rPr>
          <w:rFonts w:ascii="Times New Roman" w:hAnsi="Times New Roman" w:cs="Times New Roman"/>
          <w:sz w:val="24"/>
          <w:szCs w:val="24"/>
        </w:rPr>
        <w:t xml:space="preserve"> referenčné laboratórium</w:t>
      </w:r>
      <w:r>
        <w:rPr>
          <w:rFonts w:ascii="Times New Roman" w:hAnsi="Times New Roman" w:cs="Times New Roman"/>
          <w:sz w:val="24"/>
          <w:szCs w:val="24"/>
        </w:rPr>
        <w:t>, ktoré by sa</w:t>
      </w:r>
      <w:r w:rsidRPr="00767EA1">
        <w:rPr>
          <w:rFonts w:ascii="Times New Roman" w:hAnsi="Times New Roman" w:cs="Times New Roman"/>
          <w:sz w:val="24"/>
          <w:szCs w:val="24"/>
        </w:rPr>
        <w:t xml:space="preserve"> komplexne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EA1">
        <w:rPr>
          <w:rFonts w:ascii="Times New Roman" w:hAnsi="Times New Roman" w:cs="Times New Roman"/>
          <w:sz w:val="24"/>
          <w:szCs w:val="24"/>
        </w:rPr>
        <w:t>zaobera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767EA1">
        <w:rPr>
          <w:rFonts w:ascii="Times New Roman" w:hAnsi="Times New Roman" w:cs="Times New Roman"/>
          <w:sz w:val="24"/>
          <w:szCs w:val="24"/>
        </w:rPr>
        <w:t xml:space="preserve"> skúmaním </w:t>
      </w:r>
      <w:r w:rsidRPr="00767EA1">
        <w:rPr>
          <w:rFonts w:ascii="Times New Roman" w:hAnsi="Times New Roman" w:cs="Times New Roman"/>
          <w:sz w:val="24"/>
          <w:szCs w:val="24"/>
        </w:rPr>
        <w:lastRenderedPageBreak/>
        <w:t>drog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767EA1">
        <w:rPr>
          <w:rFonts w:ascii="Times New Roman" w:hAnsi="Times New Roman" w:cs="Times New Roman"/>
          <w:sz w:val="24"/>
          <w:szCs w:val="24"/>
        </w:rPr>
        <w:t xml:space="preserve">aposledy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767E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ybudovanie referenčného laboratória </w:t>
      </w:r>
      <w:r w:rsidRPr="00767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plánovalo v rámci projektu presídlenia Európskej liekovej agentúry (EMA)</w:t>
      </w:r>
      <w:r w:rsidRPr="00767EA1">
        <w:rPr>
          <w:rFonts w:ascii="Times New Roman" w:hAnsi="Times New Roman" w:cs="Times New Roman"/>
          <w:sz w:val="24"/>
          <w:szCs w:val="24"/>
        </w:rPr>
        <w:t xml:space="preserve"> na Slovensk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67EA1">
        <w:rPr>
          <w:rFonts w:ascii="Times New Roman" w:hAnsi="Times New Roman" w:cs="Times New Roman"/>
          <w:sz w:val="24"/>
          <w:szCs w:val="24"/>
        </w:rPr>
        <w:t>.</w:t>
      </w:r>
    </w:p>
    <w:p w14:paraId="4E5352C9" w14:textId="77777777" w:rsidR="00831D09" w:rsidRDefault="00831D09" w:rsidP="00831D09">
      <w:pPr>
        <w:pStyle w:val="Nzov"/>
        <w:spacing w:line="360" w:lineRule="auto"/>
        <w:ind w:firstLine="567"/>
        <w:jc w:val="both"/>
        <w:rPr>
          <w:b w:val="0"/>
          <w:bCs w:val="0"/>
        </w:rPr>
      </w:pPr>
      <w:r w:rsidRPr="00831D09">
        <w:rPr>
          <w:b w:val="0"/>
        </w:rPr>
        <w:t>Lehota šiestich rokov sa</w:t>
      </w:r>
      <w:r>
        <w:rPr>
          <w:b w:val="0"/>
        </w:rPr>
        <w:t xml:space="preserve"> zrušuje na </w:t>
      </w:r>
      <w:r w:rsidRPr="001E23A5">
        <w:rPr>
          <w:b w:val="0"/>
          <w:bCs w:val="0"/>
        </w:rPr>
        <w:t>preuká</w:t>
      </w:r>
      <w:r>
        <w:rPr>
          <w:b w:val="0"/>
          <w:bCs w:val="0"/>
        </w:rPr>
        <w:t>zanie</w:t>
      </w:r>
      <w:r w:rsidRPr="001E23A5">
        <w:rPr>
          <w:b w:val="0"/>
          <w:bCs w:val="0"/>
        </w:rPr>
        <w:t>, že riziková látka má vlastnosti omamnej látky alebo psychotropnej látky</w:t>
      </w:r>
      <w:r>
        <w:rPr>
          <w:b w:val="0"/>
          <w:bCs w:val="0"/>
        </w:rPr>
        <w:t xml:space="preserve"> a na následné</w:t>
      </w:r>
      <w:r w:rsidRPr="001E23A5">
        <w:rPr>
          <w:b w:val="0"/>
          <w:bCs w:val="0"/>
        </w:rPr>
        <w:t xml:space="preserve"> zarad</w:t>
      </w:r>
      <w:r>
        <w:rPr>
          <w:b w:val="0"/>
          <w:bCs w:val="0"/>
        </w:rPr>
        <w:t>enie rizikovej látky</w:t>
      </w:r>
      <w:r w:rsidRPr="001E23A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sa </w:t>
      </w:r>
      <w:r w:rsidRPr="001E23A5">
        <w:rPr>
          <w:b w:val="0"/>
          <w:bCs w:val="0"/>
        </w:rPr>
        <w:t>do zoznamu omamných látok a psychotropných látok uvedeného v prílohe č. 1</w:t>
      </w:r>
      <w:r>
        <w:rPr>
          <w:b w:val="0"/>
          <w:bCs w:val="0"/>
        </w:rPr>
        <w:t xml:space="preserve"> </w:t>
      </w:r>
      <w:r w:rsidRPr="00F123A7">
        <w:rPr>
          <w:b w:val="0"/>
          <w:bCs w:val="0"/>
        </w:rPr>
        <w:t>a</w:t>
      </w:r>
      <w:r>
        <w:rPr>
          <w:b w:val="0"/>
          <w:bCs w:val="0"/>
        </w:rPr>
        <w:t xml:space="preserve"> na </w:t>
      </w:r>
      <w:r w:rsidRPr="00F123A7">
        <w:rPr>
          <w:b w:val="0"/>
          <w:bCs w:val="0"/>
        </w:rPr>
        <w:t>súčasn</w:t>
      </w:r>
      <w:r>
        <w:rPr>
          <w:b w:val="0"/>
          <w:bCs w:val="0"/>
        </w:rPr>
        <w:t>é</w:t>
      </w:r>
      <w:r w:rsidRPr="00F123A7">
        <w:rPr>
          <w:b w:val="0"/>
          <w:bCs w:val="0"/>
        </w:rPr>
        <w:t xml:space="preserve"> vyrad</w:t>
      </w:r>
      <w:r>
        <w:rPr>
          <w:b w:val="0"/>
          <w:bCs w:val="0"/>
        </w:rPr>
        <w:t>enie rizikovej látky</w:t>
      </w:r>
      <w:r w:rsidRPr="00F123A7">
        <w:rPr>
          <w:b w:val="0"/>
          <w:bCs w:val="0"/>
        </w:rPr>
        <w:t xml:space="preserve"> zo zoznamu rizikových látok</w:t>
      </w:r>
      <w:r>
        <w:rPr>
          <w:b w:val="0"/>
          <w:bCs w:val="0"/>
        </w:rPr>
        <w:t>.</w:t>
      </w:r>
    </w:p>
    <w:p w14:paraId="6D9BC5A1" w14:textId="12F32C26" w:rsidR="00767EA1" w:rsidRPr="00767EA1" w:rsidRDefault="00767EA1" w:rsidP="00767EA1">
      <w:pPr>
        <w:pStyle w:val="Obyajntex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A1">
        <w:rPr>
          <w:rFonts w:ascii="Times New Roman" w:hAnsi="Times New Roman" w:cs="Times New Roman"/>
          <w:sz w:val="24"/>
          <w:szCs w:val="24"/>
        </w:rPr>
        <w:t>Na skúmanie rizík psychoaktívnych látok, 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7EA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je v </w:t>
      </w:r>
      <w:r w:rsidRPr="00767E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lovenskej republike vybudované</w:t>
      </w:r>
      <w:r w:rsidRPr="00767EA1">
        <w:rPr>
          <w:rFonts w:ascii="Times New Roman" w:hAnsi="Times New Roman" w:cs="Times New Roman"/>
          <w:sz w:val="24"/>
          <w:szCs w:val="24"/>
        </w:rPr>
        <w:t xml:space="preserve"> referenčné laboratórium</w:t>
      </w:r>
      <w:r>
        <w:rPr>
          <w:rFonts w:ascii="Times New Roman" w:hAnsi="Times New Roman" w:cs="Times New Roman"/>
          <w:sz w:val="24"/>
          <w:szCs w:val="24"/>
        </w:rPr>
        <w:t>, ktoré by sa</w:t>
      </w:r>
      <w:r w:rsidRPr="00767EA1">
        <w:rPr>
          <w:rFonts w:ascii="Times New Roman" w:hAnsi="Times New Roman" w:cs="Times New Roman"/>
          <w:sz w:val="24"/>
          <w:szCs w:val="24"/>
        </w:rPr>
        <w:t xml:space="preserve"> komplexne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EA1">
        <w:rPr>
          <w:rFonts w:ascii="Times New Roman" w:hAnsi="Times New Roman" w:cs="Times New Roman"/>
          <w:sz w:val="24"/>
          <w:szCs w:val="24"/>
        </w:rPr>
        <w:t>zaobera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767EA1">
        <w:rPr>
          <w:rFonts w:ascii="Times New Roman" w:hAnsi="Times New Roman" w:cs="Times New Roman"/>
          <w:sz w:val="24"/>
          <w:szCs w:val="24"/>
        </w:rPr>
        <w:t xml:space="preserve"> skúmaním drog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767EA1">
        <w:rPr>
          <w:rFonts w:ascii="Times New Roman" w:hAnsi="Times New Roman" w:cs="Times New Roman"/>
          <w:sz w:val="24"/>
          <w:szCs w:val="24"/>
        </w:rPr>
        <w:t xml:space="preserve">aposledy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767EA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ybudovanie referenčného laboratória </w:t>
      </w:r>
      <w:r w:rsidRPr="00767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plánovalo v rámci projektu presídlenia Európskej liekovej agentúry (EMA)</w:t>
      </w:r>
      <w:r w:rsidRPr="00767EA1">
        <w:rPr>
          <w:rFonts w:ascii="Times New Roman" w:hAnsi="Times New Roman" w:cs="Times New Roman"/>
          <w:sz w:val="24"/>
          <w:szCs w:val="24"/>
        </w:rPr>
        <w:t xml:space="preserve"> na Slovensk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67EA1">
        <w:rPr>
          <w:rFonts w:ascii="Times New Roman" w:hAnsi="Times New Roman" w:cs="Times New Roman"/>
          <w:sz w:val="24"/>
          <w:szCs w:val="24"/>
        </w:rPr>
        <w:t>.</w:t>
      </w:r>
    </w:p>
    <w:p w14:paraId="1CF40F93" w14:textId="77777777" w:rsidR="00E421C7" w:rsidRDefault="00E421C7" w:rsidP="00831D09">
      <w:pPr>
        <w:pStyle w:val="Nzov"/>
        <w:spacing w:line="360" w:lineRule="auto"/>
        <w:ind w:firstLine="567"/>
        <w:jc w:val="both"/>
        <w:rPr>
          <w:b w:val="0"/>
        </w:rPr>
      </w:pPr>
    </w:p>
    <w:p w14:paraId="5FA39875" w14:textId="7E951BAF" w:rsidR="00E421C7" w:rsidRDefault="00E421C7" w:rsidP="00E421C7">
      <w:pPr>
        <w:pStyle w:val="Nzov"/>
        <w:spacing w:line="360" w:lineRule="auto"/>
        <w:jc w:val="both"/>
        <w:rPr>
          <w:b w:val="0"/>
        </w:rPr>
      </w:pPr>
      <w:r>
        <w:rPr>
          <w:b w:val="0"/>
        </w:rPr>
        <w:t xml:space="preserve">K bodu </w:t>
      </w:r>
      <w:r w:rsidR="00C61580">
        <w:rPr>
          <w:b w:val="0"/>
        </w:rPr>
        <w:t>6</w:t>
      </w:r>
    </w:p>
    <w:p w14:paraId="2667283E" w14:textId="77777777" w:rsidR="00EC1E3C" w:rsidRDefault="00EC1E3C" w:rsidP="00831D09">
      <w:pPr>
        <w:pStyle w:val="Nzov"/>
        <w:spacing w:line="360" w:lineRule="auto"/>
        <w:ind w:firstLine="567"/>
        <w:jc w:val="both"/>
        <w:rPr>
          <w:b w:val="0"/>
        </w:rPr>
      </w:pPr>
    </w:p>
    <w:p w14:paraId="4B37CB84" w14:textId="305E22BB" w:rsidR="00E421C7" w:rsidRDefault="00E421C7" w:rsidP="00831D09">
      <w:pPr>
        <w:pStyle w:val="Nzov"/>
        <w:spacing w:line="360" w:lineRule="auto"/>
        <w:ind w:firstLine="567"/>
        <w:jc w:val="both"/>
        <w:rPr>
          <w:b w:val="0"/>
        </w:rPr>
      </w:pPr>
      <w:r>
        <w:rPr>
          <w:b w:val="0"/>
        </w:rPr>
        <w:t xml:space="preserve">Za zrušovacie ustanovenie § 43 sa vkladá nový § 43a obsahujúci záverečné ustanovenie, podľa ktorého  sú </w:t>
      </w:r>
      <w:r w:rsidRPr="00B217E3">
        <w:rPr>
          <w:b w:val="0"/>
        </w:rPr>
        <w:t xml:space="preserve">právne záväzné </w:t>
      </w:r>
      <w:r>
        <w:rPr>
          <w:b w:val="0"/>
        </w:rPr>
        <w:t xml:space="preserve">preberané </w:t>
      </w:r>
      <w:r w:rsidRPr="00B217E3">
        <w:rPr>
          <w:b w:val="0"/>
        </w:rPr>
        <w:t>akty Európskej únie uvedené v prílohe č. 3.</w:t>
      </w:r>
    </w:p>
    <w:p w14:paraId="667954DF" w14:textId="682AC0EA" w:rsidR="00E421C7" w:rsidRDefault="00E421C7" w:rsidP="00831D09">
      <w:pPr>
        <w:pStyle w:val="Nzov"/>
        <w:spacing w:line="360" w:lineRule="auto"/>
        <w:ind w:firstLine="567"/>
        <w:jc w:val="both"/>
        <w:rPr>
          <w:b w:val="0"/>
        </w:rPr>
      </w:pPr>
      <w:r w:rsidRPr="00E421C7">
        <w:rPr>
          <w:b w:val="0"/>
        </w:rPr>
        <w:t xml:space="preserve"> </w:t>
      </w:r>
    </w:p>
    <w:p w14:paraId="0BF99ED0" w14:textId="4E1C4EDF" w:rsidR="00767EA1" w:rsidRPr="00C43394" w:rsidRDefault="00E421C7" w:rsidP="00E421C7">
      <w:pPr>
        <w:pStyle w:val="Nzov"/>
        <w:spacing w:line="360" w:lineRule="auto"/>
        <w:jc w:val="both"/>
        <w:rPr>
          <w:b w:val="0"/>
        </w:rPr>
      </w:pPr>
      <w:r>
        <w:rPr>
          <w:b w:val="0"/>
        </w:rPr>
        <w:t>K bodu</w:t>
      </w:r>
      <w:r w:rsidR="00042BFA">
        <w:rPr>
          <w:b w:val="0"/>
        </w:rPr>
        <w:t xml:space="preserve"> </w:t>
      </w:r>
      <w:r w:rsidR="00C61580">
        <w:rPr>
          <w:b w:val="0"/>
        </w:rPr>
        <w:t>7</w:t>
      </w:r>
    </w:p>
    <w:p w14:paraId="03EA785C" w14:textId="77777777" w:rsidR="00EC1E3C" w:rsidRDefault="00EC1E3C" w:rsidP="008F06D7">
      <w:pPr>
        <w:spacing w:line="360" w:lineRule="auto"/>
        <w:ind w:firstLine="708"/>
        <w:jc w:val="both"/>
      </w:pPr>
    </w:p>
    <w:p w14:paraId="0FD26146" w14:textId="7A6B5D62" w:rsidR="008F06D7" w:rsidRDefault="008F06D7" w:rsidP="008F06D7">
      <w:pPr>
        <w:spacing w:line="360" w:lineRule="auto"/>
        <w:ind w:firstLine="708"/>
        <w:jc w:val="both"/>
      </w:pPr>
      <w:r w:rsidRPr="00C43394">
        <w:t>Na 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="006325D1" w:rsidRPr="00C43394">
        <w:t xml:space="preserve"> </w:t>
      </w:r>
      <w:r>
        <w:t>dňa 14. 3.2018</w:t>
      </w:r>
      <w:r w:rsidRPr="00C43394">
        <w:t xml:space="preserve"> sa navrhuje zaradiť látku </w:t>
      </w:r>
      <w:r w:rsidRPr="008F06D7">
        <w:rPr>
          <w:bCs/>
        </w:rPr>
        <w:t>4-FIBF, pFIBF, 4-Fluórizobutyrfentanyl</w:t>
      </w:r>
      <w:r>
        <w:rPr>
          <w:bCs/>
        </w:rPr>
        <w:t xml:space="preserve"> </w:t>
      </w:r>
      <w:r w:rsidRPr="00C43394">
        <w:t>medzi omamné látky I. skupiny.</w:t>
      </w:r>
    </w:p>
    <w:p w14:paraId="14EA72DB" w14:textId="77777777" w:rsidR="008F06D7" w:rsidRPr="00C43394" w:rsidRDefault="008F06D7" w:rsidP="008F06D7">
      <w:pPr>
        <w:spacing w:line="360" w:lineRule="auto"/>
        <w:ind w:firstLine="708"/>
        <w:jc w:val="both"/>
        <w:rPr>
          <w:color w:val="444444"/>
        </w:rPr>
      </w:pPr>
      <w:r w:rsidRPr="00C43394">
        <w:rPr>
          <w:color w:val="444444"/>
        </w:rPr>
        <w:t xml:space="preserve">Podľa hodnotenia odborného výboru pre drogovú závislosť WHO (ďalej len „odborný výbor“) je </w:t>
      </w:r>
      <w:r w:rsidRPr="008F06D7">
        <w:rPr>
          <w:bCs/>
        </w:rPr>
        <w:t>4-FIBF, pFIBF, 4-Fluórizobutyrfentanyl</w:t>
      </w:r>
      <w:r w:rsidRPr="00C43394">
        <w:rPr>
          <w:color w:val="444444"/>
        </w:rPr>
        <w:t xml:space="preserve"> látka, ktorú možno zneužívať podobným spôsobom a ktorá môže mať podobné negatívne účinky na zdravie ako kontrolované opioidy, ako je morfín a fentanyl. Okrem toho možno uvedenú látku konvertovať na fentanyl. Uvedená látka nemá žiadne zaznamenané terapeutické použitie a jej užívanie spôsobilo úmrtia. Existujú dostatočné dôkazy, že uvedená látka sa zneužíva alebo ju možno zneužívať, pričom sa môže stať verejným zdravotným a sociálnym problémom, čo si vyžaduje, aby podliehala medzinárodnej kontrole. </w:t>
      </w:r>
    </w:p>
    <w:p w14:paraId="0144FD6D" w14:textId="77777777" w:rsidR="003852AC" w:rsidRDefault="00767EA1" w:rsidP="00767EA1">
      <w:pPr>
        <w:pStyle w:val="Nzov"/>
        <w:spacing w:line="360" w:lineRule="auto"/>
        <w:ind w:firstLine="567"/>
        <w:jc w:val="both"/>
        <w:rPr>
          <w:rFonts w:ascii="Times" w:hAnsi="Times" w:cs="Times"/>
          <w:b w:val="0"/>
          <w:sz w:val="25"/>
          <w:szCs w:val="25"/>
        </w:rPr>
      </w:pPr>
      <w:r>
        <w:rPr>
          <w:b w:val="0"/>
        </w:rPr>
        <w:t xml:space="preserve">Na základe vykonávacieho rozhodnutia Rady (EÚ) č. 2017/2170 z 15 novembra 2017 sa do skupiny I omamných látok zaraďuje látka </w:t>
      </w:r>
      <w:r>
        <w:rPr>
          <w:b w:val="0"/>
          <w:bCs w:val="0"/>
        </w:rPr>
        <w:t>Furanyl</w:t>
      </w:r>
      <w:r w:rsidRPr="004C3DC9">
        <w:rPr>
          <w:b w:val="0"/>
          <w:bCs w:val="0"/>
        </w:rPr>
        <w:t xml:space="preserve">fentanyl, chemicky </w:t>
      </w:r>
      <w:r w:rsidRPr="004C3DC9">
        <w:rPr>
          <w:rFonts w:ascii="Times" w:hAnsi="Times" w:cs="Times"/>
          <w:b w:val="0"/>
          <w:sz w:val="25"/>
          <w:szCs w:val="25"/>
        </w:rPr>
        <w:t>N-fenyl-N-[1-(2-fenyletyl)-piperidín-4-yl]</w:t>
      </w:r>
      <w:r>
        <w:rPr>
          <w:rFonts w:ascii="Times" w:hAnsi="Times" w:cs="Times"/>
          <w:b w:val="0"/>
          <w:sz w:val="25"/>
          <w:szCs w:val="25"/>
        </w:rPr>
        <w:t>f</w:t>
      </w:r>
      <w:r w:rsidRPr="004C3DC9">
        <w:rPr>
          <w:rFonts w:ascii="Times" w:hAnsi="Times" w:cs="Times"/>
          <w:b w:val="0"/>
          <w:sz w:val="25"/>
          <w:szCs w:val="25"/>
        </w:rPr>
        <w:t>u</w:t>
      </w:r>
      <w:r>
        <w:rPr>
          <w:rFonts w:ascii="Times" w:hAnsi="Times" w:cs="Times"/>
          <w:b w:val="0"/>
          <w:sz w:val="25"/>
          <w:szCs w:val="25"/>
        </w:rPr>
        <w:t>r</w:t>
      </w:r>
      <w:r w:rsidRPr="004C3DC9">
        <w:rPr>
          <w:rFonts w:ascii="Times" w:hAnsi="Times" w:cs="Times"/>
          <w:b w:val="0"/>
          <w:sz w:val="25"/>
          <w:szCs w:val="25"/>
        </w:rPr>
        <w:t>án</w:t>
      </w:r>
      <w:r>
        <w:rPr>
          <w:rFonts w:ascii="Times" w:hAnsi="Times" w:cs="Times"/>
          <w:b w:val="0"/>
          <w:sz w:val="25"/>
          <w:szCs w:val="25"/>
        </w:rPr>
        <w:t>-2-karboxamid</w:t>
      </w:r>
      <w:r w:rsidR="0094567C">
        <w:rPr>
          <w:rFonts w:ascii="Times" w:hAnsi="Times" w:cs="Times"/>
          <w:b w:val="0"/>
          <w:sz w:val="25"/>
          <w:szCs w:val="25"/>
        </w:rPr>
        <w:t>.</w:t>
      </w:r>
    </w:p>
    <w:p w14:paraId="4EBAE51C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  <w:color w:val="444444"/>
        </w:rPr>
      </w:pPr>
      <w:r w:rsidRPr="0094567C">
        <w:rPr>
          <w:b w:val="0"/>
          <w:color w:val="444444"/>
        </w:rPr>
        <w:lastRenderedPageBreak/>
        <w:t>Furanylfentanyl nemá v členských štátoch Európskej únie uznávané využitie na účely humánnej alebo veterinárnej medicíny. Nič nenasvedčuje tomu, že by sa furanylfentanyl dal použiť na akékoľvek iné účely než ako analytický referenčný štandard a vo vedeckom výskume.</w:t>
      </w:r>
    </w:p>
    <w:p w14:paraId="72F44AF2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  <w:color w:val="444444"/>
        </w:rPr>
      </w:pPr>
      <w:r w:rsidRPr="0094567C">
        <w:rPr>
          <w:b w:val="0"/>
          <w:color w:val="444444"/>
        </w:rPr>
        <w:t>Furanylfentanyl sa predáva cez internet v malých a veľkoobchodných množstvách ako „chemikália na výskumné účely“, zvyčajne vo forme prášku a nosných sprejov pripravených na okamžité použitie. Podľa informácií získaných pri zabavení sa furanylfentanyl mohol predávať aj na nelegálnom trhu s opioidmi.</w:t>
      </w:r>
    </w:p>
    <w:p w14:paraId="20EC212C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  <w:color w:val="444444"/>
        </w:rPr>
      </w:pPr>
      <w:r w:rsidRPr="0094567C">
        <w:rPr>
          <w:b w:val="0"/>
          <w:color w:val="444444"/>
        </w:rPr>
        <w:t>Furanylfentanyl nie je uveden</w:t>
      </w:r>
      <w:r w:rsidR="005318ED">
        <w:rPr>
          <w:b w:val="0"/>
          <w:color w:val="444444"/>
        </w:rPr>
        <w:t>ý</w:t>
      </w:r>
      <w:r w:rsidRPr="0094567C">
        <w:rPr>
          <w:b w:val="0"/>
          <w:color w:val="444444"/>
        </w:rPr>
        <w:t xml:space="preserve"> v zozname látok podliehajúcich kontrole podľa Jednotného dohovoru Organizácie Spojených národov o omamných látkach z roku 1961, ani v zozname Dohovoru Organizácie Spojených národov o psychotropných látkach z roku 1971. Táto látka nie je v súčasnosti predmetom hodnotenia v rámci systému </w:t>
      </w:r>
      <w:r w:rsidR="005318ED" w:rsidRPr="0094567C">
        <w:rPr>
          <w:b w:val="0"/>
          <w:color w:val="444444"/>
        </w:rPr>
        <w:t>Organizácie Spojených národov</w:t>
      </w:r>
      <w:r w:rsidRPr="0094567C">
        <w:rPr>
          <w:b w:val="0"/>
          <w:color w:val="444444"/>
        </w:rPr>
        <w:t>.</w:t>
      </w:r>
    </w:p>
    <w:p w14:paraId="1DC1672F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  <w:color w:val="444444"/>
        </w:rPr>
      </w:pPr>
      <w:r w:rsidRPr="0094567C">
        <w:rPr>
          <w:b w:val="0"/>
          <w:color w:val="444444"/>
        </w:rPr>
        <w:t>Keďže desať členských štátov kontroluje furanylfentanyl podľa vnútroštátnych právnych predpisov o kontrole drog a tri členské štáty používajú na jeho kontrolu iné legislatívne opatrenia, podrobenie tejto látky kontrolným opatreniam v</w:t>
      </w:r>
      <w:r w:rsidR="005318ED">
        <w:rPr>
          <w:b w:val="0"/>
          <w:color w:val="444444"/>
        </w:rPr>
        <w:t>o všetkých členských štátoch Európskej únie</w:t>
      </w:r>
      <w:r w:rsidRPr="0094567C">
        <w:rPr>
          <w:b w:val="0"/>
          <w:color w:val="444444"/>
        </w:rPr>
        <w:t xml:space="preserve"> pom</w:t>
      </w:r>
      <w:r w:rsidR="005318ED">
        <w:rPr>
          <w:b w:val="0"/>
          <w:color w:val="444444"/>
        </w:rPr>
        <w:t>ôže</w:t>
      </w:r>
      <w:r w:rsidRPr="0094567C">
        <w:rPr>
          <w:b w:val="0"/>
          <w:color w:val="444444"/>
        </w:rPr>
        <w:t xml:space="preserve"> predísť vzniku prekážok pri cezhraničnom presadzovaní práva a justičnej spolupráci a</w:t>
      </w:r>
      <w:r w:rsidR="005318ED">
        <w:rPr>
          <w:b w:val="0"/>
          <w:color w:val="444444"/>
        </w:rPr>
        <w:t> </w:t>
      </w:r>
      <w:r w:rsidRPr="0094567C">
        <w:rPr>
          <w:b w:val="0"/>
          <w:color w:val="444444"/>
        </w:rPr>
        <w:t>prispe</w:t>
      </w:r>
      <w:r w:rsidR="005318ED">
        <w:rPr>
          <w:b w:val="0"/>
          <w:color w:val="444444"/>
        </w:rPr>
        <w:t>je k</w:t>
      </w:r>
      <w:r w:rsidRPr="0094567C">
        <w:rPr>
          <w:b w:val="0"/>
          <w:color w:val="444444"/>
        </w:rPr>
        <w:t xml:space="preserve"> ochrane </w:t>
      </w:r>
      <w:r w:rsidR="005318ED" w:rsidRPr="0094567C">
        <w:rPr>
          <w:b w:val="0"/>
          <w:color w:val="444444"/>
        </w:rPr>
        <w:t>členských štátov</w:t>
      </w:r>
      <w:r w:rsidR="005318ED">
        <w:rPr>
          <w:b w:val="0"/>
          <w:color w:val="444444"/>
        </w:rPr>
        <w:t xml:space="preserve"> Európskej únie</w:t>
      </w:r>
      <w:r w:rsidR="005318ED" w:rsidRPr="0094567C">
        <w:rPr>
          <w:b w:val="0"/>
          <w:color w:val="444444"/>
        </w:rPr>
        <w:t xml:space="preserve"> </w:t>
      </w:r>
      <w:r w:rsidRPr="0094567C">
        <w:rPr>
          <w:b w:val="0"/>
          <w:color w:val="444444"/>
        </w:rPr>
        <w:t>pred rizikami vyplývajúcimi z dostupnosti a užívania tejto látky.</w:t>
      </w:r>
    </w:p>
    <w:p w14:paraId="1FA03385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  <w:color w:val="444444"/>
        </w:rPr>
      </w:pPr>
      <w:r w:rsidRPr="0094567C">
        <w:rPr>
          <w:b w:val="0"/>
          <w:color w:val="444444"/>
        </w:rPr>
        <w:t xml:space="preserve">Zo správy o hodnotení rizika vyplýva, že mnohé z otázok spojených s furanylfentanylom vyplývajú z nedostatku údajov o rizikách pre zdravie jednotlivca, rizikách pre verejné zdravie a o spoločenských rizikách a mohli by byť zodpovedané prostredníctvom ďalšieho výskumu. Dostupné dôkazy a informácie o zdravotných a spoločenských rizikách, ktoré táto látka predstavuje, aj vzhľadom na jej podobnosti s fentanylom, poskytujú dostatočné dôvody na to, aby sa furanylfentanyl podrobil kontrolným opatreniam </w:t>
      </w:r>
      <w:r w:rsidR="005318ED" w:rsidRPr="0094567C">
        <w:rPr>
          <w:b w:val="0"/>
          <w:color w:val="444444"/>
        </w:rPr>
        <w:t>v</w:t>
      </w:r>
      <w:r w:rsidR="005318ED">
        <w:rPr>
          <w:b w:val="0"/>
          <w:color w:val="444444"/>
        </w:rPr>
        <w:t>o všetkých členských štátoch Európskej únie</w:t>
      </w:r>
      <w:r w:rsidRPr="0094567C">
        <w:rPr>
          <w:b w:val="0"/>
          <w:color w:val="444444"/>
        </w:rPr>
        <w:t>.</w:t>
      </w:r>
    </w:p>
    <w:p w14:paraId="5FE526B1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  <w:color w:val="444444"/>
        </w:rPr>
      </w:pPr>
      <w:r w:rsidRPr="0094567C">
        <w:rPr>
          <w:b w:val="0"/>
          <w:color w:val="444444"/>
        </w:rPr>
        <w:t>Päť členských štátov nahlásilo 22 úmrtí spojených s furanylfentanylom. V najmenej desiatich prípadoch z týchto úmrtí bol furanylfentanyl príčinou úmrtia alebo k nemu pravdepodobne prispel. Tri členské štáty okrem toho nahlásili 11 akútnych intoxikácií bez smrteľných následkov spojených s furanylfentanylom.</w:t>
      </w:r>
    </w:p>
    <w:p w14:paraId="750A4909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  <w:color w:val="444444"/>
        </w:rPr>
      </w:pPr>
      <w:r w:rsidRPr="0094567C">
        <w:rPr>
          <w:b w:val="0"/>
          <w:color w:val="444444"/>
        </w:rPr>
        <w:t xml:space="preserve">Informácie o možnom zapojení organizovaného zločinu do výroby, distribúcie (obchodu) a dodávania furanylfentanylu v rámci </w:t>
      </w:r>
      <w:r w:rsidR="005318ED">
        <w:rPr>
          <w:b w:val="0"/>
          <w:color w:val="444444"/>
        </w:rPr>
        <w:t>Európskej ú</w:t>
      </w:r>
      <w:r w:rsidRPr="0094567C">
        <w:rPr>
          <w:b w:val="0"/>
          <w:color w:val="444444"/>
        </w:rPr>
        <w:t>nie nie sú k dispozícii. Z dostupných údajov vyplýva, že furanylfentanyl sa vyrába v chemických podnikoch so sídlom v Číne.</w:t>
      </w:r>
    </w:p>
    <w:p w14:paraId="26A0DE53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  <w:color w:val="444444"/>
        </w:rPr>
      </w:pPr>
      <w:r w:rsidRPr="0094567C">
        <w:rPr>
          <w:b w:val="0"/>
          <w:color w:val="444444"/>
        </w:rPr>
        <w:lastRenderedPageBreak/>
        <w:t>Furanylfentanyl je syntetický opioid a je štruktúrou podobný fentanylu, kontrolovanej látke, ktorá sa bežne používa v medicíne pri celkovej anestézii počas operácií a na tlmenie bolesti. Furanylfentanyl je tiež štrukturálne príbuzný acetylfentanylu a akryloylfentanylu, ktoré boli predmetom spoločnej správy EMCDDA a Europolu v decembri 2015 a v novembri 2016.</w:t>
      </w:r>
    </w:p>
    <w:p w14:paraId="047DD9F7" w14:textId="77777777" w:rsidR="0094567C" w:rsidRPr="0094567C" w:rsidRDefault="0094567C" w:rsidP="00767EA1">
      <w:pPr>
        <w:pStyle w:val="Nzov"/>
        <w:spacing w:line="360" w:lineRule="auto"/>
        <w:ind w:firstLine="567"/>
        <w:jc w:val="both"/>
        <w:rPr>
          <w:b w:val="0"/>
        </w:rPr>
      </w:pPr>
      <w:r w:rsidRPr="0094567C">
        <w:rPr>
          <w:b w:val="0"/>
          <w:color w:val="444444"/>
        </w:rPr>
        <w:t>Furanylfentanyl je dostupný v</w:t>
      </w:r>
      <w:r w:rsidR="005318ED">
        <w:rPr>
          <w:b w:val="0"/>
          <w:color w:val="444444"/>
        </w:rPr>
        <w:t> Európskej ú</w:t>
      </w:r>
      <w:r w:rsidRPr="0094567C">
        <w:rPr>
          <w:b w:val="0"/>
          <w:color w:val="444444"/>
        </w:rPr>
        <w:t xml:space="preserve">nii </w:t>
      </w:r>
      <w:r w:rsidR="005318ED">
        <w:rPr>
          <w:b w:val="0"/>
          <w:color w:val="444444"/>
        </w:rPr>
        <w:t>najmenej</w:t>
      </w:r>
      <w:r w:rsidRPr="0094567C">
        <w:rPr>
          <w:b w:val="0"/>
          <w:color w:val="444444"/>
        </w:rPr>
        <w:t xml:space="preserve"> od júna 2015 a bol zistený v 16 členských štátoch</w:t>
      </w:r>
      <w:r w:rsidR="005318ED">
        <w:rPr>
          <w:b w:val="0"/>
          <w:color w:val="444444"/>
        </w:rPr>
        <w:t xml:space="preserve"> EÚ</w:t>
      </w:r>
      <w:r w:rsidRPr="0094567C">
        <w:rPr>
          <w:b w:val="0"/>
          <w:color w:val="444444"/>
        </w:rPr>
        <w:t xml:space="preserve">. Vo väčšine prípadov bol zaistený vo forme prášku, ale aj v tekutej </w:t>
      </w:r>
      <w:r w:rsidR="005318ED">
        <w:rPr>
          <w:b w:val="0"/>
          <w:color w:val="444444"/>
        </w:rPr>
        <w:t xml:space="preserve">forme </w:t>
      </w:r>
      <w:r w:rsidRPr="0094567C">
        <w:rPr>
          <w:b w:val="0"/>
          <w:color w:val="444444"/>
        </w:rPr>
        <w:t>a </w:t>
      </w:r>
      <w:r w:rsidR="005318ED">
        <w:rPr>
          <w:b w:val="0"/>
          <w:color w:val="444444"/>
        </w:rPr>
        <w:t>vo</w:t>
      </w:r>
      <w:r w:rsidRPr="0094567C">
        <w:rPr>
          <w:b w:val="0"/>
          <w:color w:val="444444"/>
        </w:rPr>
        <w:t xml:space="preserve"> forme</w:t>
      </w:r>
      <w:r w:rsidR="005318ED">
        <w:rPr>
          <w:b w:val="0"/>
          <w:color w:val="444444"/>
        </w:rPr>
        <w:t xml:space="preserve"> tabliet</w:t>
      </w:r>
      <w:r w:rsidRPr="0094567C">
        <w:rPr>
          <w:b w:val="0"/>
          <w:color w:val="444444"/>
        </w:rPr>
        <w:t>. Odhalené množstvá sú pomerne malé. Takéto množstvá však treba posudzovať v spojitosti s účinnosťou tejto látky.</w:t>
      </w:r>
    </w:p>
    <w:p w14:paraId="6B1F9AF7" w14:textId="77777777" w:rsidR="008F06D7" w:rsidRDefault="008F06D7" w:rsidP="00767EA1">
      <w:pPr>
        <w:pStyle w:val="Nzov"/>
        <w:spacing w:line="360" w:lineRule="auto"/>
        <w:ind w:firstLine="567"/>
        <w:jc w:val="both"/>
        <w:rPr>
          <w:b w:val="0"/>
        </w:rPr>
      </w:pPr>
    </w:p>
    <w:p w14:paraId="3688E573" w14:textId="055A52D3" w:rsidR="0094567C" w:rsidRPr="00B217E3" w:rsidRDefault="008F06D7" w:rsidP="00E421C7">
      <w:pPr>
        <w:pStyle w:val="Nzov"/>
        <w:spacing w:line="360" w:lineRule="auto"/>
        <w:jc w:val="both"/>
        <w:rPr>
          <w:b w:val="0"/>
        </w:rPr>
      </w:pPr>
      <w:r w:rsidRPr="00B217E3">
        <w:rPr>
          <w:b w:val="0"/>
        </w:rPr>
        <w:t>K</w:t>
      </w:r>
      <w:r w:rsidR="00C61580">
        <w:rPr>
          <w:b w:val="0"/>
        </w:rPr>
        <w:t> </w:t>
      </w:r>
      <w:r w:rsidRPr="00B217E3">
        <w:rPr>
          <w:b w:val="0"/>
        </w:rPr>
        <w:t>bodu</w:t>
      </w:r>
      <w:r w:rsidR="00C61580">
        <w:rPr>
          <w:b w:val="0"/>
        </w:rPr>
        <w:t xml:space="preserve"> 8</w:t>
      </w:r>
    </w:p>
    <w:p w14:paraId="3CD74006" w14:textId="3DA312AC" w:rsidR="009F1A88" w:rsidRDefault="009F1A88" w:rsidP="009F1A88">
      <w:pPr>
        <w:spacing w:line="360" w:lineRule="auto"/>
        <w:ind w:firstLine="708"/>
        <w:jc w:val="both"/>
      </w:pPr>
      <w:r w:rsidRPr="00C43394">
        <w:t>Na 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Pr="00C43394">
        <w:t xml:space="preserve"> </w:t>
      </w:r>
      <w:r>
        <w:t>dňa 14. 3.2018</w:t>
      </w:r>
      <w:r w:rsidRPr="00C43394">
        <w:t xml:space="preserve"> sa navrhuje zaradiť látku </w:t>
      </w:r>
      <w:r w:rsidRPr="009F1A88">
        <w:t xml:space="preserve">Ocfentanyl </w:t>
      </w:r>
      <w:r w:rsidRPr="00C43394">
        <w:t xml:space="preserve">medzi omamné látky </w:t>
      </w:r>
      <w:r>
        <w:t>I</w:t>
      </w:r>
      <w:r w:rsidRPr="00C43394">
        <w:t>. skupiny.</w:t>
      </w:r>
    </w:p>
    <w:p w14:paraId="28BFF874" w14:textId="77777777" w:rsidR="009F1A88" w:rsidRPr="00C43394" w:rsidRDefault="009F1A88" w:rsidP="009F1A88">
      <w:pPr>
        <w:spacing w:line="360" w:lineRule="auto"/>
        <w:ind w:firstLine="708"/>
        <w:jc w:val="both"/>
        <w:rPr>
          <w:color w:val="444444"/>
        </w:rPr>
      </w:pPr>
      <w:r w:rsidRPr="00C43394">
        <w:rPr>
          <w:color w:val="444444"/>
        </w:rPr>
        <w:t xml:space="preserve">Podľa hodnotenia odborného výboru pre drogovú závislosť WHO (ďalej len „odborný výbor“) je </w:t>
      </w:r>
      <w:r w:rsidRPr="009F1A88">
        <w:t>Ocfentanyl</w:t>
      </w:r>
      <w:r w:rsidRPr="00C43394">
        <w:rPr>
          <w:color w:val="444444"/>
        </w:rPr>
        <w:t xml:space="preserve"> látka, ktorú možno zneužívať podobným spôsobom a ktorá môže mať podobné negatívne účinky na zdravie ako kontrolované opioidy, ako je morfín a fentanyl. Okrem toho možno uvedenú látku konvertovať na fentanyl. Uvedená látka nemá žiadne zaznamenané terapeutické použitie a jej užívanie spôsobilo úmrtia. Existujú dostatočné dôkazy, že uvedená látka sa zneužíva alebo ju možno zneužívať, pričom sa môže stať verejným zdravotným a sociálnym problémom, čo si vyžaduje, aby podliehala medzinárodnej kontrole. </w:t>
      </w:r>
    </w:p>
    <w:p w14:paraId="67AB3E8C" w14:textId="77777777" w:rsidR="008F06D7" w:rsidRDefault="008F06D7" w:rsidP="00767EA1">
      <w:pPr>
        <w:pStyle w:val="Nzov"/>
        <w:spacing w:line="360" w:lineRule="auto"/>
        <w:ind w:firstLine="567"/>
        <w:jc w:val="both"/>
        <w:rPr>
          <w:b w:val="0"/>
        </w:rPr>
      </w:pPr>
    </w:p>
    <w:p w14:paraId="2F8B7AD8" w14:textId="2B5E6190" w:rsidR="009F1A88" w:rsidRPr="00B217E3" w:rsidRDefault="009F1A88" w:rsidP="00E421C7">
      <w:pPr>
        <w:pStyle w:val="Nzov"/>
        <w:spacing w:line="360" w:lineRule="auto"/>
        <w:jc w:val="both"/>
        <w:rPr>
          <w:b w:val="0"/>
        </w:rPr>
      </w:pPr>
      <w:r w:rsidRPr="00B217E3">
        <w:rPr>
          <w:b w:val="0"/>
        </w:rPr>
        <w:t>K</w:t>
      </w:r>
      <w:r w:rsidR="00042BFA">
        <w:rPr>
          <w:b w:val="0"/>
        </w:rPr>
        <w:t> </w:t>
      </w:r>
      <w:r w:rsidRPr="00B217E3">
        <w:rPr>
          <w:b w:val="0"/>
        </w:rPr>
        <w:t>bodu</w:t>
      </w:r>
      <w:r w:rsidR="00042BFA">
        <w:rPr>
          <w:b w:val="0"/>
        </w:rPr>
        <w:t xml:space="preserve"> </w:t>
      </w:r>
      <w:r w:rsidR="00C61580">
        <w:rPr>
          <w:b w:val="0"/>
        </w:rPr>
        <w:t>9</w:t>
      </w:r>
    </w:p>
    <w:p w14:paraId="14F47F39" w14:textId="036ED2E3" w:rsidR="009F1A88" w:rsidRDefault="009F1A88" w:rsidP="009F1A88">
      <w:pPr>
        <w:spacing w:line="360" w:lineRule="auto"/>
        <w:ind w:firstLine="708"/>
        <w:jc w:val="both"/>
      </w:pPr>
      <w:r w:rsidRPr="00C43394">
        <w:t>Na 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Pr="00C43394">
        <w:t xml:space="preserve"> </w:t>
      </w:r>
      <w:r>
        <w:t>dňa 14. 3.2018</w:t>
      </w:r>
      <w:r w:rsidRPr="00C43394">
        <w:t xml:space="preserve"> sa navrhuje zaradiť látku </w:t>
      </w:r>
      <w:r>
        <w:t>THF-F, Tetrahydrofuranylfentanyl</w:t>
      </w:r>
      <w:r w:rsidRPr="00C43394">
        <w:t xml:space="preserve"> medzi omamné látky </w:t>
      </w:r>
      <w:r>
        <w:t>I</w:t>
      </w:r>
      <w:r w:rsidRPr="00C43394">
        <w:t>. skupiny.</w:t>
      </w:r>
    </w:p>
    <w:p w14:paraId="02C15D84" w14:textId="77777777" w:rsidR="009F1A88" w:rsidRDefault="009F1A88" w:rsidP="009F1A88">
      <w:pPr>
        <w:spacing w:line="360" w:lineRule="auto"/>
        <w:ind w:firstLine="708"/>
        <w:jc w:val="both"/>
        <w:rPr>
          <w:color w:val="444444"/>
        </w:rPr>
      </w:pPr>
      <w:r w:rsidRPr="00C43394">
        <w:rPr>
          <w:color w:val="444444"/>
        </w:rPr>
        <w:t xml:space="preserve">Podľa hodnotenia odborného výboru pre drogovú závislosť WHO (ďalej len „odborný výbor“) je </w:t>
      </w:r>
      <w:r>
        <w:t>THF-F, Tetrahydrofuranylfentanyl</w:t>
      </w:r>
      <w:r w:rsidRPr="00C43394">
        <w:rPr>
          <w:color w:val="444444"/>
        </w:rPr>
        <w:t xml:space="preserve"> látka, ktorú možno zneužívať podobným spôsobom a ktorá môže mať podobné negatívne účinky na zdravie ako kontrolované opioidy, ako je morfín a fentanyl. Okrem toho možno uvedenú látku konvertovať na fentanyl. Uvedená látka nemá žiadne zaznamenané terapeutické použitie a jej užívanie spôsobilo úmrtia. Existujú dostatočné dôkazy, že uvedená látka </w:t>
      </w:r>
      <w:r w:rsidRPr="00C43394">
        <w:rPr>
          <w:color w:val="444444"/>
        </w:rPr>
        <w:lastRenderedPageBreak/>
        <w:t xml:space="preserve">sa zneužíva alebo ju možno zneužívať, pričom sa môže stať verejným zdravotným a sociálnym problémom, čo si vyžaduje, aby podliehala medzinárodnej kontrole. </w:t>
      </w:r>
    </w:p>
    <w:p w14:paraId="4F2D4015" w14:textId="77777777" w:rsidR="009F1A88" w:rsidRDefault="009F1A88" w:rsidP="009F1A88">
      <w:pPr>
        <w:spacing w:line="360" w:lineRule="auto"/>
        <w:ind w:firstLine="708"/>
        <w:jc w:val="both"/>
        <w:rPr>
          <w:color w:val="444444"/>
        </w:rPr>
      </w:pPr>
    </w:p>
    <w:p w14:paraId="3B5993DB" w14:textId="77777777" w:rsidR="00EC1E3C" w:rsidRDefault="00EC1E3C" w:rsidP="00E421C7">
      <w:pPr>
        <w:spacing w:line="360" w:lineRule="auto"/>
        <w:jc w:val="both"/>
        <w:rPr>
          <w:color w:val="444444"/>
        </w:rPr>
      </w:pPr>
    </w:p>
    <w:p w14:paraId="292EB8C5" w14:textId="77777777" w:rsidR="00EC1E3C" w:rsidRDefault="00EC1E3C" w:rsidP="00E421C7">
      <w:pPr>
        <w:spacing w:line="360" w:lineRule="auto"/>
        <w:jc w:val="both"/>
        <w:rPr>
          <w:color w:val="444444"/>
        </w:rPr>
      </w:pPr>
    </w:p>
    <w:p w14:paraId="6CE20FC0" w14:textId="77777777" w:rsidR="00EC1E3C" w:rsidRDefault="00EC1E3C" w:rsidP="00E421C7">
      <w:pPr>
        <w:spacing w:line="360" w:lineRule="auto"/>
        <w:jc w:val="both"/>
        <w:rPr>
          <w:color w:val="444444"/>
        </w:rPr>
      </w:pPr>
    </w:p>
    <w:p w14:paraId="16004924" w14:textId="660A3F74" w:rsidR="009F1A88" w:rsidRPr="00B217E3" w:rsidRDefault="009F1A88" w:rsidP="00E421C7">
      <w:pPr>
        <w:spacing w:line="360" w:lineRule="auto"/>
        <w:jc w:val="both"/>
        <w:rPr>
          <w:color w:val="444444"/>
        </w:rPr>
      </w:pPr>
      <w:r w:rsidRPr="00B217E3">
        <w:rPr>
          <w:color w:val="444444"/>
        </w:rPr>
        <w:t xml:space="preserve">K bodu </w:t>
      </w:r>
      <w:r w:rsidR="00C61580">
        <w:rPr>
          <w:color w:val="444444"/>
        </w:rPr>
        <w:t>10</w:t>
      </w:r>
    </w:p>
    <w:p w14:paraId="409F588E" w14:textId="77777777" w:rsidR="00EC1E3C" w:rsidRDefault="00EC1E3C" w:rsidP="009F1A88">
      <w:pPr>
        <w:spacing w:line="360" w:lineRule="auto"/>
        <w:ind w:firstLine="708"/>
        <w:jc w:val="both"/>
      </w:pPr>
    </w:p>
    <w:p w14:paraId="24029696" w14:textId="681D219C" w:rsidR="009F1A88" w:rsidRDefault="009F1A88" w:rsidP="009F1A88">
      <w:pPr>
        <w:spacing w:line="360" w:lineRule="auto"/>
        <w:ind w:firstLine="708"/>
        <w:jc w:val="both"/>
      </w:pPr>
      <w:r w:rsidRPr="00C43394">
        <w:t>Na 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Pr="00C43394">
        <w:t xml:space="preserve"> </w:t>
      </w:r>
      <w:r>
        <w:t>dňa 14. 3.2018</w:t>
      </w:r>
      <w:r w:rsidRPr="00C43394">
        <w:t xml:space="preserve"> sa navrhuje zaradiť látk</w:t>
      </w:r>
      <w:r>
        <w:t>u</w:t>
      </w:r>
      <w:r w:rsidRPr="00C43394">
        <w:t xml:space="preserve"> </w:t>
      </w:r>
      <w:r>
        <w:t>AB-CHMINACA</w:t>
      </w:r>
      <w:r w:rsidRPr="00C43394">
        <w:t xml:space="preserve"> </w:t>
      </w:r>
      <w:r>
        <w:t xml:space="preserve"> a látku </w:t>
      </w:r>
      <w:r>
        <w:rPr>
          <w:rFonts w:ascii="Times" w:hAnsi="Times" w:cs="Times"/>
          <w:sz w:val="25"/>
          <w:szCs w:val="25"/>
        </w:rPr>
        <w:t>AB-PINACA</w:t>
      </w:r>
      <w:r w:rsidRPr="00C43394">
        <w:t xml:space="preserve"> medzi </w:t>
      </w:r>
      <w:r>
        <w:t>psychotrop</w:t>
      </w:r>
      <w:r w:rsidRPr="00C43394">
        <w:t xml:space="preserve">né látky </w:t>
      </w:r>
      <w:r>
        <w:t>I</w:t>
      </w:r>
      <w:r w:rsidRPr="00C43394">
        <w:t>. skupiny.</w:t>
      </w:r>
    </w:p>
    <w:p w14:paraId="1257CE4A" w14:textId="77777777" w:rsidR="009F1A88" w:rsidRDefault="009F1A88" w:rsidP="009F1A88">
      <w:pPr>
        <w:spacing w:line="360" w:lineRule="auto"/>
        <w:ind w:firstLine="708"/>
        <w:jc w:val="both"/>
      </w:pPr>
    </w:p>
    <w:p w14:paraId="4D919F89" w14:textId="5B93AB8F" w:rsidR="009F1A88" w:rsidRPr="00B217E3" w:rsidRDefault="009F1A88" w:rsidP="00E421C7">
      <w:pPr>
        <w:spacing w:line="360" w:lineRule="auto"/>
        <w:jc w:val="both"/>
      </w:pPr>
      <w:r w:rsidRPr="00B217E3">
        <w:t xml:space="preserve">K bodu </w:t>
      </w:r>
      <w:r w:rsidR="00C61580">
        <w:t>11</w:t>
      </w:r>
    </w:p>
    <w:p w14:paraId="2D735C29" w14:textId="77777777" w:rsidR="00EC1E3C" w:rsidRDefault="00EC1E3C" w:rsidP="009F1A88">
      <w:pPr>
        <w:spacing w:line="360" w:lineRule="auto"/>
        <w:ind w:firstLine="708"/>
        <w:jc w:val="both"/>
      </w:pPr>
    </w:p>
    <w:p w14:paraId="66A21C84" w14:textId="215DFB03" w:rsidR="009F1A88" w:rsidRDefault="009F1A88" w:rsidP="009F1A88">
      <w:pPr>
        <w:spacing w:line="360" w:lineRule="auto"/>
        <w:ind w:firstLine="708"/>
        <w:jc w:val="both"/>
      </w:pPr>
      <w:r w:rsidRPr="00C43394">
        <w:t>Na 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Pr="00C43394">
        <w:t xml:space="preserve"> </w:t>
      </w:r>
      <w:r>
        <w:t>dňa 14. 3.2018</w:t>
      </w:r>
      <w:r w:rsidRPr="00C43394">
        <w:t xml:space="preserve"> sa navrhuje zaradiť látk</w:t>
      </w:r>
      <w:r>
        <w:t>u</w:t>
      </w:r>
      <w:r w:rsidRPr="00C43394">
        <w:t xml:space="preserve"> </w:t>
      </w:r>
      <w:r w:rsidR="00163F75">
        <w:t xml:space="preserve">4-FA,  </w:t>
      </w:r>
      <w:r w:rsidR="00163F75" w:rsidRPr="00C378F6">
        <w:t>4-Fluóramfetamín</w:t>
      </w:r>
      <w:r w:rsidR="00163F75">
        <w:t xml:space="preserve"> </w:t>
      </w:r>
      <w:r>
        <w:t xml:space="preserve">a látku </w:t>
      </w:r>
      <w:r w:rsidR="00163F75" w:rsidRPr="00E95874">
        <w:t>5F-ADB/5F-MDMB-PINACA</w:t>
      </w:r>
      <w:r w:rsidR="00163F75" w:rsidRPr="00C43394">
        <w:t xml:space="preserve"> </w:t>
      </w:r>
      <w:r w:rsidRPr="00C43394">
        <w:t xml:space="preserve">medzi </w:t>
      </w:r>
      <w:r>
        <w:t>psychotrop</w:t>
      </w:r>
      <w:r w:rsidRPr="00C43394">
        <w:t xml:space="preserve">né látky </w:t>
      </w:r>
      <w:r>
        <w:t>I</w:t>
      </w:r>
      <w:r w:rsidRPr="00C43394">
        <w:t>. skupiny</w:t>
      </w:r>
      <w:r w:rsidR="00163F75">
        <w:t>.</w:t>
      </w:r>
    </w:p>
    <w:p w14:paraId="742CD44F" w14:textId="77777777" w:rsidR="00163F75" w:rsidRDefault="00163F75" w:rsidP="009F1A88">
      <w:pPr>
        <w:spacing w:line="360" w:lineRule="auto"/>
        <w:ind w:firstLine="708"/>
        <w:jc w:val="both"/>
      </w:pPr>
    </w:p>
    <w:p w14:paraId="76D9CB2A" w14:textId="30F91C7C" w:rsidR="00163F75" w:rsidRPr="00B217E3" w:rsidRDefault="00163F75" w:rsidP="00E421C7">
      <w:pPr>
        <w:spacing w:line="360" w:lineRule="auto"/>
        <w:jc w:val="both"/>
      </w:pPr>
      <w:r w:rsidRPr="00B217E3">
        <w:t xml:space="preserve">K bodu </w:t>
      </w:r>
      <w:r w:rsidR="002B0EDE">
        <w:t>1</w:t>
      </w:r>
      <w:r w:rsidR="00C61580">
        <w:t>2</w:t>
      </w:r>
    </w:p>
    <w:p w14:paraId="47EA37D2" w14:textId="77777777" w:rsidR="00EC1E3C" w:rsidRDefault="00EC1E3C" w:rsidP="00163F75">
      <w:pPr>
        <w:spacing w:line="360" w:lineRule="auto"/>
        <w:ind w:firstLine="708"/>
        <w:jc w:val="both"/>
      </w:pPr>
    </w:p>
    <w:p w14:paraId="1C53FCD3" w14:textId="0CD0F8EC" w:rsidR="00163F75" w:rsidRDefault="00163F75" w:rsidP="00163F75">
      <w:pPr>
        <w:spacing w:line="360" w:lineRule="auto"/>
        <w:ind w:firstLine="708"/>
        <w:jc w:val="both"/>
      </w:pPr>
      <w:r w:rsidRPr="00C43394">
        <w:t>Na 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Pr="00C43394">
        <w:t xml:space="preserve"> </w:t>
      </w:r>
      <w:r>
        <w:t>dňa 14. 3.2018</w:t>
      </w:r>
      <w:r w:rsidRPr="00C43394">
        <w:t xml:space="preserve"> sa navrhuje zaradiť látk</w:t>
      </w:r>
      <w:r>
        <w:t>u</w:t>
      </w:r>
      <w:r w:rsidRPr="00C43394">
        <w:t xml:space="preserve"> </w:t>
      </w:r>
      <w:r>
        <w:t xml:space="preserve">5-F-PB-22 </w:t>
      </w:r>
      <w:r w:rsidRPr="00C43394">
        <w:t xml:space="preserve">medzi </w:t>
      </w:r>
      <w:r>
        <w:t>psychotrop</w:t>
      </w:r>
      <w:r w:rsidRPr="00C43394">
        <w:t xml:space="preserve">né látky </w:t>
      </w:r>
      <w:r>
        <w:t>I</w:t>
      </w:r>
      <w:r w:rsidRPr="00C43394">
        <w:t>. skupiny</w:t>
      </w:r>
      <w:r>
        <w:t>.</w:t>
      </w:r>
    </w:p>
    <w:p w14:paraId="5D16FA26" w14:textId="77777777" w:rsidR="00163F75" w:rsidRDefault="00163F75" w:rsidP="00163F75">
      <w:pPr>
        <w:spacing w:line="360" w:lineRule="auto"/>
        <w:ind w:firstLine="708"/>
        <w:jc w:val="both"/>
      </w:pPr>
    </w:p>
    <w:p w14:paraId="5273B827" w14:textId="08431745" w:rsidR="002B0EDE" w:rsidRDefault="00163F75" w:rsidP="00B217E3">
      <w:pPr>
        <w:spacing w:line="360" w:lineRule="auto"/>
        <w:jc w:val="both"/>
      </w:pPr>
      <w:r w:rsidRPr="00B217E3">
        <w:t xml:space="preserve">K bodu </w:t>
      </w:r>
      <w:r w:rsidR="00042BFA">
        <w:t>1</w:t>
      </w:r>
      <w:r w:rsidR="00C61580">
        <w:t>3</w:t>
      </w:r>
    </w:p>
    <w:p w14:paraId="16673FC5" w14:textId="77777777" w:rsidR="00EC1E3C" w:rsidRDefault="00EC1E3C" w:rsidP="00EC1E3C">
      <w:pPr>
        <w:spacing w:line="360" w:lineRule="auto"/>
        <w:ind w:firstLine="708"/>
        <w:jc w:val="both"/>
      </w:pPr>
    </w:p>
    <w:p w14:paraId="494504E4" w14:textId="525B5F63" w:rsidR="00163F75" w:rsidRDefault="00163F75" w:rsidP="00EC1E3C">
      <w:pPr>
        <w:spacing w:line="360" w:lineRule="auto"/>
        <w:ind w:firstLine="708"/>
        <w:jc w:val="both"/>
      </w:pPr>
      <w:r w:rsidRPr="00C43394">
        <w:t>Na 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Pr="00C43394">
        <w:t xml:space="preserve"> </w:t>
      </w:r>
      <w:r>
        <w:t>dňa 14. 3.2018</w:t>
      </w:r>
      <w:r w:rsidRPr="00C43394">
        <w:t xml:space="preserve"> sa navrhuje zaradiť látk</w:t>
      </w:r>
      <w:r>
        <w:t>u</w:t>
      </w:r>
      <w:r w:rsidRPr="00C43394">
        <w:t xml:space="preserve"> </w:t>
      </w:r>
      <w:r>
        <w:t xml:space="preserve">UR-144 </w:t>
      </w:r>
      <w:r w:rsidRPr="00C43394">
        <w:t xml:space="preserve">medzi </w:t>
      </w:r>
      <w:r>
        <w:t>psychotrop</w:t>
      </w:r>
      <w:r w:rsidRPr="00C43394">
        <w:t xml:space="preserve">né látky </w:t>
      </w:r>
      <w:r>
        <w:t>I</w:t>
      </w:r>
      <w:r w:rsidRPr="00C43394">
        <w:t>. skupiny</w:t>
      </w:r>
      <w:r>
        <w:t>.</w:t>
      </w:r>
    </w:p>
    <w:p w14:paraId="77D98614" w14:textId="0A2B0ADF" w:rsidR="00163F75" w:rsidRDefault="00163F75" w:rsidP="00163F75">
      <w:pPr>
        <w:spacing w:line="360" w:lineRule="auto"/>
        <w:ind w:firstLine="708"/>
        <w:jc w:val="both"/>
      </w:pPr>
    </w:p>
    <w:p w14:paraId="304CB121" w14:textId="3E41D4A5" w:rsidR="00D93AC2" w:rsidRDefault="00D93AC2" w:rsidP="00D93AC2">
      <w:pPr>
        <w:spacing w:line="360" w:lineRule="auto"/>
        <w:jc w:val="both"/>
      </w:pPr>
      <w:r>
        <w:t>K bodu 1</w:t>
      </w:r>
      <w:r w:rsidR="00C61580">
        <w:t>4</w:t>
      </w:r>
    </w:p>
    <w:p w14:paraId="52B8A8AF" w14:textId="77777777" w:rsidR="00042478" w:rsidRDefault="00042478" w:rsidP="00042478">
      <w:pPr>
        <w:spacing w:line="360" w:lineRule="auto"/>
        <w:ind w:firstLine="708"/>
        <w:jc w:val="both"/>
      </w:pPr>
      <w:r>
        <w:lastRenderedPageBreak/>
        <w:t>Na základe rozhodnutia  Rady č 2010/759/EÚ sa navrhuje zaradiť látku</w:t>
      </w:r>
      <w:r w:rsidRPr="00D93AC2">
        <w:rPr>
          <w:color w:val="000000"/>
        </w:rPr>
        <w:t xml:space="preserve"> </w:t>
      </w:r>
      <w:r w:rsidRPr="00DB489A">
        <w:rPr>
          <w:color w:val="000000"/>
        </w:rPr>
        <w:t xml:space="preserve">4-metylmetkathinón </w:t>
      </w:r>
      <w:r w:rsidRPr="00DB489A">
        <w:t>(4-MMC), chemicky 1-(4-metylfenyl)-2-(metylamino)propán-1-ón</w:t>
      </w:r>
      <w:r>
        <w:rPr>
          <w:color w:val="000000"/>
        </w:rPr>
        <w:t xml:space="preserve"> </w:t>
      </w:r>
      <w:r w:rsidRPr="00C43394">
        <w:t xml:space="preserve">medzi </w:t>
      </w:r>
      <w:r>
        <w:t>psychotrop</w:t>
      </w:r>
      <w:r w:rsidRPr="00C43394">
        <w:t xml:space="preserve">né látky </w:t>
      </w:r>
      <w:r>
        <w:t>I</w:t>
      </w:r>
      <w:r w:rsidRPr="00C43394">
        <w:t>. skupiny</w:t>
      </w:r>
      <w:r>
        <w:t>.</w:t>
      </w:r>
    </w:p>
    <w:p w14:paraId="74E3B72E" w14:textId="77777777" w:rsidR="00D93AC2" w:rsidRDefault="00D93AC2" w:rsidP="00D93AC2">
      <w:pPr>
        <w:spacing w:line="360" w:lineRule="auto"/>
        <w:jc w:val="both"/>
      </w:pPr>
    </w:p>
    <w:p w14:paraId="696E89D4" w14:textId="63D5319B" w:rsidR="00D93AC2" w:rsidRDefault="00D93AC2" w:rsidP="00D93AC2">
      <w:pPr>
        <w:spacing w:line="360" w:lineRule="auto"/>
        <w:jc w:val="both"/>
      </w:pPr>
      <w:r>
        <w:t>K bodu 1</w:t>
      </w:r>
      <w:r w:rsidR="00C61580">
        <w:t>5</w:t>
      </w:r>
    </w:p>
    <w:p w14:paraId="67967D94" w14:textId="4C774828" w:rsidR="00C61580" w:rsidRDefault="00C61580" w:rsidP="00D93AC2">
      <w:pPr>
        <w:spacing w:line="360" w:lineRule="auto"/>
        <w:ind w:firstLine="708"/>
        <w:jc w:val="both"/>
      </w:pPr>
    </w:p>
    <w:p w14:paraId="1ECCE338" w14:textId="77777777" w:rsidR="00042478" w:rsidRDefault="00042478" w:rsidP="00042478">
      <w:pPr>
        <w:spacing w:line="360" w:lineRule="auto"/>
        <w:ind w:firstLine="708"/>
        <w:jc w:val="both"/>
      </w:pPr>
      <w:r>
        <w:t>Na základe rozhodnutia  Rady č 1999/615/SVV sa navrhuje zaradiť látku</w:t>
      </w:r>
      <w:r w:rsidRPr="00D93AC2">
        <w:rPr>
          <w:color w:val="000000"/>
        </w:rPr>
        <w:t xml:space="preserve"> </w:t>
      </w:r>
      <w:r w:rsidRPr="00DB489A">
        <w:rPr>
          <w:color w:val="000000"/>
        </w:rPr>
        <w:t>P-metyltioamfetamín</w:t>
      </w:r>
      <w:r>
        <w:rPr>
          <w:color w:val="000000"/>
        </w:rPr>
        <w:t xml:space="preserve">, </w:t>
      </w:r>
      <w:r w:rsidRPr="00DB489A">
        <w:rPr>
          <w:color w:val="000000"/>
        </w:rPr>
        <w:t>4-metyltioamfetamín</w:t>
      </w:r>
      <w:r>
        <w:rPr>
          <w:color w:val="000000"/>
        </w:rPr>
        <w:t xml:space="preserve"> </w:t>
      </w:r>
      <w:r w:rsidRPr="00C43394">
        <w:t xml:space="preserve">medzi </w:t>
      </w:r>
      <w:r>
        <w:t>psychotrop</w:t>
      </w:r>
      <w:r w:rsidRPr="00C43394">
        <w:t xml:space="preserve">né látky </w:t>
      </w:r>
      <w:r>
        <w:t>I</w:t>
      </w:r>
      <w:r w:rsidRPr="00C43394">
        <w:t>. skupiny</w:t>
      </w:r>
      <w:r>
        <w:t>.</w:t>
      </w:r>
    </w:p>
    <w:p w14:paraId="1717F715" w14:textId="77777777" w:rsidR="00042478" w:rsidRDefault="00042478" w:rsidP="00D93AC2">
      <w:pPr>
        <w:spacing w:line="360" w:lineRule="auto"/>
        <w:ind w:firstLine="708"/>
        <w:jc w:val="both"/>
      </w:pPr>
    </w:p>
    <w:p w14:paraId="6EF992A4" w14:textId="1418F422" w:rsidR="00163F75" w:rsidRPr="00B217E3" w:rsidRDefault="00163F75" w:rsidP="00E421C7">
      <w:pPr>
        <w:spacing w:line="360" w:lineRule="auto"/>
        <w:jc w:val="both"/>
      </w:pPr>
      <w:r w:rsidRPr="00B217E3">
        <w:t>K bodu 1</w:t>
      </w:r>
      <w:r w:rsidR="00042478">
        <w:t>6</w:t>
      </w:r>
    </w:p>
    <w:p w14:paraId="199C9961" w14:textId="77777777" w:rsidR="00EC1E3C" w:rsidRDefault="00EC1E3C" w:rsidP="00163F75">
      <w:pPr>
        <w:spacing w:line="360" w:lineRule="auto"/>
        <w:ind w:firstLine="708"/>
        <w:jc w:val="both"/>
      </w:pPr>
    </w:p>
    <w:p w14:paraId="777B94A3" w14:textId="6A8208E8" w:rsidR="00163F75" w:rsidRDefault="00163F75" w:rsidP="00163F75">
      <w:pPr>
        <w:spacing w:line="360" w:lineRule="auto"/>
        <w:ind w:firstLine="708"/>
        <w:jc w:val="both"/>
      </w:pPr>
      <w:r w:rsidRPr="00C43394">
        <w:t>Na 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Pr="00C43394">
        <w:t xml:space="preserve"> </w:t>
      </w:r>
      <w:r>
        <w:t>dňa 14. 3.2018</w:t>
      </w:r>
      <w:r w:rsidRPr="00C43394">
        <w:t xml:space="preserve"> sa navrhuje zaradiť látk</w:t>
      </w:r>
      <w:r>
        <w:t>u</w:t>
      </w:r>
      <w:r w:rsidRPr="00C43394">
        <w:t xml:space="preserve"> </w:t>
      </w:r>
      <w:r>
        <w:t>Carfentanyl</w:t>
      </w:r>
      <w:r w:rsidRPr="00C43394">
        <w:t xml:space="preserve"> medzi </w:t>
      </w:r>
      <w:r>
        <w:t>omam</w:t>
      </w:r>
      <w:r w:rsidRPr="00C43394">
        <w:t xml:space="preserve">né látky </w:t>
      </w:r>
      <w:r>
        <w:t>II</w:t>
      </w:r>
      <w:r w:rsidRPr="00C43394">
        <w:t>. skupiny</w:t>
      </w:r>
      <w:r>
        <w:t>.</w:t>
      </w:r>
    </w:p>
    <w:p w14:paraId="5B02232E" w14:textId="77777777" w:rsidR="00163F75" w:rsidRDefault="00163F75" w:rsidP="00163F75">
      <w:pPr>
        <w:spacing w:line="360" w:lineRule="auto"/>
        <w:ind w:firstLine="708"/>
        <w:jc w:val="both"/>
        <w:rPr>
          <w:color w:val="444444"/>
        </w:rPr>
      </w:pPr>
      <w:r w:rsidRPr="00C43394">
        <w:rPr>
          <w:color w:val="444444"/>
        </w:rPr>
        <w:t xml:space="preserve">Podľa hodnotenia odborného výboru pre drogovú závislosť WHO (ďalej len „odborný výbor“) je </w:t>
      </w:r>
      <w:r>
        <w:t>Carfentanyl</w:t>
      </w:r>
      <w:r w:rsidRPr="00C43394">
        <w:t xml:space="preserve"> </w:t>
      </w:r>
      <w:r w:rsidRPr="00C43394">
        <w:rPr>
          <w:color w:val="444444"/>
        </w:rPr>
        <w:t xml:space="preserve">látka, ktorú možno zneužívať podobným spôsobom a ktorá môže mať podobné negatívne účinky na zdravie ako kontrolované opioidy, ako je morfín a fentanyl. Okrem toho možno uvedenú látku konvertovať na fentanyl. Uvedená látka </w:t>
      </w:r>
      <w:r>
        <w:rPr>
          <w:color w:val="444444"/>
        </w:rPr>
        <w:t>sa používa vo veterinárnej medicíne pri liečbe veľkých zvierat</w:t>
      </w:r>
      <w:r w:rsidRPr="00C43394">
        <w:rPr>
          <w:color w:val="444444"/>
        </w:rPr>
        <w:t xml:space="preserve"> a jej užívanie spôsobilo úmrtia. Existujú dostatočné dôkazy, že uvedená látka sa zneužíva alebo ju možno zneužívať, pričom sa môže stať verejným zdravotným a sociálnym problémom, čo si vyžaduje, aby podliehala medzinárodnej kontrole. </w:t>
      </w:r>
      <w:r>
        <w:rPr>
          <w:color w:val="444444"/>
        </w:rPr>
        <w:t>Vzhľadom na možné využitie carfentanylu v lieku na veterinárne použitie navrhuje sa zaradiť medzi omamné látky II. skupiny, čo znamená, že veterinárny lekár bude povinný predpísať takýto veterinárny liek na tlačiv</w:t>
      </w:r>
      <w:r w:rsidR="00C7101E">
        <w:rPr>
          <w:color w:val="444444"/>
        </w:rPr>
        <w:t>e</w:t>
      </w:r>
      <w:r>
        <w:rPr>
          <w:color w:val="444444"/>
        </w:rPr>
        <w:t xml:space="preserve"> so šikmým modrým pruhom, ktoré je podľa zákona č. 362/2011 Z. z.</w:t>
      </w:r>
      <w:r w:rsidR="00C7101E">
        <w:rPr>
          <w:color w:val="444444"/>
        </w:rPr>
        <w:t xml:space="preserve"> </w:t>
      </w:r>
      <w:r>
        <w:rPr>
          <w:color w:val="444444"/>
        </w:rPr>
        <w:t xml:space="preserve">o liekoch a zdravotníckych pomôckach </w:t>
      </w:r>
      <w:r w:rsidR="00C7101E">
        <w:rPr>
          <w:color w:val="444444"/>
        </w:rPr>
        <w:t>určené na predpisovanie liekov s obsahom omamnej látky II. skupiny alebo psychotropnej látky II. skupiny.</w:t>
      </w:r>
    </w:p>
    <w:p w14:paraId="7C0C8030" w14:textId="77777777" w:rsidR="00C7101E" w:rsidRDefault="00C7101E" w:rsidP="00163F75">
      <w:pPr>
        <w:spacing w:line="360" w:lineRule="auto"/>
        <w:ind w:firstLine="708"/>
        <w:jc w:val="both"/>
        <w:rPr>
          <w:color w:val="444444"/>
        </w:rPr>
      </w:pPr>
    </w:p>
    <w:p w14:paraId="069EA189" w14:textId="18728F50" w:rsidR="00C7101E" w:rsidRPr="00B217E3" w:rsidRDefault="00C7101E" w:rsidP="00967461">
      <w:pPr>
        <w:spacing w:line="360" w:lineRule="auto"/>
        <w:jc w:val="both"/>
        <w:rPr>
          <w:color w:val="444444"/>
        </w:rPr>
      </w:pPr>
      <w:r w:rsidRPr="00B217E3">
        <w:rPr>
          <w:color w:val="444444"/>
        </w:rPr>
        <w:t>K bodu 1</w:t>
      </w:r>
      <w:r w:rsidR="00042478">
        <w:rPr>
          <w:color w:val="444444"/>
        </w:rPr>
        <w:t>7</w:t>
      </w:r>
    </w:p>
    <w:p w14:paraId="5500CE70" w14:textId="77777777" w:rsidR="00EC1E3C" w:rsidRDefault="00EC1E3C" w:rsidP="00C7101E">
      <w:pPr>
        <w:spacing w:line="360" w:lineRule="auto"/>
        <w:ind w:firstLine="708"/>
        <w:jc w:val="both"/>
        <w:rPr>
          <w:color w:val="444444"/>
        </w:rPr>
      </w:pPr>
    </w:p>
    <w:p w14:paraId="0EA7AE0F" w14:textId="27752B09" w:rsidR="00C7101E" w:rsidRDefault="00C7101E" w:rsidP="00C7101E">
      <w:pPr>
        <w:spacing w:line="360" w:lineRule="auto"/>
        <w:ind w:firstLine="708"/>
        <w:jc w:val="both"/>
      </w:pPr>
      <w:r>
        <w:rPr>
          <w:color w:val="444444"/>
        </w:rPr>
        <w:t xml:space="preserve">Navrhuje sa vypustenie látky </w:t>
      </w:r>
      <w:r w:rsidRPr="00C378F6">
        <w:t>4-Fluóramfetamín</w:t>
      </w:r>
      <w:r>
        <w:t xml:space="preserve"> zo zoznamu psychotropných látok II. skupiny, pretože na </w:t>
      </w:r>
      <w:r w:rsidRPr="00C43394">
        <w:t>základe rozhodnutia prijatého na 6</w:t>
      </w:r>
      <w:r>
        <w:t>1</w:t>
      </w:r>
      <w:r w:rsidRPr="00C43394">
        <w:t>. zasadnutí Komisie pre omamné látky Úradu OSN pre omamné látky</w:t>
      </w:r>
      <w:r>
        <w:t xml:space="preserve"> </w:t>
      </w:r>
      <w:r w:rsidRPr="00C43394">
        <w:t>a </w:t>
      </w:r>
      <w:r w:rsidR="006325D1">
        <w:t>kriminalitu</w:t>
      </w:r>
      <w:r w:rsidRPr="00C43394">
        <w:t xml:space="preserve"> </w:t>
      </w:r>
      <w:r>
        <w:t>dňa 14. 3.2018</w:t>
      </w:r>
      <w:r w:rsidRPr="00C43394">
        <w:t xml:space="preserve"> sa </w:t>
      </w:r>
      <w:r w:rsidRPr="00C43394">
        <w:lastRenderedPageBreak/>
        <w:t>navrhuje zaradiť látk</w:t>
      </w:r>
      <w:r>
        <w:t>u</w:t>
      </w:r>
      <w:r w:rsidRPr="00C43394">
        <w:t xml:space="preserve"> </w:t>
      </w:r>
      <w:r w:rsidRPr="00C378F6">
        <w:t>4-Fluóramfetamín</w:t>
      </w:r>
      <w:r>
        <w:t xml:space="preserve"> </w:t>
      </w:r>
      <w:r w:rsidRPr="00C43394">
        <w:t xml:space="preserve">medzi </w:t>
      </w:r>
      <w:r>
        <w:t>psychotrop</w:t>
      </w:r>
      <w:r w:rsidRPr="00C43394">
        <w:t xml:space="preserve">né látky </w:t>
      </w:r>
      <w:r>
        <w:t>I</w:t>
      </w:r>
      <w:r w:rsidRPr="00C43394">
        <w:t>. skupiny</w:t>
      </w:r>
      <w:r>
        <w:t xml:space="preserve"> (viď bod 9), pretože nemá využitie ani v humánnej medicíne ani vo veterinárnej medicíne.</w:t>
      </w:r>
    </w:p>
    <w:p w14:paraId="51CD2C25" w14:textId="77777777" w:rsidR="00C7101E" w:rsidRDefault="00C7101E" w:rsidP="00163F75">
      <w:pPr>
        <w:spacing w:line="360" w:lineRule="auto"/>
        <w:ind w:firstLine="708"/>
        <w:jc w:val="both"/>
        <w:rPr>
          <w:color w:val="444444"/>
        </w:rPr>
      </w:pPr>
    </w:p>
    <w:p w14:paraId="47237835" w14:textId="2A45BC44" w:rsidR="003852AC" w:rsidRPr="00B217E3" w:rsidRDefault="008F06D7" w:rsidP="00967461">
      <w:pPr>
        <w:pStyle w:val="Nzov"/>
        <w:spacing w:line="360" w:lineRule="auto"/>
        <w:jc w:val="both"/>
        <w:rPr>
          <w:b w:val="0"/>
        </w:rPr>
      </w:pPr>
      <w:r w:rsidRPr="00B217E3">
        <w:rPr>
          <w:b w:val="0"/>
        </w:rPr>
        <w:t>K</w:t>
      </w:r>
      <w:r w:rsidR="00EC1E3C">
        <w:rPr>
          <w:b w:val="0"/>
        </w:rPr>
        <w:t> </w:t>
      </w:r>
      <w:r w:rsidRPr="00B217E3">
        <w:rPr>
          <w:b w:val="0"/>
        </w:rPr>
        <w:t>bodu 1</w:t>
      </w:r>
      <w:r w:rsidR="00042478">
        <w:rPr>
          <w:b w:val="0"/>
        </w:rPr>
        <w:t>8</w:t>
      </w:r>
      <w:bookmarkStart w:id="0" w:name="_GoBack"/>
      <w:bookmarkEnd w:id="0"/>
    </w:p>
    <w:p w14:paraId="1E7A47D9" w14:textId="77777777" w:rsidR="00EC1E3C" w:rsidRDefault="00EC1E3C" w:rsidP="001437EC">
      <w:pPr>
        <w:pStyle w:val="Odsekzoznamu"/>
        <w:spacing w:after="200" w:line="360" w:lineRule="auto"/>
        <w:ind w:left="0" w:firstLine="708"/>
        <w:jc w:val="both"/>
      </w:pPr>
    </w:p>
    <w:p w14:paraId="36C77141" w14:textId="1E50D7FA" w:rsidR="003852AC" w:rsidRPr="00C43394" w:rsidRDefault="003852AC" w:rsidP="001437EC">
      <w:pPr>
        <w:pStyle w:val="Odsekzoznamu"/>
        <w:spacing w:after="200" w:line="360" w:lineRule="auto"/>
        <w:ind w:left="0" w:firstLine="708"/>
        <w:jc w:val="both"/>
      </w:pPr>
      <w:r w:rsidRPr="00C43394">
        <w:t>Z</w:t>
      </w:r>
      <w:r w:rsidR="005318ED">
        <w:t>ákon sa dopĺňa novou prílohou č. 3. Ide o transpozičnú prílohu, v ktorej sa odkazuje na preberané právne záväzne akty Európskej únie.</w:t>
      </w:r>
    </w:p>
    <w:p w14:paraId="1C50A8F3" w14:textId="77777777" w:rsidR="005F32AD" w:rsidRPr="00C43394" w:rsidRDefault="005F32AD" w:rsidP="005F32AD">
      <w:pPr>
        <w:tabs>
          <w:tab w:val="left" w:pos="720"/>
          <w:tab w:val="left" w:pos="8520"/>
        </w:tabs>
        <w:suppressAutoHyphens/>
        <w:rPr>
          <w:color w:val="000000"/>
          <w:bdr w:val="none" w:sz="0" w:space="0" w:color="auto" w:frame="1"/>
          <w:lang w:eastAsia="en-GB"/>
        </w:rPr>
      </w:pPr>
      <w:r w:rsidRPr="00C43394">
        <w:rPr>
          <w:color w:val="000000"/>
          <w:bdr w:val="none" w:sz="0" w:space="0" w:color="auto" w:frame="1"/>
          <w:lang w:eastAsia="en-GB"/>
        </w:rPr>
        <w:t> </w:t>
      </w:r>
    </w:p>
    <w:p w14:paraId="5D6E400D" w14:textId="77777777" w:rsidR="005F32AD" w:rsidRPr="00C43394" w:rsidRDefault="005F32AD" w:rsidP="005F32AD">
      <w:pPr>
        <w:pStyle w:val="Nzov"/>
        <w:spacing w:line="360" w:lineRule="auto"/>
        <w:jc w:val="both"/>
      </w:pPr>
      <w:r w:rsidRPr="00C43394">
        <w:t>K čl. II</w:t>
      </w:r>
    </w:p>
    <w:p w14:paraId="4E907A69" w14:textId="77777777" w:rsidR="00EC1E3C" w:rsidRDefault="00EC1E3C" w:rsidP="00D5586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99C2164" w14:textId="445D68F6" w:rsidR="005F32AD" w:rsidRDefault="005F32AD" w:rsidP="00D55866">
      <w:pPr>
        <w:pStyle w:val="Default"/>
        <w:spacing w:line="360" w:lineRule="auto"/>
        <w:ind w:firstLine="708"/>
        <w:jc w:val="both"/>
      </w:pPr>
      <w:r w:rsidRPr="00C43394">
        <w:rPr>
          <w:rFonts w:ascii="Times New Roman" w:hAnsi="Times New Roman" w:cs="Times New Roman"/>
        </w:rPr>
        <w:t>Dátum účinnosti sa navrhuje s prihliadnutím na predpokladanú dĺžku legislatívneho procesu</w:t>
      </w:r>
      <w:r w:rsidR="00DD1228">
        <w:rPr>
          <w:rFonts w:ascii="Times New Roman" w:hAnsi="Times New Roman" w:cs="Times New Roman"/>
        </w:rPr>
        <w:t xml:space="preserve"> a stanovený termín transpozície smernice</w:t>
      </w:r>
      <w:r w:rsidR="00DD1228" w:rsidRPr="00DD1228">
        <w:rPr>
          <w:rFonts w:ascii="Times New Roman" w:hAnsi="Times New Roman" w:cs="Times New Roman"/>
          <w:bCs/>
          <w:lang w:eastAsia="sk-SK"/>
        </w:rPr>
        <w:t xml:space="preserve"> </w:t>
      </w:r>
      <w:r w:rsidR="00DD1228" w:rsidRPr="00C2424A">
        <w:rPr>
          <w:rFonts w:ascii="Times New Roman" w:hAnsi="Times New Roman" w:cs="Times New Roman"/>
          <w:bCs/>
          <w:lang w:eastAsia="sk-SK"/>
        </w:rPr>
        <w:t>Európskeho parlamentu a Rady (EÚ) 2017/2103 z 15. novembra 2017</w:t>
      </w:r>
      <w:r w:rsidR="00DD1228">
        <w:rPr>
          <w:rFonts w:ascii="Times New Roman" w:hAnsi="Times New Roman" w:cs="Times New Roman"/>
        </w:rPr>
        <w:t xml:space="preserve">. </w:t>
      </w:r>
    </w:p>
    <w:p w14:paraId="25B9DE09" w14:textId="77777777" w:rsidR="005F32AD" w:rsidRDefault="005F32AD" w:rsidP="005F32AD">
      <w:pPr>
        <w:spacing w:line="360" w:lineRule="auto"/>
        <w:jc w:val="center"/>
      </w:pPr>
    </w:p>
    <w:p w14:paraId="6687B78A" w14:textId="77777777" w:rsidR="002E3065" w:rsidRDefault="002E3065" w:rsidP="002E3065">
      <w:pPr>
        <w:pStyle w:val="Nzov"/>
        <w:jc w:val="both"/>
        <w:rPr>
          <w:b w:val="0"/>
        </w:rPr>
      </w:pPr>
    </w:p>
    <w:p w14:paraId="7F9912C7" w14:textId="77777777" w:rsidR="002E3065" w:rsidRDefault="002E3065" w:rsidP="002E3065">
      <w:pPr>
        <w:pStyle w:val="Nzov"/>
        <w:jc w:val="both"/>
        <w:rPr>
          <w:b w:val="0"/>
        </w:rPr>
      </w:pPr>
    </w:p>
    <w:p w14:paraId="2E7260D8" w14:textId="77777777" w:rsidR="002A4F4D" w:rsidRPr="00402724" w:rsidRDefault="002A4F4D" w:rsidP="002E3065">
      <w:pPr>
        <w:pStyle w:val="Nzov"/>
        <w:jc w:val="both"/>
        <w:rPr>
          <w:b w:val="0"/>
        </w:rPr>
      </w:pPr>
    </w:p>
    <w:p w14:paraId="74F9FE61" w14:textId="77777777" w:rsidR="002E3065" w:rsidRDefault="002E3065" w:rsidP="002E3065">
      <w:pPr>
        <w:pStyle w:val="Nzov"/>
        <w:jc w:val="both"/>
        <w:rPr>
          <w:b w:val="0"/>
        </w:rPr>
      </w:pPr>
    </w:p>
    <w:p w14:paraId="35A0CD1E" w14:textId="77777777" w:rsidR="002E3065" w:rsidRPr="00402724" w:rsidRDefault="002E3065" w:rsidP="002E3065">
      <w:pPr>
        <w:pStyle w:val="Nzov"/>
        <w:jc w:val="both"/>
        <w:rPr>
          <w:b w:val="0"/>
        </w:rPr>
      </w:pPr>
    </w:p>
    <w:p w14:paraId="74E9D7BB" w14:textId="77777777" w:rsidR="002E3065" w:rsidRPr="00402724" w:rsidRDefault="002E3065" w:rsidP="002E3065">
      <w:pPr>
        <w:pStyle w:val="Nzov"/>
        <w:jc w:val="both"/>
        <w:rPr>
          <w:b w:val="0"/>
        </w:rPr>
      </w:pPr>
    </w:p>
    <w:p w14:paraId="4A0606FC" w14:textId="77777777" w:rsidR="002E3065" w:rsidRPr="00402724" w:rsidRDefault="002E3065" w:rsidP="002E3065">
      <w:pPr>
        <w:pStyle w:val="Nzov"/>
        <w:jc w:val="both"/>
      </w:pPr>
    </w:p>
    <w:p w14:paraId="6446DAAB" w14:textId="77777777" w:rsidR="002E3065" w:rsidRPr="00402724" w:rsidRDefault="002E3065" w:rsidP="002E3065">
      <w:pPr>
        <w:pStyle w:val="Nzov"/>
        <w:jc w:val="both"/>
      </w:pPr>
    </w:p>
    <w:p w14:paraId="0D3FCC42" w14:textId="77777777" w:rsidR="002E3065" w:rsidRPr="00402724" w:rsidRDefault="002E3065" w:rsidP="002E3065">
      <w:pPr>
        <w:pStyle w:val="Nzov"/>
        <w:ind w:firstLine="5387"/>
        <w:jc w:val="both"/>
        <w:rPr>
          <w:b w:val="0"/>
        </w:rPr>
      </w:pPr>
    </w:p>
    <w:p w14:paraId="638BB64C" w14:textId="77777777" w:rsidR="002E3065" w:rsidRDefault="002E3065" w:rsidP="002E3065">
      <w:pPr>
        <w:pStyle w:val="Nzov"/>
        <w:ind w:firstLine="5387"/>
        <w:jc w:val="both"/>
        <w:rPr>
          <w:b w:val="0"/>
        </w:rPr>
      </w:pPr>
    </w:p>
    <w:p w14:paraId="01DD75E7" w14:textId="77777777" w:rsidR="002A4F4D" w:rsidRDefault="002A4F4D" w:rsidP="002E3065">
      <w:pPr>
        <w:pStyle w:val="Nzov"/>
        <w:ind w:firstLine="5387"/>
        <w:jc w:val="both"/>
        <w:rPr>
          <w:b w:val="0"/>
        </w:rPr>
      </w:pPr>
    </w:p>
    <w:p w14:paraId="2800CECD" w14:textId="77777777" w:rsidR="002A4F4D" w:rsidRPr="00402724" w:rsidRDefault="002A4F4D" w:rsidP="002E3065">
      <w:pPr>
        <w:pStyle w:val="Nzov"/>
        <w:ind w:firstLine="5387"/>
        <w:jc w:val="both"/>
        <w:rPr>
          <w:b w:val="0"/>
        </w:rPr>
      </w:pPr>
    </w:p>
    <w:p w14:paraId="420A4493" w14:textId="77777777" w:rsidR="002E3065" w:rsidRPr="00402724" w:rsidRDefault="002E3065" w:rsidP="002E3065">
      <w:pPr>
        <w:pStyle w:val="Nzov"/>
        <w:ind w:firstLine="5387"/>
        <w:jc w:val="both"/>
        <w:rPr>
          <w:b w:val="0"/>
        </w:rPr>
      </w:pPr>
    </w:p>
    <w:p w14:paraId="1EF58B6E" w14:textId="77777777" w:rsidR="002E3065" w:rsidRPr="00402724" w:rsidRDefault="002E3065" w:rsidP="002E3065">
      <w:pPr>
        <w:pStyle w:val="Nzov"/>
        <w:ind w:firstLine="5387"/>
        <w:jc w:val="both"/>
        <w:rPr>
          <w:b w:val="0"/>
        </w:rPr>
      </w:pPr>
    </w:p>
    <w:p w14:paraId="4CF2AE23" w14:textId="77777777" w:rsidR="00B94C11" w:rsidRDefault="00B94C11"/>
    <w:sectPr w:rsidR="00B94C11" w:rsidSect="004B684C">
      <w:footerReference w:type="default" r:id="rId8"/>
      <w:pgSz w:w="11906" w:h="16838"/>
      <w:pgMar w:top="1417" w:right="1417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6A50" w14:textId="77777777" w:rsidR="00514779" w:rsidRDefault="00514779" w:rsidP="004B684C">
      <w:r>
        <w:separator/>
      </w:r>
    </w:p>
  </w:endnote>
  <w:endnote w:type="continuationSeparator" w:id="0">
    <w:p w14:paraId="441BC7DD" w14:textId="77777777" w:rsidR="00514779" w:rsidRDefault="00514779" w:rsidP="004B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616E0" w14:textId="695FD4B2" w:rsidR="004B684C" w:rsidRDefault="004B684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42478">
      <w:rPr>
        <w:noProof/>
      </w:rPr>
      <w:t>7</w:t>
    </w:r>
    <w:r>
      <w:fldChar w:fldCharType="end"/>
    </w:r>
  </w:p>
  <w:p w14:paraId="497880D1" w14:textId="77777777" w:rsidR="004B684C" w:rsidRDefault="004B68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8F093" w14:textId="77777777" w:rsidR="00514779" w:rsidRDefault="00514779" w:rsidP="004B684C">
      <w:r>
        <w:separator/>
      </w:r>
    </w:p>
  </w:footnote>
  <w:footnote w:type="continuationSeparator" w:id="0">
    <w:p w14:paraId="41C1EDFB" w14:textId="77777777" w:rsidR="00514779" w:rsidRDefault="00514779" w:rsidP="004B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80CF9"/>
    <w:multiLevelType w:val="hybridMultilevel"/>
    <w:tmpl w:val="4E8CCC64"/>
    <w:lvl w:ilvl="0" w:tplc="D43A4F7C">
      <w:start w:val="1"/>
      <w:numFmt w:val="decimal"/>
      <w:lvlText w:val="K bodu %1"/>
      <w:lvlJc w:val="left"/>
      <w:pPr>
        <w:ind w:left="1353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4A752EBD"/>
    <w:multiLevelType w:val="hybridMultilevel"/>
    <w:tmpl w:val="3A148F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D"/>
    <w:rsid w:val="000209F3"/>
    <w:rsid w:val="00023961"/>
    <w:rsid w:val="00035E4A"/>
    <w:rsid w:val="00042478"/>
    <w:rsid w:val="00042BFA"/>
    <w:rsid w:val="00045AF8"/>
    <w:rsid w:val="00053969"/>
    <w:rsid w:val="00081E35"/>
    <w:rsid w:val="000A3DFF"/>
    <w:rsid w:val="000D1F2C"/>
    <w:rsid w:val="000E07EF"/>
    <w:rsid w:val="000E691E"/>
    <w:rsid w:val="0013037A"/>
    <w:rsid w:val="001437EC"/>
    <w:rsid w:val="001528CA"/>
    <w:rsid w:val="00163F75"/>
    <w:rsid w:val="00166205"/>
    <w:rsid w:val="001718C8"/>
    <w:rsid w:val="00197FD0"/>
    <w:rsid w:val="001B5AB1"/>
    <w:rsid w:val="001F1F3B"/>
    <w:rsid w:val="002212F0"/>
    <w:rsid w:val="0022680F"/>
    <w:rsid w:val="0023548E"/>
    <w:rsid w:val="00277AE2"/>
    <w:rsid w:val="00297DAB"/>
    <w:rsid w:val="002A228E"/>
    <w:rsid w:val="002A4F4D"/>
    <w:rsid w:val="002B0EDE"/>
    <w:rsid w:val="002B6319"/>
    <w:rsid w:val="002C2C0F"/>
    <w:rsid w:val="002C3FB0"/>
    <w:rsid w:val="002E3065"/>
    <w:rsid w:val="002F121E"/>
    <w:rsid w:val="002F195C"/>
    <w:rsid w:val="002F3AB7"/>
    <w:rsid w:val="00304091"/>
    <w:rsid w:val="00327069"/>
    <w:rsid w:val="003546B7"/>
    <w:rsid w:val="003852AC"/>
    <w:rsid w:val="003975E2"/>
    <w:rsid w:val="003A13F9"/>
    <w:rsid w:val="003B2691"/>
    <w:rsid w:val="003B4D34"/>
    <w:rsid w:val="003C5399"/>
    <w:rsid w:val="003E6BBB"/>
    <w:rsid w:val="003E7AFA"/>
    <w:rsid w:val="00402724"/>
    <w:rsid w:val="00404891"/>
    <w:rsid w:val="0041173B"/>
    <w:rsid w:val="0047556C"/>
    <w:rsid w:val="0048360B"/>
    <w:rsid w:val="004B684C"/>
    <w:rsid w:val="004C3EA6"/>
    <w:rsid w:val="004F098B"/>
    <w:rsid w:val="00514779"/>
    <w:rsid w:val="0052716E"/>
    <w:rsid w:val="005318ED"/>
    <w:rsid w:val="00544CE5"/>
    <w:rsid w:val="005451E7"/>
    <w:rsid w:val="00572CA1"/>
    <w:rsid w:val="005B5272"/>
    <w:rsid w:val="005D7BE7"/>
    <w:rsid w:val="005E2F0A"/>
    <w:rsid w:val="005F32AD"/>
    <w:rsid w:val="005F42F8"/>
    <w:rsid w:val="00614895"/>
    <w:rsid w:val="006325D1"/>
    <w:rsid w:val="0065518E"/>
    <w:rsid w:val="00680BF2"/>
    <w:rsid w:val="00694315"/>
    <w:rsid w:val="006E2A3D"/>
    <w:rsid w:val="00755113"/>
    <w:rsid w:val="007678E2"/>
    <w:rsid w:val="00767EA1"/>
    <w:rsid w:val="007B7C81"/>
    <w:rsid w:val="007F447C"/>
    <w:rsid w:val="007F6983"/>
    <w:rsid w:val="00805AF4"/>
    <w:rsid w:val="00831AC3"/>
    <w:rsid w:val="00831D09"/>
    <w:rsid w:val="00834A49"/>
    <w:rsid w:val="00861E0F"/>
    <w:rsid w:val="00874FA1"/>
    <w:rsid w:val="008A1606"/>
    <w:rsid w:val="008A5B09"/>
    <w:rsid w:val="008D711C"/>
    <w:rsid w:val="008F06D7"/>
    <w:rsid w:val="0092208F"/>
    <w:rsid w:val="009253BA"/>
    <w:rsid w:val="00927DC6"/>
    <w:rsid w:val="0094567C"/>
    <w:rsid w:val="00954D26"/>
    <w:rsid w:val="009574BD"/>
    <w:rsid w:val="00967461"/>
    <w:rsid w:val="009F1A88"/>
    <w:rsid w:val="00A25184"/>
    <w:rsid w:val="00A54A4A"/>
    <w:rsid w:val="00A931D4"/>
    <w:rsid w:val="00A972AF"/>
    <w:rsid w:val="00AC1FBD"/>
    <w:rsid w:val="00AE77AC"/>
    <w:rsid w:val="00B217E3"/>
    <w:rsid w:val="00B72277"/>
    <w:rsid w:val="00B90748"/>
    <w:rsid w:val="00B94C11"/>
    <w:rsid w:val="00BA6DCE"/>
    <w:rsid w:val="00BB4264"/>
    <w:rsid w:val="00C43394"/>
    <w:rsid w:val="00C5641C"/>
    <w:rsid w:val="00C61580"/>
    <w:rsid w:val="00C7101E"/>
    <w:rsid w:val="00CB6319"/>
    <w:rsid w:val="00CC1CC8"/>
    <w:rsid w:val="00D24CC1"/>
    <w:rsid w:val="00D41E0A"/>
    <w:rsid w:val="00D55866"/>
    <w:rsid w:val="00D567BC"/>
    <w:rsid w:val="00D6620F"/>
    <w:rsid w:val="00D722A2"/>
    <w:rsid w:val="00D93AC2"/>
    <w:rsid w:val="00D95CF3"/>
    <w:rsid w:val="00DD1228"/>
    <w:rsid w:val="00DE73F6"/>
    <w:rsid w:val="00DF7E7A"/>
    <w:rsid w:val="00E07EF6"/>
    <w:rsid w:val="00E34249"/>
    <w:rsid w:val="00E36D73"/>
    <w:rsid w:val="00E37EE3"/>
    <w:rsid w:val="00E421C7"/>
    <w:rsid w:val="00E44FBE"/>
    <w:rsid w:val="00E55154"/>
    <w:rsid w:val="00E6273A"/>
    <w:rsid w:val="00EC1E3C"/>
    <w:rsid w:val="00ED5CDF"/>
    <w:rsid w:val="00ED7166"/>
    <w:rsid w:val="00EF7501"/>
    <w:rsid w:val="00F154F4"/>
    <w:rsid w:val="00F43C17"/>
    <w:rsid w:val="00F847A8"/>
    <w:rsid w:val="00FA1862"/>
    <w:rsid w:val="00FC461D"/>
    <w:rsid w:val="00FD3652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8F73E"/>
  <w14:defaultImageDpi w14:val="0"/>
  <w15:docId w15:val="{CFC28025-5024-4BE4-B59C-D1F46CE3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2A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5F32AD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5F32AD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5F32AD"/>
    <w:pPr>
      <w:ind w:left="720"/>
      <w:contextualSpacing/>
    </w:pPr>
  </w:style>
  <w:style w:type="paragraph" w:customStyle="1" w:styleId="Default">
    <w:name w:val="Default"/>
    <w:rsid w:val="005F32A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F32AD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4B68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B684C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4B68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B684C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8A1606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A1606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67EA1"/>
    <w:rPr>
      <w:rFonts w:ascii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67EA1"/>
    <w:rPr>
      <w:rFonts w:ascii="Calibri" w:hAnsi="Calibri" w:cs="Consolas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045A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A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AF8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A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AF8"/>
    <w:rPr>
      <w:rFonts w:ascii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62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96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9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9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9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9630">
                                                      <w:marLeft w:val="810"/>
                                                      <w:marRight w:val="81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99632">
                                                          <w:marLeft w:val="4005"/>
                                                          <w:marRight w:val="81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79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E5E7-8B3A-465B-A3A0-9FE632AE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Korgová Katarína</dc:creator>
  <cp:keywords/>
  <dc:description/>
  <cp:lastModifiedBy>Mazancová Tatiana</cp:lastModifiedBy>
  <cp:revision>4</cp:revision>
  <cp:lastPrinted>2018-05-15T07:22:00Z</cp:lastPrinted>
  <dcterms:created xsi:type="dcterms:W3CDTF">2018-05-15T11:32:00Z</dcterms:created>
  <dcterms:modified xsi:type="dcterms:W3CDTF">2018-05-16T13:24:00Z</dcterms:modified>
</cp:coreProperties>
</file>