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D0" w:rsidRPr="00DB5C28" w:rsidRDefault="00FD25D0" w:rsidP="00FD25D0">
      <w:pPr>
        <w:spacing w:before="0"/>
        <w:jc w:val="right"/>
        <w:rPr>
          <w:i/>
          <w:iCs/>
        </w:rPr>
      </w:pPr>
      <w:r w:rsidRPr="00DB5C28">
        <w:rPr>
          <w:i/>
          <w:iCs/>
        </w:rPr>
        <w:t>Príloha C</w:t>
      </w:r>
    </w:p>
    <w:p w:rsidR="00FD25D0" w:rsidRPr="00DB5C28" w:rsidRDefault="00FD25D0" w:rsidP="00FD25D0">
      <w:pPr>
        <w:autoSpaceDE w:val="0"/>
        <w:autoSpaceDN w:val="0"/>
        <w:ind w:firstLin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jc w:val="center"/>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240" w:after="60"/>
        <w:outlineLvl w:val="6"/>
        <w:rPr>
          <w:i/>
          <w:iCs/>
        </w:rPr>
      </w:pPr>
    </w:p>
    <w:p w:rsidR="00FD25D0" w:rsidRPr="00DB5C28" w:rsidRDefault="00FD25D0" w:rsidP="00FD25D0">
      <w:pPr>
        <w:spacing w:before="240" w:after="60"/>
        <w:outlineLvl w:val="6"/>
        <w:rPr>
          <w:i/>
          <w:iCs/>
        </w:rPr>
      </w:pPr>
    </w:p>
    <w:p w:rsidR="00FD25D0" w:rsidRPr="00DB5C28" w:rsidRDefault="00FD25D0" w:rsidP="00FD25D0">
      <w:pPr>
        <w:spacing w:before="240" w:after="60"/>
        <w:ind w:firstLine="0"/>
        <w:outlineLvl w:val="6"/>
        <w:rPr>
          <w:i/>
          <w:iCs/>
        </w:rPr>
      </w:pPr>
    </w:p>
    <w:p w:rsidR="00FD25D0" w:rsidRPr="00DB5C28" w:rsidRDefault="00FD25D0" w:rsidP="00FD25D0">
      <w:pPr>
        <w:spacing w:before="240" w:after="60"/>
        <w:jc w:val="center"/>
        <w:outlineLvl w:val="6"/>
        <w:rPr>
          <w:b/>
          <w:i/>
          <w:iCs/>
          <w:sz w:val="36"/>
          <w:szCs w:val="36"/>
        </w:rPr>
      </w:pPr>
      <w:r w:rsidRPr="00DB5C28">
        <w:rPr>
          <w:b/>
          <w:i/>
          <w:iCs/>
          <w:sz w:val="36"/>
          <w:szCs w:val="36"/>
        </w:rPr>
        <w:t>Štátna banská správa</w:t>
      </w:r>
    </w:p>
    <w:p w:rsidR="00FD25D0" w:rsidRPr="00DB5C28" w:rsidRDefault="00FD25D0" w:rsidP="00FD25D0">
      <w:pPr>
        <w:spacing w:before="0"/>
        <w:jc w:val="center"/>
        <w:rPr>
          <w:i/>
          <w:iCs/>
        </w:rPr>
      </w:pPr>
      <w:r w:rsidRPr="00DB5C28">
        <w:rPr>
          <w:i/>
          <w:iCs/>
        </w:rPr>
        <w:t>(MH SR)</w:t>
      </w:r>
    </w:p>
    <w:p w:rsidR="00FD25D0" w:rsidRPr="00DB5C28" w:rsidRDefault="00FD25D0" w:rsidP="00FD25D0">
      <w:pPr>
        <w:spacing w:before="0"/>
        <w:jc w:val="center"/>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FD25D0" w:rsidRPr="00DB5C28" w:rsidRDefault="00FD25D0" w:rsidP="00FD25D0">
      <w:pPr>
        <w:spacing w:before="0"/>
      </w:pPr>
    </w:p>
    <w:p w:rsidR="00DF03F0" w:rsidRPr="00DB5C28" w:rsidRDefault="00DF03F0" w:rsidP="00FD25D0">
      <w:pPr>
        <w:spacing w:before="0"/>
      </w:pPr>
    </w:p>
    <w:p w:rsidR="00DF03F0" w:rsidRPr="00DB5C28" w:rsidRDefault="00DF03F0" w:rsidP="00FD25D0">
      <w:pPr>
        <w:spacing w:before="0"/>
      </w:pPr>
    </w:p>
    <w:p w:rsidR="00D13CDF" w:rsidRPr="00DB5C28" w:rsidRDefault="00FD25D0" w:rsidP="006D2747">
      <w:pPr>
        <w:spacing w:before="0"/>
        <w:ind w:firstLine="0"/>
        <w:rPr>
          <w:i/>
          <w:iCs/>
        </w:rPr>
      </w:pPr>
      <w:r w:rsidRPr="00DB5C28">
        <w:rPr>
          <w:i/>
          <w:iCs/>
        </w:rPr>
        <w:t>Zdroj údajov: Hlavný banský úrad</w:t>
      </w: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877B9" w:rsidRPr="00DB5C28" w:rsidRDefault="007877B9" w:rsidP="006D2747">
      <w:pPr>
        <w:spacing w:before="0"/>
        <w:ind w:firstLine="0"/>
        <w:rPr>
          <w:i/>
          <w:iCs/>
        </w:rPr>
      </w:pPr>
    </w:p>
    <w:p w:rsidR="00710755" w:rsidRPr="00DB5C28" w:rsidRDefault="00710755" w:rsidP="00710755">
      <w:pPr>
        <w:spacing w:before="0" w:line="300" w:lineRule="auto"/>
        <w:jc w:val="center"/>
        <w:rPr>
          <w:b/>
          <w:bCs/>
          <w:spacing w:val="20"/>
        </w:rPr>
      </w:pPr>
      <w:r w:rsidRPr="00DB5C28">
        <w:rPr>
          <w:b/>
          <w:bCs/>
          <w:spacing w:val="20"/>
        </w:rPr>
        <w:t>Informácia</w:t>
      </w:r>
    </w:p>
    <w:p w:rsidR="00710755" w:rsidRPr="00DB5C28" w:rsidRDefault="00710755" w:rsidP="00710755">
      <w:pPr>
        <w:spacing w:before="0"/>
        <w:jc w:val="center"/>
        <w:rPr>
          <w:b/>
          <w:bCs/>
        </w:rPr>
      </w:pPr>
      <w:r w:rsidRPr="00DB5C28">
        <w:rPr>
          <w:b/>
          <w:bCs/>
        </w:rPr>
        <w:t xml:space="preserve">o stave bezpečnosti a ochrany zdravia pri práci, vývoji pracovnej úrazovosti, chorôb z povolania a iných poškodení zdravia z práce v SR za oblasť hlavného </w:t>
      </w:r>
    </w:p>
    <w:p w:rsidR="00710755" w:rsidRPr="00DB5C28" w:rsidRDefault="00710755" w:rsidP="00710755">
      <w:pPr>
        <w:spacing w:before="0"/>
        <w:jc w:val="center"/>
        <w:rPr>
          <w:b/>
          <w:spacing w:val="20"/>
        </w:rPr>
      </w:pPr>
      <w:r w:rsidRPr="00DB5C28">
        <w:rPr>
          <w:b/>
          <w:bCs/>
        </w:rPr>
        <w:t xml:space="preserve">dozoru štátnej banskej správy SR za rok </w:t>
      </w:r>
      <w:r w:rsidR="002E5ED5" w:rsidRPr="00DB5C28">
        <w:rPr>
          <w:b/>
          <w:spacing w:val="20"/>
        </w:rPr>
        <w:t>2017</w:t>
      </w:r>
    </w:p>
    <w:p w:rsidR="00710755" w:rsidRPr="00DB5C28" w:rsidRDefault="00710755" w:rsidP="00710755">
      <w:pPr>
        <w:ind w:firstLine="0"/>
      </w:pPr>
    </w:p>
    <w:p w:rsidR="00710755" w:rsidRPr="00DB5C28" w:rsidRDefault="00710755" w:rsidP="004176C0">
      <w:pPr>
        <w:keepNext/>
        <w:numPr>
          <w:ilvl w:val="0"/>
          <w:numId w:val="5"/>
        </w:numPr>
        <w:tabs>
          <w:tab w:val="left" w:pos="567"/>
        </w:tabs>
        <w:suppressAutoHyphens/>
        <w:spacing w:after="120"/>
        <w:ind w:hanging="567"/>
        <w:jc w:val="left"/>
        <w:outlineLvl w:val="0"/>
        <w:rPr>
          <w:b/>
          <w:bCs/>
          <w:kern w:val="32"/>
        </w:rPr>
      </w:pPr>
      <w:r w:rsidRPr="00DB5C28">
        <w:rPr>
          <w:b/>
          <w:bCs/>
          <w:kern w:val="32"/>
        </w:rPr>
        <w:t>Úvod</w:t>
      </w:r>
    </w:p>
    <w:p w:rsidR="00D13CDF" w:rsidRPr="00DB5C28" w:rsidRDefault="00D13CDF" w:rsidP="00D13CDF">
      <w:pPr>
        <w:suppressAutoHyphens/>
      </w:pPr>
      <w:r w:rsidRPr="00DB5C28">
        <w:t>V súlade s úlohou podľa bodu B.3 uznesenia vlády Sl</w:t>
      </w:r>
      <w:r w:rsidR="00E3304C" w:rsidRPr="00DB5C28">
        <w:t>ovenskej republiky č. 475 z 11. </w:t>
      </w:r>
      <w:r w:rsidRPr="00DB5C28">
        <w:t xml:space="preserve">júna 2003 a v termíne podľa bodu B.1 uznesenia vlády Slovenskej republiky č. 624 z 9. septembra 2009 predkladá minister práce, sociálnych vecí a rodiny </w:t>
      </w:r>
      <w:r w:rsidR="007D0CB3" w:rsidRPr="00DB5C28">
        <w:t xml:space="preserve">SR </w:t>
      </w:r>
      <w:r w:rsidR="009A6E55" w:rsidRPr="00DB5C28">
        <w:t>každoročne do </w:t>
      </w:r>
      <w:r w:rsidRPr="00DB5C28">
        <w:t>30. júna na rokovanie vlády „S</w:t>
      </w:r>
      <w:r w:rsidRPr="00DB5C28">
        <w:rPr>
          <w:iCs/>
        </w:rPr>
        <w:t>právu o stave ochrany práce a o činnosti orgánov štátnej správy v oblasti inšpekcie práce</w:t>
      </w:r>
      <w:r w:rsidRPr="00DB5C28">
        <w:t xml:space="preserve">“ za predchádzajúci rok. </w:t>
      </w:r>
    </w:p>
    <w:p w:rsidR="00D13CDF" w:rsidRPr="00DB5C28" w:rsidRDefault="00D13CDF" w:rsidP="00D13CDF">
      <w:pPr>
        <w:suppressAutoHyphens/>
        <w:rPr>
          <w:iCs/>
        </w:rPr>
      </w:pPr>
      <w:r w:rsidRPr="00DB5C28">
        <w:t xml:space="preserve">V súvislosti s vyššie uvedeným, Hlavný banský úrad </w:t>
      </w:r>
      <w:r w:rsidR="002E5ED5" w:rsidRPr="00DB5C28">
        <w:t xml:space="preserve">(ďalej len „HBÚ“) </w:t>
      </w:r>
      <w:r w:rsidRPr="00DB5C28">
        <w:t xml:space="preserve">na základe požiadavky Ministerstva práce, sociálnych vecí a rodiny Slovenskej republiky </w:t>
      </w:r>
      <w:r w:rsidR="002E5ED5" w:rsidRPr="00DB5C28">
        <w:t xml:space="preserve">(ďalej </w:t>
      </w:r>
      <w:r w:rsidR="00050F19" w:rsidRPr="00DB5C28">
        <w:t>len „</w:t>
      </w:r>
      <w:r w:rsidR="002E5ED5" w:rsidRPr="00DB5C28">
        <w:t xml:space="preserve">MPSVR SR“) </w:t>
      </w:r>
      <w:r w:rsidRPr="00DB5C28">
        <w:t xml:space="preserve">č. 8520/2018-M_OOP 2978/2018 z 18. 01. 2018 vypracoval túto informáciu o </w:t>
      </w:r>
      <w:r w:rsidRPr="00DB5C28">
        <w:rPr>
          <w:iCs/>
        </w:rPr>
        <w:t>stave bezpečnosti, ochrany zdravia pri práci a pracovnej úrazovosti za rok 2017.</w:t>
      </w:r>
    </w:p>
    <w:p w:rsidR="00D13CDF" w:rsidRPr="00DB5C28" w:rsidRDefault="00D13CDF" w:rsidP="002E5ED5">
      <w:pPr>
        <w:keepNext/>
        <w:numPr>
          <w:ilvl w:val="0"/>
          <w:numId w:val="5"/>
        </w:numPr>
        <w:tabs>
          <w:tab w:val="left" w:pos="567"/>
        </w:tabs>
        <w:suppressAutoHyphens/>
        <w:spacing w:after="120"/>
        <w:ind w:hanging="567"/>
        <w:jc w:val="left"/>
        <w:outlineLvl w:val="0"/>
        <w:rPr>
          <w:b/>
          <w:bCs/>
          <w:kern w:val="32"/>
        </w:rPr>
      </w:pPr>
      <w:r w:rsidRPr="00DB5C28">
        <w:rPr>
          <w:b/>
          <w:bCs/>
          <w:kern w:val="32"/>
        </w:rPr>
        <w:t>Orgány dozoru štátnej banskej správy</w:t>
      </w:r>
    </w:p>
    <w:p w:rsidR="00D13CDF" w:rsidRPr="00DB5C28" w:rsidRDefault="00D13CDF" w:rsidP="00D13CDF">
      <w:pPr>
        <w:widowControl w:val="0"/>
        <w:autoSpaceDE w:val="0"/>
        <w:autoSpaceDN w:val="0"/>
        <w:adjustRightInd w:val="0"/>
      </w:pPr>
      <w:r w:rsidRPr="00DB5C28">
        <w:t xml:space="preserve">Podľa § 38 zákona č. 51/1988 Zb. o banskej činnosti, výbušninách a o štátnej banskej správe v znení neskorších predpisov (ďalej len „zákon č. 51/1988 Zb.“), orgánmi štátnej banskej správy sú:  </w:t>
      </w:r>
    </w:p>
    <w:p w:rsidR="00D13CDF" w:rsidRPr="00DB5C28" w:rsidRDefault="00D13CDF" w:rsidP="00D13CDF">
      <w:pPr>
        <w:widowControl w:val="0"/>
        <w:numPr>
          <w:ilvl w:val="0"/>
          <w:numId w:val="8"/>
        </w:numPr>
        <w:autoSpaceDE w:val="0"/>
        <w:autoSpaceDN w:val="0"/>
        <w:adjustRightInd w:val="0"/>
        <w:contextualSpacing/>
      </w:pPr>
      <w:r w:rsidRPr="00DB5C28">
        <w:t>Ministerstvo h</w:t>
      </w:r>
      <w:r w:rsidR="009E7814" w:rsidRPr="00DB5C28">
        <w:t>ospodárstva SR</w:t>
      </w:r>
      <w:r w:rsidRPr="00DB5C28">
        <w:t xml:space="preserve"> </w:t>
      </w:r>
      <w:r w:rsidR="00050F19" w:rsidRPr="00DB5C28">
        <w:t xml:space="preserve">(ďalej len „MH SR“) </w:t>
      </w:r>
      <w:r w:rsidRPr="00DB5C28">
        <w:t xml:space="preserve">ako ústredný orgán štátnej banskej správy, </w:t>
      </w:r>
    </w:p>
    <w:p w:rsidR="00D13CDF" w:rsidRPr="00DB5C28" w:rsidRDefault="00D13CDF" w:rsidP="00D13CDF">
      <w:pPr>
        <w:widowControl w:val="0"/>
        <w:numPr>
          <w:ilvl w:val="0"/>
          <w:numId w:val="8"/>
        </w:numPr>
        <w:autoSpaceDE w:val="0"/>
        <w:autoSpaceDN w:val="0"/>
        <w:adjustRightInd w:val="0"/>
        <w:contextualSpacing/>
      </w:pPr>
      <w:r w:rsidRPr="00DB5C28">
        <w:t xml:space="preserve">Hlavný banský úrad </w:t>
      </w:r>
      <w:r w:rsidR="00050F19" w:rsidRPr="00DB5C28">
        <w:t xml:space="preserve">(ďalej len „HBÚ“) </w:t>
      </w:r>
      <w:r w:rsidRPr="00DB5C28">
        <w:t xml:space="preserve">s postavením národného orgánu štátnej banskej správy Slovenskej republiky, </w:t>
      </w:r>
    </w:p>
    <w:p w:rsidR="00D13CDF" w:rsidRPr="00DB5C28" w:rsidRDefault="00D13CDF" w:rsidP="00D13CDF">
      <w:pPr>
        <w:widowControl w:val="0"/>
        <w:numPr>
          <w:ilvl w:val="0"/>
          <w:numId w:val="8"/>
        </w:numPr>
        <w:autoSpaceDE w:val="0"/>
        <w:autoSpaceDN w:val="0"/>
        <w:adjustRightInd w:val="0"/>
        <w:contextualSpacing/>
      </w:pPr>
      <w:r w:rsidRPr="00DB5C28">
        <w:t xml:space="preserve">obvodné banské úrady </w:t>
      </w:r>
      <w:r w:rsidR="00050F19" w:rsidRPr="00DB5C28">
        <w:t xml:space="preserve">(ďalej len OBÚ“), </w:t>
      </w:r>
      <w:r w:rsidRPr="00DB5C28">
        <w:t xml:space="preserve">a to: </w:t>
      </w:r>
    </w:p>
    <w:p w:rsidR="00D13CDF" w:rsidRPr="00DB5C28" w:rsidRDefault="00050F19" w:rsidP="00B825F0">
      <w:pPr>
        <w:widowControl w:val="0"/>
        <w:numPr>
          <w:ilvl w:val="0"/>
          <w:numId w:val="9"/>
        </w:numPr>
        <w:autoSpaceDE w:val="0"/>
        <w:autoSpaceDN w:val="0"/>
        <w:adjustRightInd w:val="0"/>
        <w:contextualSpacing/>
      </w:pPr>
      <w:r w:rsidRPr="00DB5C28">
        <w:t>OBÚ</w:t>
      </w:r>
      <w:r w:rsidR="00D13CDF" w:rsidRPr="00DB5C28">
        <w:t xml:space="preserve"> v Bratislave, </w:t>
      </w:r>
    </w:p>
    <w:p w:rsidR="00D13CDF" w:rsidRPr="00DB5C28" w:rsidRDefault="00050F19" w:rsidP="00B825F0">
      <w:pPr>
        <w:widowControl w:val="0"/>
        <w:numPr>
          <w:ilvl w:val="0"/>
          <w:numId w:val="9"/>
        </w:numPr>
        <w:autoSpaceDE w:val="0"/>
        <w:autoSpaceDN w:val="0"/>
        <w:adjustRightInd w:val="0"/>
        <w:contextualSpacing/>
      </w:pPr>
      <w:r w:rsidRPr="00DB5C28">
        <w:t>OBÚ</w:t>
      </w:r>
      <w:r w:rsidR="00D13CDF" w:rsidRPr="00DB5C28">
        <w:t xml:space="preserve"> v Banskej Bystrici, </w:t>
      </w:r>
    </w:p>
    <w:p w:rsidR="00D13CDF" w:rsidRPr="00DB5C28" w:rsidRDefault="00050F19" w:rsidP="00B825F0">
      <w:pPr>
        <w:widowControl w:val="0"/>
        <w:numPr>
          <w:ilvl w:val="0"/>
          <w:numId w:val="9"/>
        </w:numPr>
        <w:autoSpaceDE w:val="0"/>
        <w:autoSpaceDN w:val="0"/>
        <w:adjustRightInd w:val="0"/>
        <w:contextualSpacing/>
      </w:pPr>
      <w:r w:rsidRPr="00DB5C28">
        <w:t>OBÚ</w:t>
      </w:r>
      <w:r w:rsidR="00D13CDF" w:rsidRPr="00DB5C28">
        <w:t xml:space="preserve"> v Košiciach, </w:t>
      </w:r>
    </w:p>
    <w:p w:rsidR="00D13CDF" w:rsidRPr="00DB5C28" w:rsidRDefault="00050F19" w:rsidP="00B825F0">
      <w:pPr>
        <w:widowControl w:val="0"/>
        <w:numPr>
          <w:ilvl w:val="0"/>
          <w:numId w:val="9"/>
        </w:numPr>
        <w:autoSpaceDE w:val="0"/>
        <w:autoSpaceDN w:val="0"/>
        <w:adjustRightInd w:val="0"/>
        <w:contextualSpacing/>
      </w:pPr>
      <w:r w:rsidRPr="00DB5C28">
        <w:t>OBÚ</w:t>
      </w:r>
      <w:r w:rsidR="00D13CDF" w:rsidRPr="00DB5C28">
        <w:t xml:space="preserve"> v Prievidzi, </w:t>
      </w:r>
    </w:p>
    <w:p w:rsidR="00D13CDF" w:rsidRPr="00DB5C28" w:rsidRDefault="00050F19" w:rsidP="00B825F0">
      <w:pPr>
        <w:widowControl w:val="0"/>
        <w:numPr>
          <w:ilvl w:val="0"/>
          <w:numId w:val="9"/>
        </w:numPr>
        <w:autoSpaceDE w:val="0"/>
        <w:autoSpaceDN w:val="0"/>
        <w:adjustRightInd w:val="0"/>
        <w:contextualSpacing/>
      </w:pPr>
      <w:r w:rsidRPr="00DB5C28">
        <w:t>OBÚ</w:t>
      </w:r>
      <w:r w:rsidR="00D13CDF" w:rsidRPr="00DB5C28">
        <w:t xml:space="preserve"> v Spišskej Novej Vsi.  </w:t>
      </w:r>
    </w:p>
    <w:p w:rsidR="00D13CDF" w:rsidRPr="00DB5C28" w:rsidRDefault="00D13CDF" w:rsidP="00D13CDF">
      <w:pPr>
        <w:widowControl w:val="0"/>
        <w:autoSpaceDE w:val="0"/>
        <w:autoSpaceDN w:val="0"/>
        <w:adjustRightInd w:val="0"/>
        <w:ind w:firstLine="709"/>
      </w:pPr>
      <w:r w:rsidRPr="00DB5C28">
        <w:t>Obvody pôso</w:t>
      </w:r>
      <w:r w:rsidR="00050F19" w:rsidRPr="00DB5C28">
        <w:t>bnosti OBÚ</w:t>
      </w:r>
      <w:r w:rsidRPr="00DB5C28">
        <w:t xml:space="preserve"> sú ustanovené vyh</w:t>
      </w:r>
      <w:r w:rsidR="00050F19" w:rsidRPr="00DB5C28">
        <w:t>láškou MH</w:t>
      </w:r>
      <w:r w:rsidRPr="00DB5C28">
        <w:t xml:space="preserve"> SR č. 333/1996 Z.</w:t>
      </w:r>
      <w:r w:rsidR="00050F19" w:rsidRPr="00DB5C28">
        <w:t xml:space="preserve"> </w:t>
      </w:r>
      <w:r w:rsidRPr="00DB5C28">
        <w:t>z., ktorou sa ustanovujú obvody pôsobnosti jednotlivých obvodných banských úradov.</w:t>
      </w:r>
    </w:p>
    <w:p w:rsidR="00D13CDF" w:rsidRPr="00DB5C28" w:rsidRDefault="00050F19" w:rsidP="00D13CDF">
      <w:pPr>
        <w:widowControl w:val="0"/>
        <w:autoSpaceDE w:val="0"/>
        <w:autoSpaceDN w:val="0"/>
        <w:adjustRightInd w:val="0"/>
      </w:pPr>
      <w:r w:rsidRPr="00DB5C28">
        <w:t>MH SR, HBÚ a OBÚ</w:t>
      </w:r>
      <w:r w:rsidR="00D13CDF" w:rsidRPr="00DB5C28">
        <w:t xml:space="preserve"> vykonávajú okrem hlavného dozoru podľa zákona č. 51/1988 Zb. aj štátnu správu  na úseku výbušnín, výbušných predmetov a munície podľa § 67 zákona č. 58/2014 Z. z. o výbušninách, výbušných predmetoch a munícii a o zmene a doplnení niektorých zákonov v znení neskorších predpisov (ďalej len „zákon č. 58/2014 Z. z.</w:t>
      </w:r>
      <w:r w:rsidRPr="00DB5C28">
        <w:t>“), spolu s Ministerstvom vnútra SR</w:t>
      </w:r>
      <w:r w:rsidR="00D13CDF" w:rsidRPr="00DB5C28">
        <w:t xml:space="preserve"> </w:t>
      </w:r>
      <w:r w:rsidRPr="00DB5C28">
        <w:t>(ďalej len „MV SR“</w:t>
      </w:r>
      <w:r w:rsidR="00C045CF" w:rsidRPr="00DB5C28">
        <w:t>)</w:t>
      </w:r>
      <w:r w:rsidRPr="00DB5C28">
        <w:t xml:space="preserve"> a M</w:t>
      </w:r>
      <w:r w:rsidR="00D13CDF" w:rsidRPr="00DB5C28">
        <w:t>inisterstvom obrany</w:t>
      </w:r>
      <w:r w:rsidRPr="00DB5C28">
        <w:t xml:space="preserve"> (ďalej len</w:t>
      </w:r>
      <w:r w:rsidR="009E7814" w:rsidRPr="00DB5C28">
        <w:t xml:space="preserve"> </w:t>
      </w:r>
      <w:r w:rsidR="00C045CF" w:rsidRPr="00DB5C28">
        <w:t>„MO SR“)</w:t>
      </w:r>
      <w:r w:rsidRPr="00DB5C28">
        <w:t xml:space="preserve"> </w:t>
      </w:r>
      <w:r w:rsidR="00D13CDF" w:rsidRPr="00DB5C28">
        <w:t>.</w:t>
      </w:r>
    </w:p>
    <w:p w:rsidR="00D13CDF" w:rsidRPr="00DB5C28" w:rsidRDefault="00C045CF" w:rsidP="00D13CDF">
      <w:pPr>
        <w:suppressAutoHyphens/>
        <w:rPr>
          <w:bCs/>
        </w:rPr>
      </w:pPr>
      <w:r w:rsidRPr="00DB5C28">
        <w:t>HBÚ je podľa § 2 ods. 6 nariadenia vlády</w:t>
      </w:r>
      <w:r w:rsidR="00D13CDF" w:rsidRPr="00DB5C28">
        <w:t xml:space="preserve"> SR č. 298/2012 Z.</w:t>
      </w:r>
      <w:r w:rsidRPr="00DB5C28">
        <w:t xml:space="preserve"> </w:t>
      </w:r>
      <w:r w:rsidR="00D13CDF" w:rsidRPr="00DB5C28">
        <w:t xml:space="preserve">z. </w:t>
      </w:r>
      <w:r w:rsidR="00D13CDF" w:rsidRPr="00DB5C28">
        <w:rPr>
          <w:bCs/>
        </w:rPr>
        <w:t xml:space="preserve">o systéme identifikácie a sledovateľnosti výbušnín na civilné použitie </w:t>
      </w:r>
      <w:r w:rsidR="00D13CDF" w:rsidRPr="00DB5C28">
        <w:t>kompetentný na prideľovanie trojmiestneho číselného kódu pre každé miesto výroby</w:t>
      </w:r>
      <w:r w:rsidRPr="00DB5C28">
        <w:t xml:space="preserve"> výbušnín v SR</w:t>
      </w:r>
      <w:r w:rsidR="00D13CDF" w:rsidRPr="00DB5C28">
        <w:t>.</w:t>
      </w:r>
    </w:p>
    <w:p w:rsidR="00D13CDF" w:rsidRPr="00DB5C28" w:rsidRDefault="00C045CF" w:rsidP="00D13CDF">
      <w:pPr>
        <w:suppressAutoHyphens/>
      </w:pPr>
      <w:r w:rsidRPr="00DB5C28">
        <w:t xml:space="preserve">HBÚ a OBÚ </w:t>
      </w:r>
      <w:r w:rsidR="00D13CDF" w:rsidRPr="00DB5C28">
        <w:t xml:space="preserve"> sú podľa §</w:t>
      </w:r>
      <w:r w:rsidRPr="00DB5C28">
        <w:t xml:space="preserve"> 47b ods. 2 zákona</w:t>
      </w:r>
      <w:r w:rsidR="00D13CDF" w:rsidRPr="00DB5C28">
        <w:t xml:space="preserve"> č</w:t>
      </w:r>
      <w:r w:rsidRPr="00DB5C28">
        <w:t>. 51/1988 Zb. a podľa zákona č. </w:t>
      </w:r>
      <w:r w:rsidR="00D13CDF" w:rsidRPr="00DB5C28">
        <w:t>264/1999 Z. z. o technických požiadavkách na vý</w:t>
      </w:r>
      <w:r w:rsidRPr="00DB5C28">
        <w:t>robky a o posudzovaní zhody a o </w:t>
      </w:r>
      <w:r w:rsidR="00D13CDF" w:rsidRPr="00DB5C28">
        <w:t>zmene a doplnení niektorých zákonov v znení neskorších</w:t>
      </w:r>
      <w:r w:rsidRPr="00DB5C28">
        <w:t xml:space="preserve"> predpisov tiež orgánmi </w:t>
      </w:r>
      <w:r w:rsidRPr="00DB5C28">
        <w:lastRenderedPageBreak/>
        <w:t xml:space="preserve">dohľadu </w:t>
      </w:r>
      <w:r w:rsidR="00D13CDF" w:rsidRPr="00DB5C28">
        <w:t xml:space="preserve"> ako aj orgánmi, ktoré v súčinnosti s Inšpekciou </w:t>
      </w:r>
      <w:r w:rsidRPr="00DB5C28">
        <w:t>životného prostredia SR</w:t>
      </w:r>
      <w:r w:rsidR="00D13CDF" w:rsidRPr="00DB5C28">
        <w:t xml:space="preserve"> vykonávajú štátnu správu na úseku prevencie závažných priemyselných havárií podľa zákona č. 128/2015 Z. z. o prevencii závažných pr</w:t>
      </w:r>
      <w:r w:rsidR="009A6E55" w:rsidRPr="00DB5C28">
        <w:t>iemyselných havárií a o zmene a </w:t>
      </w:r>
      <w:r w:rsidR="00D13CDF" w:rsidRPr="00DB5C28">
        <w:t>doplnení niektorých zákonov</w:t>
      </w:r>
      <w:r w:rsidR="00EF6257" w:rsidRPr="00DB5C28">
        <w:t xml:space="preserve"> (ďalej len „zákon č. 128/2015“)</w:t>
      </w:r>
      <w:r w:rsidR="00D13CDF" w:rsidRPr="00DB5C28">
        <w:t>. Sú tiež kontrolnými orgánmi podľa § 23 písm. e) zákona č. 67/2010 Z.</w:t>
      </w:r>
      <w:r w:rsidRPr="00DB5C28">
        <w:t xml:space="preserve"> </w:t>
      </w:r>
      <w:r w:rsidR="00D13CDF" w:rsidRPr="00DB5C28">
        <w:t>z. o podmienkach uvedenia chemických látok a chemických zmesí na trh a o zmene a doplnení niektorých zákonov (chemický zákon)</w:t>
      </w:r>
      <w:r w:rsidR="00EF6257" w:rsidRPr="00DB5C28">
        <w:t xml:space="preserve"> (ďalej len „zákon č. 67/2010 Z. z.“)</w:t>
      </w:r>
      <w:r w:rsidR="00D13CDF" w:rsidRPr="00DB5C28">
        <w:t>. Sú tiež orgánmi štátnej správy na úseku naklada</w:t>
      </w:r>
      <w:r w:rsidRPr="00DB5C28">
        <w:t xml:space="preserve">nia s ťažobným odpadom podľa  </w:t>
      </w:r>
      <w:r w:rsidR="00D13CDF" w:rsidRPr="00DB5C28">
        <w:t>§ 17 písm. f) zákona č. 514/2008 Z.</w:t>
      </w:r>
      <w:r w:rsidRPr="00DB5C28">
        <w:t xml:space="preserve"> </w:t>
      </w:r>
      <w:r w:rsidR="00D13CDF" w:rsidRPr="00DB5C28">
        <w:t>z. o nakladaní s odpadom z ťažobného priemyslu a o zmene a doplnení niektorých zákonov. Sú aj kontrolnými or</w:t>
      </w:r>
      <w:r w:rsidRPr="00DB5C28">
        <w:t>gánmi podľa zákona</w:t>
      </w:r>
      <w:r w:rsidR="00D13CDF" w:rsidRPr="00DB5C28">
        <w:t xml:space="preserve"> č. 258/2011 Z.</w:t>
      </w:r>
      <w:r w:rsidRPr="00DB5C28">
        <w:t xml:space="preserve"> </w:t>
      </w:r>
      <w:r w:rsidR="00D13CDF" w:rsidRPr="00DB5C28">
        <w:t>z. o trvalom ukladaní oxidu uhličitého do geologického prostredia a o zmene a doplnení niektorých zákonov.</w:t>
      </w:r>
    </w:p>
    <w:p w:rsidR="00D13CDF" w:rsidRPr="00DB5C28" w:rsidRDefault="00D13CDF" w:rsidP="002E5ED5">
      <w:pPr>
        <w:keepNext/>
        <w:numPr>
          <w:ilvl w:val="0"/>
          <w:numId w:val="5"/>
        </w:numPr>
        <w:tabs>
          <w:tab w:val="left" w:pos="567"/>
        </w:tabs>
        <w:suppressAutoHyphens/>
        <w:spacing w:after="120"/>
        <w:ind w:hanging="567"/>
        <w:jc w:val="left"/>
        <w:outlineLvl w:val="0"/>
        <w:rPr>
          <w:b/>
          <w:bCs/>
          <w:kern w:val="32"/>
        </w:rPr>
      </w:pPr>
      <w:r w:rsidRPr="00DB5C28">
        <w:rPr>
          <w:b/>
          <w:bCs/>
          <w:kern w:val="32"/>
        </w:rPr>
        <w:t>Ciele a priority dozorných orgánov v roku 2017</w:t>
      </w:r>
    </w:p>
    <w:p w:rsidR="00D13CDF" w:rsidRPr="00DB5C28" w:rsidRDefault="00D13CDF" w:rsidP="00D13CDF">
      <w:pPr>
        <w:suppressAutoHyphens/>
      </w:pPr>
      <w:r w:rsidRPr="00DB5C28">
        <w:t>Hlavno</w:t>
      </w:r>
      <w:r w:rsidR="00FC369F" w:rsidRPr="00DB5C28">
        <w:t>u úlohou HBÚ a OBÚ</w:t>
      </w:r>
      <w:r w:rsidRPr="00DB5C28">
        <w:t xml:space="preserve"> ako vý</w:t>
      </w:r>
      <w:r w:rsidR="00FC369F" w:rsidRPr="00DB5C28">
        <w:t>konných orgánov hlavného dozoru</w:t>
      </w:r>
      <w:r w:rsidRPr="00DB5C28">
        <w:t xml:space="preserve"> je presadzovanie základných princípov a úloh na úseku be</w:t>
      </w:r>
      <w:r w:rsidR="009A6E55" w:rsidRPr="00DB5C28">
        <w:t>zpečnosti a ochrany zdravia pri </w:t>
      </w:r>
      <w:r w:rsidRPr="00DB5C28">
        <w:t>práci (ďalej len „BOZP“), bezpečnosti prevádzky (ďalej len „BP“) a pracovných podmienok v organizáciách, ktoré vykonávajú činnosť upravenú zákonom č. 51/1988 Zb.</w:t>
      </w:r>
    </w:p>
    <w:p w:rsidR="00D13CDF" w:rsidRPr="00DB5C28" w:rsidRDefault="00D13CDF" w:rsidP="00D13CDF">
      <w:pPr>
        <w:suppressAutoHyphens/>
      </w:pPr>
      <w:r w:rsidRPr="00DB5C28">
        <w:t>Hlavným cieľom pôsobenia orgánov štátnej banskej správy je vyžadovať dodržiavanie platných právnych predpisov zamestnancami</w:t>
      </w:r>
      <w:r w:rsidR="00FC369F" w:rsidRPr="00DB5C28">
        <w:t xml:space="preserve"> a zamestnávateľmi a </w:t>
      </w:r>
      <w:r w:rsidRPr="00DB5C28">
        <w:t>presadzovať udržiavanie zákonných podmienok na vykonávanie práce, ktoré by mali zaistiť požadovanú úroveň BOZP a BP.</w:t>
      </w:r>
    </w:p>
    <w:p w:rsidR="00D13CDF" w:rsidRPr="00DB5C28" w:rsidRDefault="00FC369F" w:rsidP="00D13CDF">
      <w:pPr>
        <w:suppressAutoHyphens/>
      </w:pPr>
      <w:r w:rsidRPr="00DB5C28">
        <w:t>HBÚ a OBÚ</w:t>
      </w:r>
      <w:r w:rsidR="00D13CDF" w:rsidRPr="00DB5C28">
        <w:t xml:space="preserve"> si každoročne, okrem plnenia štan</w:t>
      </w:r>
      <w:r w:rsidRPr="00DB5C28">
        <w:t>dardných úloh, vyplývajúcich zo </w:t>
      </w:r>
      <w:r w:rsidR="00D13CDF" w:rsidRPr="00DB5C28">
        <w:t>všeobecne záväzných právnych predpisov a noriem  platných v oblasti štátnej banskej správy, stanovujú aj mimoriadne úlohy (</w:t>
      </w:r>
      <w:r w:rsidRPr="00DB5C28">
        <w:t xml:space="preserve">v </w:t>
      </w:r>
      <w:r w:rsidR="00D13CDF" w:rsidRPr="00DB5C28">
        <w:t>Plán</w:t>
      </w:r>
      <w:r w:rsidRPr="00DB5C28">
        <w:t>e hlavných úloh</w:t>
      </w:r>
      <w:r w:rsidR="00D13CDF" w:rsidRPr="00DB5C28">
        <w:t>), zamerané najmä na BOZP a BP. Tieto úlohy každoro</w:t>
      </w:r>
      <w:r w:rsidRPr="00DB5C28">
        <w:t>čne schvaľuje HBÚ</w:t>
      </w:r>
      <w:r w:rsidR="00D13CDF" w:rsidRPr="00DB5C28">
        <w:t xml:space="preserve"> na základe návrhov jednotlivých </w:t>
      </w:r>
      <w:r w:rsidRPr="00DB5C28">
        <w:t>OBÚ</w:t>
      </w:r>
      <w:r w:rsidR="00D13CDF" w:rsidRPr="00DB5C28">
        <w:t xml:space="preserve"> podľa aktuálnych poznatkov z výkonu hlavného dozoru. Ich plneniu je s ohľadom na ich aktuálnosť venovaná osobitná pozornosť. Zámerom pri ich vykonávaní je dosiahnutie takého stav</w:t>
      </w:r>
      <w:r w:rsidRPr="00DB5C28">
        <w:t xml:space="preserve">u v sledovaných subjektoch, aby sa úrazovosť </w:t>
      </w:r>
      <w:r w:rsidR="00D13CDF" w:rsidRPr="00DB5C28">
        <w:t xml:space="preserve">čo najviac </w:t>
      </w:r>
      <w:r w:rsidRPr="00DB5C28">
        <w:t>priblížila</w:t>
      </w:r>
      <w:r w:rsidR="00D13CDF" w:rsidRPr="00DB5C28">
        <w:t xml:space="preserve"> k nulovej hodnote.</w:t>
      </w:r>
    </w:p>
    <w:p w:rsidR="00D13CDF" w:rsidRPr="00DB5C28" w:rsidRDefault="00D13CDF" w:rsidP="002E5ED5">
      <w:pPr>
        <w:keepNext/>
        <w:numPr>
          <w:ilvl w:val="0"/>
          <w:numId w:val="5"/>
        </w:numPr>
        <w:tabs>
          <w:tab w:val="left" w:pos="567"/>
        </w:tabs>
        <w:suppressAutoHyphens/>
        <w:spacing w:after="120"/>
        <w:ind w:hanging="567"/>
        <w:jc w:val="left"/>
        <w:outlineLvl w:val="0"/>
        <w:rPr>
          <w:b/>
          <w:bCs/>
          <w:kern w:val="32"/>
        </w:rPr>
      </w:pPr>
      <w:r w:rsidRPr="00DB5C28">
        <w:rPr>
          <w:b/>
          <w:bCs/>
          <w:kern w:val="32"/>
        </w:rPr>
        <w:t xml:space="preserve">Prehľad </w:t>
      </w:r>
      <w:proofErr w:type="spellStart"/>
      <w:r w:rsidRPr="00DB5C28">
        <w:rPr>
          <w:b/>
          <w:bCs/>
          <w:kern w:val="32"/>
        </w:rPr>
        <w:t>dozorovaných</w:t>
      </w:r>
      <w:proofErr w:type="spellEnd"/>
      <w:r w:rsidRPr="00DB5C28">
        <w:rPr>
          <w:b/>
          <w:bCs/>
          <w:kern w:val="32"/>
        </w:rPr>
        <w:t xml:space="preserve"> subjektov</w:t>
      </w:r>
    </w:p>
    <w:p w:rsidR="00D13CDF" w:rsidRPr="00DB5C28" w:rsidRDefault="00D13CDF" w:rsidP="00D13CDF">
      <w:pPr>
        <w:suppressAutoHyphens/>
      </w:pPr>
      <w:r w:rsidRPr="00DB5C28">
        <w:rPr>
          <w:spacing w:val="-3"/>
        </w:rPr>
        <w:t>Pri výkone hlavné</w:t>
      </w:r>
      <w:r w:rsidR="00FC369F" w:rsidRPr="00DB5C28">
        <w:rPr>
          <w:spacing w:val="-3"/>
        </w:rPr>
        <w:t xml:space="preserve">ho dozoru HBÚ a OBÚ </w:t>
      </w:r>
      <w:r w:rsidRPr="00DB5C28">
        <w:rPr>
          <w:spacing w:val="-3"/>
        </w:rPr>
        <w:t xml:space="preserve"> bolo v hodnotenom období skontrolovaných spolu 498 subjektov (organizácií).</w:t>
      </w:r>
      <w:r w:rsidRPr="00DB5C28">
        <w:t xml:space="preserve"> Najviac kontrolovaných subjektov (organizácií) bolo možno zaradiť do kategórie malých až</w:t>
      </w:r>
      <w:r w:rsidR="00FC369F" w:rsidRPr="00DB5C28">
        <w:t> stredných zamestnávateľov, tzn.</w:t>
      </w:r>
      <w:r w:rsidRPr="00DB5C28">
        <w:t xml:space="preserve"> do 49 zamestnancov. Týchto bolo kontrolovaných spolu 411. Spravidla išlo o lomové prevádzky.</w:t>
      </w:r>
    </w:p>
    <w:p w:rsidR="00D13CDF" w:rsidRPr="00DB5C28" w:rsidRDefault="00D13CDF" w:rsidP="00D13CDF">
      <w:pPr>
        <w:suppressAutoHyphens/>
        <w:rPr>
          <w:spacing w:val="-3"/>
        </w:rPr>
      </w:pPr>
      <w:r w:rsidRPr="00DB5C28">
        <w:rPr>
          <w:spacing w:val="-3"/>
        </w:rPr>
        <w:t>Počty kontrolovaných subjektov v členení podľa právnej formy spoločnosti a počtu zamestnancov sú uvedené v </w:t>
      </w:r>
      <w:r w:rsidR="00FC369F" w:rsidRPr="00DB5C28">
        <w:rPr>
          <w:spacing w:val="-3"/>
        </w:rPr>
        <w:t>t</w:t>
      </w:r>
      <w:r w:rsidRPr="00DB5C28">
        <w:rPr>
          <w:spacing w:val="-3"/>
        </w:rPr>
        <w:t>abuľke č. 1</w:t>
      </w:r>
      <w:r w:rsidR="00FC369F" w:rsidRPr="00DB5C28">
        <w:rPr>
          <w:spacing w:val="-3"/>
        </w:rPr>
        <w:t>; p</w:t>
      </w:r>
      <w:r w:rsidRPr="00DB5C28">
        <w:rPr>
          <w:spacing w:val="-3"/>
        </w:rPr>
        <w:t xml:space="preserve">revládajú spoločnosti s právnou formou s ručením obmedzeným </w:t>
      </w:r>
      <w:r w:rsidRPr="00DB5C28">
        <w:t xml:space="preserve">(345 subjektov) </w:t>
      </w:r>
      <w:r w:rsidRPr="00DB5C28">
        <w:rPr>
          <w:spacing w:val="-3"/>
        </w:rPr>
        <w:t>a následne akciové spoločnosti (6</w:t>
      </w:r>
      <w:r w:rsidRPr="00DB5C28">
        <w:t>9 subjektov)</w:t>
      </w:r>
      <w:r w:rsidRPr="00DB5C28">
        <w:rPr>
          <w:spacing w:val="-3"/>
        </w:rPr>
        <w:t>.</w:t>
      </w:r>
    </w:p>
    <w:p w:rsidR="00D13CDF" w:rsidRPr="00DB5C28" w:rsidRDefault="00D13CDF" w:rsidP="002E5ED5">
      <w:pPr>
        <w:keepNext/>
        <w:numPr>
          <w:ilvl w:val="0"/>
          <w:numId w:val="5"/>
        </w:numPr>
        <w:tabs>
          <w:tab w:val="left" w:pos="567"/>
        </w:tabs>
        <w:suppressAutoHyphens/>
        <w:spacing w:after="120"/>
        <w:ind w:hanging="567"/>
        <w:jc w:val="left"/>
        <w:outlineLvl w:val="0"/>
        <w:rPr>
          <w:b/>
          <w:bCs/>
          <w:kern w:val="32"/>
        </w:rPr>
      </w:pPr>
      <w:r w:rsidRPr="00DB5C28">
        <w:rPr>
          <w:b/>
          <w:bCs/>
          <w:kern w:val="32"/>
        </w:rPr>
        <w:t>Zistenia dozorného orgánu v kontrolovaných subjektoch</w:t>
      </w:r>
    </w:p>
    <w:p w:rsidR="00D13CDF" w:rsidRPr="00DB5C28" w:rsidRDefault="00D13CDF" w:rsidP="00D13CDF">
      <w:pPr>
        <w:suppressAutoHyphens/>
        <w:rPr>
          <w:spacing w:val="2"/>
        </w:rPr>
      </w:pPr>
      <w:r w:rsidRPr="00DB5C28">
        <w:rPr>
          <w:spacing w:val="2"/>
        </w:rPr>
        <w:t xml:space="preserve">V roku 2017 bolo v skontrolovaných subjektoch vykonaných celkom </w:t>
      </w:r>
      <w:bookmarkStart w:id="0" w:name="OLE_LINK1"/>
      <w:bookmarkStart w:id="1" w:name="OLE_LINK2"/>
      <w:r w:rsidRPr="00DB5C28">
        <w:rPr>
          <w:spacing w:val="2"/>
        </w:rPr>
        <w:t xml:space="preserve">821 inšpekčných výkonov zameraných na BOZP a BP vrátane 24 následných kontrol zameraných na kontrolu opatrení na zlepšenie stavu BOZP uložených na základe výsledku im predchádzajúcich kontrol (inšpekcií) a 36 mimoriadnych previerok. Tiež do tohto počtu inšpekčných výkonov možno zahrnúť aj </w:t>
      </w:r>
      <w:bookmarkEnd w:id="0"/>
      <w:bookmarkEnd w:id="1"/>
      <w:r w:rsidRPr="00DB5C28">
        <w:rPr>
          <w:spacing w:val="2"/>
        </w:rPr>
        <w:t>16 vykonan</w:t>
      </w:r>
      <w:r w:rsidR="009A6E55" w:rsidRPr="00DB5C28">
        <w:rPr>
          <w:spacing w:val="2"/>
        </w:rPr>
        <w:t>ých účastí na </w:t>
      </w:r>
      <w:r w:rsidRPr="00DB5C28">
        <w:rPr>
          <w:spacing w:val="2"/>
        </w:rPr>
        <w:t>kolaudačnom konaní a 24 vybavovaní podnetov, z ktorých niektoré nesúviseli priamo s BOZP, resp. BP.</w:t>
      </w:r>
    </w:p>
    <w:p w:rsidR="00D13CDF" w:rsidRPr="00DB5C28" w:rsidRDefault="00D13CDF" w:rsidP="00D13CDF">
      <w:pPr>
        <w:suppressAutoHyphens/>
      </w:pPr>
      <w:r w:rsidRPr="00DB5C28">
        <w:lastRenderedPageBreak/>
        <w:t xml:space="preserve">V sledovanom období bolo zistených celkom 268 porušení predpisov (nedostatkov). Medzi najčastejšie porušenia patrili nedostatky v oblasti riadenia BOZP (85 nedostatkov), potom organizácie práce  (42 nedostatkov) a nedostatky na vyhradených technických zariadeniach </w:t>
      </w:r>
      <w:r w:rsidR="007052BD" w:rsidRPr="00DB5C28">
        <w:t xml:space="preserve">(ďalej len „VTZ“) </w:t>
      </w:r>
      <w:r w:rsidRPr="00DB5C28">
        <w:t xml:space="preserve">(43 nedostatkov). </w:t>
      </w:r>
    </w:p>
    <w:p w:rsidR="00D13CDF" w:rsidRPr="00DB5C28" w:rsidRDefault="00D13CDF" w:rsidP="00D13CDF">
      <w:pPr>
        <w:suppressAutoHyphens/>
        <w:rPr>
          <w:spacing w:val="-2"/>
        </w:rPr>
      </w:pPr>
      <w:r w:rsidRPr="00DB5C28">
        <w:rPr>
          <w:spacing w:val="-2"/>
        </w:rPr>
        <w:t>Prehľad inšpekčných výkonov, porušení predpisov podľa objektov a podľa kódov štatistickej klasifikácie je uvedený v tabuľkách č. 2, 3 a 4.</w:t>
      </w:r>
    </w:p>
    <w:p w:rsidR="00D13CDF" w:rsidRPr="00DB5C28" w:rsidRDefault="00D13CDF" w:rsidP="00D13CDF">
      <w:pPr>
        <w:suppressAutoHyphens/>
        <w:outlineLvl w:val="2"/>
      </w:pPr>
      <w:r w:rsidRPr="00DB5C28">
        <w:t xml:space="preserve">Z výsledkov vykonaných inšpekčných výkonov </w:t>
      </w:r>
      <w:r w:rsidR="00E528AF" w:rsidRPr="00DB5C28">
        <w:t>vyplýva</w:t>
      </w:r>
      <w:r w:rsidRPr="00DB5C28">
        <w:t>, že väčšina zistený</w:t>
      </w:r>
      <w:r w:rsidR="00E528AF" w:rsidRPr="00DB5C28">
        <w:t>ch nedostatkov v oblasti BOZP a BP</w:t>
      </w:r>
      <w:r w:rsidRPr="00DB5C28">
        <w:t xml:space="preserve"> vyplýva z nedostatočnej praxe a tiež aj z nedostatočných odborných a osobnostných predpokladov zamestnancov, ktorí určené činnosti vykonávajú. </w:t>
      </w:r>
    </w:p>
    <w:p w:rsidR="00D13CDF" w:rsidRPr="00DB5C28" w:rsidRDefault="00E528AF" w:rsidP="00D13CDF">
      <w:pPr>
        <w:suppressAutoHyphens/>
        <w:outlineLvl w:val="2"/>
      </w:pPr>
      <w:r w:rsidRPr="00DB5C28">
        <w:t>Z</w:t>
      </w:r>
      <w:r w:rsidR="00D13CDF" w:rsidRPr="00DB5C28">
        <w:t xml:space="preserve"> rozbor</w:t>
      </w:r>
      <w:r w:rsidRPr="00DB5C28">
        <w:t>u</w:t>
      </w:r>
      <w:r w:rsidR="00D13CDF" w:rsidRPr="00DB5C28">
        <w:t xml:space="preserve"> príčin registrovaných pracovných úrazov</w:t>
      </w:r>
      <w:r w:rsidRPr="00DB5C28">
        <w:t xml:space="preserve"> (ďalej len „RPÚ“) vyplýva, že </w:t>
      </w:r>
      <w:r w:rsidR="00D13CDF" w:rsidRPr="00DB5C28">
        <w:t xml:space="preserve">zaznamenaných </w:t>
      </w:r>
      <w:r w:rsidRPr="00DB5C28">
        <w:t xml:space="preserve">bolo </w:t>
      </w:r>
      <w:r w:rsidR="00D13CDF" w:rsidRPr="00DB5C28">
        <w:t>spolu 217, pri ktorých jednoznačne prevažuje skupina 12. „</w:t>
      </w:r>
      <w:r w:rsidR="00D13CDF" w:rsidRPr="00DB5C28">
        <w:rPr>
          <w:i/>
          <w:iCs/>
        </w:rPr>
        <w:t>Nedostatok osobných predpokladov na riadny pracovný výkon“</w:t>
      </w:r>
      <w:r w:rsidRPr="00DB5C28">
        <w:t xml:space="preserve"> (spolu 116 RPÚ</w:t>
      </w:r>
      <w:r w:rsidR="00D13CDF" w:rsidRPr="00DB5C28">
        <w:t xml:space="preserve">), potom skupina 8. „Používanie nebezpečných postupov alebo spôsobov práce vrátane konania bez oprávnenia.“ (spolu 70 </w:t>
      </w:r>
      <w:r w:rsidRPr="00DB5C28">
        <w:t>RPÚ</w:t>
      </w:r>
      <w:r w:rsidR="00D13CDF" w:rsidRPr="00DB5C28">
        <w:t>) a ďalšia najčastejšia príčina úrazov, skupina 1. „</w:t>
      </w:r>
      <w:r w:rsidR="00D13CDF" w:rsidRPr="00DB5C28">
        <w:rPr>
          <w:i/>
        </w:rPr>
        <w:t>Chybný alebo nepriaznivý stav zdroja úrazu</w:t>
      </w:r>
      <w:r w:rsidR="00D13CDF" w:rsidRPr="00DB5C28">
        <w:t xml:space="preserve">“ </w:t>
      </w:r>
      <w:r w:rsidRPr="00DB5C28">
        <w:t>(spolu 27 RPÚ</w:t>
      </w:r>
      <w:r w:rsidR="00D13CDF" w:rsidRPr="00DB5C28">
        <w:t xml:space="preserve">) a tiež rozbor zdrojov </w:t>
      </w:r>
      <w:r w:rsidRPr="00DB5C28">
        <w:t>RPÚ</w:t>
      </w:r>
      <w:r w:rsidR="00D13CDF" w:rsidRPr="00DB5C28">
        <w:t>, z ktorého vyplýva, že výrazne prevláda skupina V. „</w:t>
      </w:r>
      <w:r w:rsidR="00D13CDF" w:rsidRPr="00DB5C28">
        <w:rPr>
          <w:i/>
          <w:iCs/>
        </w:rPr>
        <w:t>Materiál, bremená, predmety“</w:t>
      </w:r>
      <w:r w:rsidR="00D13CDF" w:rsidRPr="00DB5C28">
        <w:rPr>
          <w:iCs/>
        </w:rPr>
        <w:t xml:space="preserve"> (112 </w:t>
      </w:r>
      <w:r w:rsidRPr="00DB5C28">
        <w:rPr>
          <w:iCs/>
        </w:rPr>
        <w:t>RPÚ</w:t>
      </w:r>
      <w:r w:rsidR="00D13CDF" w:rsidRPr="00DB5C28">
        <w:rPr>
          <w:iCs/>
        </w:rPr>
        <w:t>)</w:t>
      </w:r>
      <w:r w:rsidR="00D13CDF" w:rsidRPr="00DB5C28">
        <w:t xml:space="preserve"> a skupina IV. „</w:t>
      </w:r>
      <w:r w:rsidR="00D13CDF" w:rsidRPr="00DB5C28">
        <w:rPr>
          <w:i/>
          <w:iCs/>
        </w:rPr>
        <w:t>Pracovné, prípadne cestné dopravné priestory, ako zdroje pádu osôb</w:t>
      </w:r>
      <w:r w:rsidR="00D13CDF" w:rsidRPr="00DB5C28">
        <w:t xml:space="preserve">“ (61 </w:t>
      </w:r>
      <w:r w:rsidRPr="00DB5C28">
        <w:rPr>
          <w:iCs/>
        </w:rPr>
        <w:t>RPÚ</w:t>
      </w:r>
      <w:r w:rsidR="00D13CDF" w:rsidRPr="00DB5C28">
        <w:t xml:space="preserve">). </w:t>
      </w:r>
    </w:p>
    <w:p w:rsidR="00D13CDF" w:rsidRPr="00DB5C28" w:rsidRDefault="00D13CDF" w:rsidP="00D13CDF">
      <w:pPr>
        <w:suppressAutoHyphens/>
      </w:pPr>
      <w:r w:rsidRPr="00DB5C28">
        <w:t>Prehľad pracovnej úrazovosti je uvedený v tabuľkách č. 7 až 13</w:t>
      </w:r>
      <w:r w:rsidR="00E528AF" w:rsidRPr="00DB5C28">
        <w:t>.</w:t>
      </w:r>
    </w:p>
    <w:p w:rsidR="00D13CDF" w:rsidRPr="00DB5C28" w:rsidRDefault="00D13CDF" w:rsidP="002E5ED5">
      <w:pPr>
        <w:keepNext/>
        <w:numPr>
          <w:ilvl w:val="0"/>
          <w:numId w:val="5"/>
        </w:numPr>
        <w:tabs>
          <w:tab w:val="left" w:pos="567"/>
        </w:tabs>
        <w:suppressAutoHyphens/>
        <w:spacing w:after="120"/>
        <w:ind w:hanging="567"/>
        <w:jc w:val="left"/>
        <w:outlineLvl w:val="0"/>
        <w:rPr>
          <w:b/>
          <w:bCs/>
          <w:kern w:val="32"/>
        </w:rPr>
      </w:pPr>
      <w:r w:rsidRPr="00DB5C28">
        <w:rPr>
          <w:b/>
          <w:bCs/>
          <w:kern w:val="32"/>
        </w:rPr>
        <w:t>Nápravné a sankčné opatrenia dozorných orgánov</w:t>
      </w:r>
    </w:p>
    <w:p w:rsidR="00D13CDF" w:rsidRPr="00DB5C28" w:rsidRDefault="00D13CDF" w:rsidP="00D13CDF">
      <w:pPr>
        <w:suppressAutoHyphens/>
      </w:pPr>
      <w:r w:rsidRPr="00DB5C28">
        <w:t xml:space="preserve">Na odstránenie zistených nedostatkov vykonávajú a aplikujú banskí inšpektori v súlade so zákonnými kompetenciami už počas inšpekčných prehliadok, prípadne počas vyšetrovania mimoriadnych udalostí, resp. pracovných úrazov príslušné zákonné opatrenia zamerané na nápravu zisteného </w:t>
      </w:r>
      <w:proofErr w:type="spellStart"/>
      <w:r w:rsidRPr="00DB5C28">
        <w:t>závadného</w:t>
      </w:r>
      <w:proofErr w:type="spellEnd"/>
      <w:r w:rsidRPr="00DB5C28">
        <w:t xml:space="preserve"> stavu, prevažne priamo na mieste v kontrolovaných subjektoch tak, že podľa § 42 ods. 2 písm. b) zákona č. 51/1988 Zb., resp. podľa § 71 ods. 2 písm. b) zákona č. 58/2014</w:t>
      </w:r>
      <w:r w:rsidR="009A6E55" w:rsidRPr="00DB5C28">
        <w:t xml:space="preserve"> Z. z. vydajú záväzný príkaz na </w:t>
      </w:r>
      <w:r w:rsidRPr="00DB5C28">
        <w:t>odstránenie zistených nedostatkov.</w:t>
      </w:r>
    </w:p>
    <w:p w:rsidR="00D13CDF" w:rsidRPr="00DB5C28" w:rsidRDefault="00D13CDF" w:rsidP="00D13CDF">
      <w:pPr>
        <w:suppressAutoHyphens/>
      </w:pPr>
      <w:r w:rsidRPr="00DB5C28">
        <w:t xml:space="preserve">O výsledku inšpekčnej prehliadky vyhotovuje banský inšpektor zápisnicu, ktorú prerokuje so štatutárnym orgánom alebo so zodpovedným vedúcim zamestnancom kontrolovaného subjektu (organizácie). Pokiaľ vydá záväzný príkaz na odstránenie zistených nedostatkov, tento sa stáva súčasťou zápisnice. O výsledku prehliadky je informovaný príslušný odborový orgán a príslušný zástupca zamestnancov pre </w:t>
      </w:r>
      <w:r w:rsidR="00CB4A4E" w:rsidRPr="00DB5C28">
        <w:t>BOZP</w:t>
      </w:r>
      <w:r w:rsidRPr="00DB5C28">
        <w:t>, ktorí sú v organizácii zriadení.</w:t>
      </w:r>
    </w:p>
    <w:p w:rsidR="00D13CDF" w:rsidRPr="00DB5C28" w:rsidRDefault="00D13CDF" w:rsidP="00D13CDF">
      <w:pPr>
        <w:suppressAutoHyphens/>
      </w:pPr>
      <w:r w:rsidRPr="00DB5C28">
        <w:t>V prípadoch, pri ktorých došlo k zrejmému a bezprostrednému ohrozeniu vere</w:t>
      </w:r>
      <w:r w:rsidR="00CB4A4E" w:rsidRPr="00DB5C28">
        <w:t>jného záujmu, najmä BOZP a BP alebo</w:t>
      </w:r>
      <w:r w:rsidRPr="00DB5C28">
        <w:t> </w:t>
      </w:r>
      <w:r w:rsidR="00CB4A4E" w:rsidRPr="00DB5C28">
        <w:t>technických zariadení, tzn.</w:t>
      </w:r>
      <w:r w:rsidRPr="00DB5C28">
        <w:t xml:space="preserve"> v prípadoch, pri ktorých boli zistené také nedostatky, ktoré nebolo možné ihneď na mieste odstrániť, bolo banskými inšpektormi priamo na mieste</w:t>
      </w:r>
      <w:r w:rsidR="00CB4A4E" w:rsidRPr="00DB5C28">
        <w:t xml:space="preserve"> nariadené zastavenie prevádzky</w:t>
      </w:r>
      <w:r w:rsidRPr="00DB5C28">
        <w:t xml:space="preserve"> alebo jej časti, prípadne konkrétnych technických zariadení, a to v nevyhnutnom rozsahu až do odstránenia zistených nedostatkov. </w:t>
      </w:r>
    </w:p>
    <w:p w:rsidR="00D13CDF" w:rsidRPr="00DB5C28" w:rsidRDefault="00D13CDF" w:rsidP="00D13CDF">
      <w:pPr>
        <w:suppressAutoHyphens/>
      </w:pPr>
      <w:r w:rsidRPr="00DB5C28">
        <w:t xml:space="preserve">V niektorých prípadoch boli na zaistenie </w:t>
      </w:r>
      <w:r w:rsidR="00CB4A4E" w:rsidRPr="00DB5C28">
        <w:t>BOZP a BP</w:t>
      </w:r>
      <w:r w:rsidRPr="00DB5C28">
        <w:t>, resp. so zámerom predísť opakovanému vzniku skutočností, vedúcich k</w:t>
      </w:r>
      <w:r w:rsidR="00CB4A4E" w:rsidRPr="00DB5C28">
        <w:t> </w:t>
      </w:r>
      <w:r w:rsidRPr="00DB5C28">
        <w:t>ohrozeniu</w:t>
      </w:r>
      <w:r w:rsidR="00CB4A4E" w:rsidRPr="00DB5C28">
        <w:t xml:space="preserve"> BOZP a BP</w:t>
      </w:r>
      <w:r w:rsidRPr="00DB5C28">
        <w:t>, nariadené banskými úradmi nevyhnutné technologické a bezpečnostné opatrenia</w:t>
      </w:r>
      <w:r w:rsidR="00CB4A4E" w:rsidRPr="00DB5C28">
        <w:t>,</w:t>
      </w:r>
      <w:r w:rsidRPr="00DB5C28">
        <w:t xml:space="preserve"> a to vydaním rozhodnutia príslušným úradom. Následne, vo väčšine prípadov boli vykonané aj následné kontroly plnenia nariadených opatrení.</w:t>
      </w:r>
    </w:p>
    <w:p w:rsidR="00D13CDF" w:rsidRPr="00DB5C28" w:rsidRDefault="00D13CDF" w:rsidP="00D13CDF">
      <w:pPr>
        <w:suppressAutoHyphens/>
      </w:pPr>
      <w:r w:rsidRPr="00DB5C28">
        <w:lastRenderedPageBreak/>
        <w:t>Prehľad rozhodnutí vydaných orgánmi štátnej banskej správy, ktoré obmedzujú výkon činnosti subjektu (organizácie) je podľa druhu obmedzenia, resp. zákazu uvedený v </w:t>
      </w:r>
      <w:r w:rsidR="00CB4A4E" w:rsidRPr="00DB5C28">
        <w:t>t</w:t>
      </w:r>
      <w:r w:rsidRPr="00DB5C28">
        <w:t xml:space="preserve">abuľke č. 6. </w:t>
      </w:r>
    </w:p>
    <w:p w:rsidR="00D13CDF" w:rsidRPr="00DB5C28" w:rsidRDefault="00D13CDF" w:rsidP="00D13CDF">
      <w:pPr>
        <w:suppressAutoHyphens/>
      </w:pPr>
      <w:r w:rsidRPr="00DB5C28">
        <w:t xml:space="preserve">Súčasťou niektorých opatrení smerujúcich k predchádzaniu opakovania sa vzniku okolností, vedúcich k ohrozeniu </w:t>
      </w:r>
      <w:r w:rsidR="00CB4A4E" w:rsidRPr="00DB5C28">
        <w:t>BOZP a BP</w:t>
      </w:r>
      <w:r w:rsidRPr="00DB5C28">
        <w:t xml:space="preserve"> boli aj sankčné opatrenia, aplikované orgánmi hlavného dozoru. Tieto sankčné opatrenia boli aplikované v správnych konaniach (rozhodnutím) a to organizáciám, ale aj jednotlivcom. V prípade jednotlivcov boli sankčné opatrenia uložené jednotlivcom aplikované formou blokového konania</w:t>
      </w:r>
      <w:r w:rsidR="00CB4A4E" w:rsidRPr="00DB5C28">
        <w:t xml:space="preserve"> (blokovou pokutou) a dohovorom</w:t>
      </w:r>
      <w:r w:rsidRPr="00DB5C28">
        <w:t xml:space="preserve"> spojeným aj s poskytnutím poradenstva k veci.</w:t>
      </w:r>
    </w:p>
    <w:p w:rsidR="00D13CDF" w:rsidRPr="00DB5C28" w:rsidRDefault="00D13CDF" w:rsidP="00D13CDF">
      <w:pPr>
        <w:suppressAutoHyphens/>
      </w:pPr>
      <w:r w:rsidRPr="00DB5C28">
        <w:t xml:space="preserve">Organizáciám bola v správnom konaní (rozhodnutím) uložená za porušenie predpisov na úseku BOZP a BP 1 pokuta (jednej organizácii) v sume 5 000,- €.  </w:t>
      </w:r>
    </w:p>
    <w:p w:rsidR="00D13CDF" w:rsidRPr="00DB5C28" w:rsidRDefault="00D13CDF" w:rsidP="00D13CDF">
      <w:pPr>
        <w:suppressAutoHyphens/>
      </w:pPr>
      <w:r w:rsidRPr="00DB5C28">
        <w:t>Jednotlivcom bolo za porušenie predpisov na úseku BOZP a BP uložené v správnom konaní spolu 14 pokút v celkovej sume 2410,- €. V blokovom konaní bolo jednotlivcom uložených spolu 78 blokových pokút v celkovej sume 1602,- €.</w:t>
      </w:r>
    </w:p>
    <w:p w:rsidR="00D13CDF" w:rsidRPr="00DB5C28" w:rsidRDefault="00D13CDF" w:rsidP="00D13CDF">
      <w:pPr>
        <w:suppressAutoHyphens/>
      </w:pPr>
      <w:r w:rsidRPr="00DB5C28">
        <w:t xml:space="preserve">Počas vybavovania podnetov bolo jednotlivcom uložených 5 pokút v celkovej sume 230,- € a počas vyšetrovania nebezpečných udalostí 2 pokuty v celkovej sume 30,- €. </w:t>
      </w:r>
    </w:p>
    <w:p w:rsidR="00D13CDF" w:rsidRPr="00DB5C28" w:rsidRDefault="00D13CDF" w:rsidP="00D13CDF">
      <w:pPr>
        <w:suppressAutoHyphens/>
        <w:ind w:firstLine="0"/>
      </w:pPr>
      <w:r w:rsidRPr="00DB5C28">
        <w:t>Prehľad o uložených pokutách je uvedený v </w:t>
      </w:r>
      <w:r w:rsidR="00A970EA" w:rsidRPr="00DB5C28">
        <w:t>t</w:t>
      </w:r>
      <w:r w:rsidRPr="00DB5C28">
        <w:t xml:space="preserve">abuľke č. </w:t>
      </w:r>
      <w:r w:rsidR="00A970EA" w:rsidRPr="00DB5C28">
        <w:t>5</w:t>
      </w:r>
      <w:r w:rsidRPr="00DB5C28">
        <w:t xml:space="preserve">. </w:t>
      </w:r>
    </w:p>
    <w:p w:rsidR="00D13CDF" w:rsidRPr="00DB5C28" w:rsidRDefault="00D13CDF" w:rsidP="002E5ED5">
      <w:pPr>
        <w:keepNext/>
        <w:numPr>
          <w:ilvl w:val="0"/>
          <w:numId w:val="5"/>
        </w:numPr>
        <w:tabs>
          <w:tab w:val="left" w:pos="567"/>
        </w:tabs>
        <w:suppressAutoHyphens/>
        <w:spacing w:after="120"/>
        <w:ind w:hanging="567"/>
        <w:jc w:val="left"/>
        <w:outlineLvl w:val="0"/>
        <w:rPr>
          <w:b/>
          <w:bCs/>
          <w:kern w:val="32"/>
        </w:rPr>
      </w:pPr>
      <w:bookmarkStart w:id="2" w:name="_Ref350330439"/>
      <w:r w:rsidRPr="00DB5C28">
        <w:rPr>
          <w:b/>
          <w:bCs/>
          <w:kern w:val="32"/>
        </w:rPr>
        <w:t>Stav a vývoj pracovných úrazov a chorôb z povolania</w:t>
      </w:r>
      <w:bookmarkEnd w:id="2"/>
    </w:p>
    <w:p w:rsidR="00935B76" w:rsidRPr="00DB5C28" w:rsidRDefault="00D13CDF" w:rsidP="00D13CDF">
      <w:pPr>
        <w:suppressAutoHyphens/>
      </w:pPr>
      <w:r w:rsidRPr="00DB5C28">
        <w:t>Vývoj pracovnej úrazovosti, ako aj závažnosti ich následkov</w:t>
      </w:r>
      <w:r w:rsidR="00935B76" w:rsidRPr="00DB5C28">
        <w:t xml:space="preserve"> </w:t>
      </w:r>
      <w:r w:rsidR="00A970EA" w:rsidRPr="00DB5C28">
        <w:t>možno v </w:t>
      </w:r>
      <w:r w:rsidRPr="00DB5C28">
        <w:t>porovnaní s predchádzajúcim obdobím</w:t>
      </w:r>
      <w:r w:rsidR="00935B76" w:rsidRPr="00DB5C28">
        <w:t xml:space="preserve"> považovať za pomerne priaznivý; ú</w:t>
      </w:r>
      <w:r w:rsidRPr="00DB5C28">
        <w:t>razo</w:t>
      </w:r>
      <w:r w:rsidR="009A6E55" w:rsidRPr="00DB5C28">
        <w:t>vosť pomaly klesá a </w:t>
      </w:r>
      <w:r w:rsidRPr="00DB5C28">
        <w:t xml:space="preserve">za posledných päť rokov dosiahla najnižšiu úroveň.  </w:t>
      </w:r>
    </w:p>
    <w:p w:rsidR="00D13CDF" w:rsidRPr="00DB5C28" w:rsidRDefault="00D13CDF" w:rsidP="00D13CDF">
      <w:pPr>
        <w:suppressAutoHyphens/>
      </w:pPr>
      <w:r w:rsidRPr="00DB5C28">
        <w:t xml:space="preserve">Tento priaznivý stav </w:t>
      </w:r>
      <w:r w:rsidR="008A4BDB" w:rsidRPr="00DB5C28">
        <w:t>narušil rok</w:t>
      </w:r>
      <w:r w:rsidRPr="00DB5C28">
        <w:t xml:space="preserve"> 2017</w:t>
      </w:r>
      <w:r w:rsidR="008A4BDB" w:rsidRPr="00DB5C28">
        <w:t>, kedy sa</w:t>
      </w:r>
      <w:r w:rsidRPr="00DB5C28">
        <w:t xml:space="preserve"> stali 2 smrteľné pracovné úrazy</w:t>
      </w:r>
      <w:r w:rsidR="008A4BDB" w:rsidRPr="00DB5C28">
        <w:t xml:space="preserve"> (ďalej len „SPÚ“)</w:t>
      </w:r>
      <w:r w:rsidRPr="00DB5C28">
        <w:t xml:space="preserve"> a 5 </w:t>
      </w:r>
      <w:r w:rsidR="00935B76" w:rsidRPr="00DB5C28">
        <w:t>pracovných úrazov s ťažkou ujmou na zdraví</w:t>
      </w:r>
      <w:r w:rsidR="008A4BDB" w:rsidRPr="00DB5C28">
        <w:t xml:space="preserve"> (ďalej len </w:t>
      </w:r>
      <w:r w:rsidR="00572AB6" w:rsidRPr="00DB5C28">
        <w:t>„</w:t>
      </w:r>
      <w:r w:rsidR="00935B76" w:rsidRPr="00DB5C28">
        <w:t>ŤUZ</w:t>
      </w:r>
      <w:r w:rsidR="00572AB6" w:rsidRPr="00DB5C28">
        <w:t>“</w:t>
      </w:r>
      <w:r w:rsidR="008A4BDB" w:rsidRPr="00DB5C28">
        <w:t>)</w:t>
      </w:r>
      <w:r w:rsidRPr="00DB5C28">
        <w:t xml:space="preserve">. </w:t>
      </w:r>
    </w:p>
    <w:p w:rsidR="00D13CDF" w:rsidRPr="00DB5C28" w:rsidRDefault="00D13CDF" w:rsidP="00D13CDF">
      <w:pPr>
        <w:suppressAutoHyphens/>
      </w:pPr>
      <w:r w:rsidRPr="00DB5C28">
        <w:t>Napriek tomu</w:t>
      </w:r>
      <w:r w:rsidR="00935B76" w:rsidRPr="00DB5C28">
        <w:t xml:space="preserve"> je</w:t>
      </w:r>
      <w:r w:rsidR="000170CF" w:rsidRPr="00DB5C28">
        <w:t xml:space="preserve"> potrebné </w:t>
      </w:r>
      <w:r w:rsidR="00935B76" w:rsidRPr="00DB5C28">
        <w:t xml:space="preserve">naďalej </w:t>
      </w:r>
      <w:r w:rsidR="000170CF" w:rsidRPr="00DB5C28">
        <w:t>zlep</w:t>
      </w:r>
      <w:r w:rsidRPr="00DB5C28">
        <w:t>šovať stav n</w:t>
      </w:r>
      <w:r w:rsidR="009A6E55" w:rsidRPr="00DB5C28">
        <w:t>a úseku BOZP a BP, a to najmä v </w:t>
      </w:r>
      <w:r w:rsidRPr="00DB5C28">
        <w:t>oblasti zlepšovania pracovných podmienok, resp. v snahe zvyšovať úroveň odborností zamestnancov. Práve pracovné podmienky a kvalita p</w:t>
      </w:r>
      <w:r w:rsidR="000170CF" w:rsidRPr="00DB5C28">
        <w:t>racovného prostredia</w:t>
      </w:r>
      <w:r w:rsidR="009A6E55" w:rsidRPr="00DB5C28">
        <w:t xml:space="preserve"> spolu so </w:t>
      </w:r>
      <w:r w:rsidRPr="00DB5C28">
        <w:t>„správnym podvedomím“ o hroziacich rizikách majú preukázateľne priaznivý vplyv aj na vývoj pracovnej úrazovosti a tiež aj chorôb z</w:t>
      </w:r>
      <w:r w:rsidR="000170CF" w:rsidRPr="00DB5C28">
        <w:t> </w:t>
      </w:r>
      <w:r w:rsidRPr="00DB5C28">
        <w:t>povolania</w:t>
      </w:r>
      <w:r w:rsidR="000170CF" w:rsidRPr="00DB5C28">
        <w:t xml:space="preserve"> (ďalej len „</w:t>
      </w:r>
      <w:proofErr w:type="spellStart"/>
      <w:r w:rsidR="000170CF" w:rsidRPr="00DB5C28">
        <w:t>CHzP</w:t>
      </w:r>
      <w:proofErr w:type="spellEnd"/>
      <w:r w:rsidR="000170CF" w:rsidRPr="00DB5C28">
        <w:t>“)</w:t>
      </w:r>
      <w:r w:rsidRPr="00DB5C28">
        <w:t>.</w:t>
      </w:r>
    </w:p>
    <w:p w:rsidR="00D13CDF" w:rsidRPr="00DB5C28" w:rsidRDefault="00D13CDF" w:rsidP="00D13CDF">
      <w:pPr>
        <w:suppressAutoHyphens/>
      </w:pPr>
      <w:r w:rsidRPr="00DB5C28">
        <w:t>V roku 2017 bolo zaz</w:t>
      </w:r>
      <w:r w:rsidR="000170CF" w:rsidRPr="00DB5C28">
        <w:t xml:space="preserve">namenaných 50 </w:t>
      </w:r>
      <w:proofErr w:type="spellStart"/>
      <w:r w:rsidR="000170CF" w:rsidRPr="00DB5C28">
        <w:t>CHzP</w:t>
      </w:r>
      <w:proofErr w:type="spellEnd"/>
      <w:r w:rsidRPr="00DB5C28">
        <w:t xml:space="preserve">, ktoré boli zaznamenané takto: </w:t>
      </w:r>
    </w:p>
    <w:p w:rsidR="00D13CDF" w:rsidRPr="00DB5C28" w:rsidRDefault="00D13CDF" w:rsidP="00D13CDF">
      <w:pPr>
        <w:numPr>
          <w:ilvl w:val="0"/>
          <w:numId w:val="7"/>
        </w:numPr>
        <w:suppressAutoHyphens/>
        <w:contextualSpacing/>
      </w:pPr>
      <w:r w:rsidRPr="00DB5C28">
        <w:t xml:space="preserve">v obvode </w:t>
      </w:r>
      <w:r w:rsidR="00000E13" w:rsidRPr="00DB5C28">
        <w:t>pôsobnosti OBÚ – BA:</w:t>
      </w:r>
      <w:r w:rsidR="00000E13" w:rsidRPr="00DB5C28">
        <w:tab/>
        <w:t xml:space="preserve">  1 </w:t>
      </w:r>
      <w:proofErr w:type="spellStart"/>
      <w:r w:rsidR="00000E13" w:rsidRPr="00DB5C28">
        <w:t>CHzP</w:t>
      </w:r>
      <w:proofErr w:type="spellEnd"/>
    </w:p>
    <w:p w:rsidR="00D13CDF" w:rsidRPr="00DB5C28" w:rsidRDefault="00D13CDF" w:rsidP="00D13CDF">
      <w:pPr>
        <w:numPr>
          <w:ilvl w:val="0"/>
          <w:numId w:val="7"/>
        </w:numPr>
        <w:suppressAutoHyphens/>
        <w:contextualSpacing/>
      </w:pPr>
      <w:r w:rsidRPr="00DB5C28">
        <w:t>v obvode pôsobnosti OBÚ – BB:</w:t>
      </w:r>
      <w:r w:rsidRPr="00DB5C28">
        <w:tab/>
      </w:r>
      <w:r w:rsidR="00000E13" w:rsidRPr="00DB5C28">
        <w:t xml:space="preserve">18 </w:t>
      </w:r>
      <w:proofErr w:type="spellStart"/>
      <w:r w:rsidR="00000E13" w:rsidRPr="00DB5C28">
        <w:t>CHzP</w:t>
      </w:r>
      <w:proofErr w:type="spellEnd"/>
    </w:p>
    <w:p w:rsidR="00D13CDF" w:rsidRPr="00DB5C28" w:rsidRDefault="00D13CDF" w:rsidP="00D13CDF">
      <w:pPr>
        <w:numPr>
          <w:ilvl w:val="0"/>
          <w:numId w:val="7"/>
        </w:numPr>
        <w:suppressAutoHyphens/>
        <w:contextualSpacing/>
      </w:pPr>
      <w:r w:rsidRPr="00DB5C28">
        <w:t>v obvode pôsobnosti OBÚ – KE:</w:t>
      </w:r>
      <w:r w:rsidRPr="00DB5C28">
        <w:tab/>
        <w:t xml:space="preserve">  0</w:t>
      </w:r>
      <w:r w:rsidR="00572AB6" w:rsidRPr="00DB5C28">
        <w:t xml:space="preserve"> </w:t>
      </w:r>
      <w:proofErr w:type="spellStart"/>
      <w:r w:rsidR="00572AB6" w:rsidRPr="00DB5C28">
        <w:t>CHzP</w:t>
      </w:r>
      <w:proofErr w:type="spellEnd"/>
    </w:p>
    <w:p w:rsidR="00D13CDF" w:rsidRPr="00DB5C28" w:rsidRDefault="00D13CDF" w:rsidP="00D13CDF">
      <w:pPr>
        <w:numPr>
          <w:ilvl w:val="0"/>
          <w:numId w:val="7"/>
        </w:numPr>
        <w:suppressAutoHyphens/>
        <w:contextualSpacing/>
      </w:pPr>
      <w:r w:rsidRPr="00DB5C28">
        <w:t>v obvode pôsobnosti OBÚ – PD:</w:t>
      </w:r>
      <w:r w:rsidRPr="00DB5C28">
        <w:tab/>
      </w:r>
      <w:r w:rsidR="00000E13" w:rsidRPr="00DB5C28">
        <w:t xml:space="preserve">            19 </w:t>
      </w:r>
      <w:proofErr w:type="spellStart"/>
      <w:r w:rsidR="00000E13" w:rsidRPr="00DB5C28">
        <w:t>CHzP</w:t>
      </w:r>
      <w:proofErr w:type="spellEnd"/>
    </w:p>
    <w:p w:rsidR="00D13CDF" w:rsidRPr="00DB5C28" w:rsidRDefault="00D13CDF" w:rsidP="00D13CDF">
      <w:pPr>
        <w:numPr>
          <w:ilvl w:val="0"/>
          <w:numId w:val="7"/>
        </w:numPr>
        <w:suppressAutoHyphens/>
        <w:contextualSpacing/>
      </w:pPr>
      <w:r w:rsidRPr="00DB5C28">
        <w:t>v obvode pôs</w:t>
      </w:r>
      <w:r w:rsidR="00000E13" w:rsidRPr="00DB5C28">
        <w:t>obnosti OBÚ – SNV:</w:t>
      </w:r>
      <w:r w:rsidR="00000E13" w:rsidRPr="00DB5C28">
        <w:tab/>
        <w:t xml:space="preserve"> 12 </w:t>
      </w:r>
      <w:proofErr w:type="spellStart"/>
      <w:r w:rsidR="00000E13" w:rsidRPr="00DB5C28">
        <w:t>CHzP</w:t>
      </w:r>
      <w:proofErr w:type="spellEnd"/>
    </w:p>
    <w:p w:rsidR="00D13CDF" w:rsidRPr="00DB5C28" w:rsidRDefault="00D13CDF" w:rsidP="00D13CDF">
      <w:pPr>
        <w:suppressAutoHyphens/>
      </w:pPr>
      <w:r w:rsidRPr="00DB5C28">
        <w:t xml:space="preserve">Z tohto počtu </w:t>
      </w:r>
      <w:r w:rsidR="000170CF" w:rsidRPr="00DB5C28">
        <w:t xml:space="preserve">zaznamenaných </w:t>
      </w:r>
      <w:proofErr w:type="spellStart"/>
      <w:r w:rsidR="000170CF" w:rsidRPr="00DB5C28">
        <w:t>CHzP</w:t>
      </w:r>
      <w:proofErr w:type="spellEnd"/>
      <w:r w:rsidRPr="00DB5C28">
        <w:t xml:space="preserve"> bolo najviac chor</w:t>
      </w:r>
      <w:r w:rsidR="00000E13" w:rsidRPr="00DB5C28">
        <w:t>ôb z jednostranného</w:t>
      </w:r>
      <w:r w:rsidR="00A44265" w:rsidRPr="00DB5C28">
        <w:t xml:space="preserve"> zaťaženia (tzn. 29), z vibrácií a </w:t>
      </w:r>
      <w:proofErr w:type="spellStart"/>
      <w:r w:rsidR="00A44265" w:rsidRPr="00DB5C28">
        <w:t>vazoneurózy</w:t>
      </w:r>
      <w:proofErr w:type="spellEnd"/>
      <w:r w:rsidR="00A44265" w:rsidRPr="00DB5C28">
        <w:t xml:space="preserve"> (</w:t>
      </w:r>
      <w:r w:rsidR="00000E13" w:rsidRPr="00DB5C28">
        <w:t>tzn. 11</w:t>
      </w:r>
      <w:r w:rsidR="00A44265" w:rsidRPr="00DB5C28">
        <w:t>), zo zaprášenia pľúc (</w:t>
      </w:r>
      <w:r w:rsidR="00000E13" w:rsidRPr="00DB5C28">
        <w:t>tzn. 6</w:t>
      </w:r>
      <w:r w:rsidR="00A44265" w:rsidRPr="00DB5C28">
        <w:t>), z hluku</w:t>
      </w:r>
      <w:r w:rsidR="00000E13" w:rsidRPr="00DB5C28">
        <w:t xml:space="preserve"> </w:t>
      </w:r>
      <w:r w:rsidR="00A44265" w:rsidRPr="00DB5C28">
        <w:t>(</w:t>
      </w:r>
      <w:r w:rsidR="00000E13" w:rsidRPr="00DB5C28">
        <w:t xml:space="preserve">tzn. </w:t>
      </w:r>
      <w:r w:rsidRPr="00DB5C28">
        <w:t>1</w:t>
      </w:r>
      <w:r w:rsidR="00A44265" w:rsidRPr="00DB5C28">
        <w:t>)</w:t>
      </w:r>
      <w:r w:rsidRPr="00DB5C28">
        <w:t xml:space="preserve"> </w:t>
      </w:r>
      <w:r w:rsidR="00A44265" w:rsidRPr="00DB5C28">
        <w:t>a z dôvodov označených ako iné (</w:t>
      </w:r>
      <w:r w:rsidR="00000E13" w:rsidRPr="00DB5C28">
        <w:t>tzn.</w:t>
      </w:r>
      <w:r w:rsidRPr="00DB5C28">
        <w:t xml:space="preserve"> 3 choroby</w:t>
      </w:r>
      <w:r w:rsidR="00A44265" w:rsidRPr="00DB5C28">
        <w:t>)</w:t>
      </w:r>
      <w:r w:rsidRPr="00DB5C28">
        <w:t xml:space="preserve">. </w:t>
      </w:r>
      <w:r w:rsidR="00000E13" w:rsidRPr="00DB5C28">
        <w:t xml:space="preserve">Z uvedeného vyplýva, že </w:t>
      </w:r>
      <w:r w:rsidRPr="00DB5C28">
        <w:t>jednoz</w:t>
      </w:r>
      <w:r w:rsidR="00000E13" w:rsidRPr="00DB5C28">
        <w:t xml:space="preserve">načne najviac </w:t>
      </w:r>
      <w:proofErr w:type="spellStart"/>
      <w:r w:rsidR="00000E13" w:rsidRPr="00DB5C28">
        <w:t>CHzP</w:t>
      </w:r>
      <w:proofErr w:type="spellEnd"/>
      <w:r w:rsidRPr="00DB5C28">
        <w:t xml:space="preserve"> je stále spôsobovaných</w:t>
      </w:r>
      <w:r w:rsidR="00000E13" w:rsidRPr="00DB5C28">
        <w:t xml:space="preserve"> jednostranným zaťažením a</w:t>
      </w:r>
      <w:r w:rsidRPr="00DB5C28">
        <w:t xml:space="preserve"> vibráciami.</w:t>
      </w:r>
    </w:p>
    <w:p w:rsidR="00D13CDF" w:rsidRPr="00DB5C28" w:rsidRDefault="00D13CDF" w:rsidP="00D13CDF">
      <w:pPr>
        <w:suppressAutoHyphens/>
      </w:pPr>
      <w:r w:rsidRPr="00DB5C28">
        <w:t>Zo štruk</w:t>
      </w:r>
      <w:r w:rsidR="00000E13" w:rsidRPr="00DB5C28">
        <w:t xml:space="preserve">túry a počtov </w:t>
      </w:r>
      <w:proofErr w:type="spellStart"/>
      <w:r w:rsidR="00000E13" w:rsidRPr="00DB5C28">
        <w:t>CHzP</w:t>
      </w:r>
      <w:proofErr w:type="spellEnd"/>
      <w:r w:rsidRPr="00DB5C28">
        <w:t xml:space="preserve"> vyplýva, že hlavnou príčinou vzniku </w:t>
      </w:r>
      <w:proofErr w:type="spellStart"/>
      <w:r w:rsidR="00000E13" w:rsidRPr="00DB5C28">
        <w:t>CHzP</w:t>
      </w:r>
      <w:proofErr w:type="spellEnd"/>
      <w:r w:rsidRPr="00DB5C28">
        <w:t xml:space="preserve"> sú strojné zariadenia, ich konštrukcia, spôsob činnosti stroja, ergonómia a hmotnosť stroja. Z toho jednoznačne vyplýva, že v prípadoch používania strojov a zariadení, ktoré sú príčinou vzniku týcht</w:t>
      </w:r>
      <w:r w:rsidR="00000E13" w:rsidRPr="00DB5C28">
        <w:t xml:space="preserve">o konkrétnych </w:t>
      </w:r>
      <w:proofErr w:type="spellStart"/>
      <w:r w:rsidR="00000E13" w:rsidRPr="00DB5C28">
        <w:t>CHzP</w:t>
      </w:r>
      <w:proofErr w:type="spellEnd"/>
      <w:r w:rsidRPr="00DB5C28">
        <w:t>, bude potrebné zo strany organizácií, ktoré takéto zariadenia prevádzkujú, prehodnotiť riziká a nebezpečenstvá a prijať zodpovedajúce opatrenia na zníženie vplyvu pracovného prostredia a pracovných prostriedkov na zdravie zamestnancov.</w:t>
      </w:r>
    </w:p>
    <w:p w:rsidR="00D13CDF" w:rsidRPr="00DB5C28" w:rsidRDefault="00D13CDF" w:rsidP="002E5ED5">
      <w:pPr>
        <w:keepNext/>
        <w:numPr>
          <w:ilvl w:val="0"/>
          <w:numId w:val="5"/>
        </w:numPr>
        <w:tabs>
          <w:tab w:val="left" w:pos="567"/>
        </w:tabs>
        <w:suppressAutoHyphens/>
        <w:spacing w:after="120"/>
        <w:ind w:hanging="567"/>
        <w:jc w:val="left"/>
        <w:outlineLvl w:val="0"/>
        <w:rPr>
          <w:b/>
          <w:bCs/>
          <w:kern w:val="32"/>
        </w:rPr>
      </w:pPr>
      <w:r w:rsidRPr="00DB5C28">
        <w:rPr>
          <w:b/>
          <w:bCs/>
          <w:kern w:val="32"/>
        </w:rPr>
        <w:lastRenderedPageBreak/>
        <w:t>Spolupráca dozorného orgánu</w:t>
      </w:r>
    </w:p>
    <w:p w:rsidR="00D13CDF" w:rsidRPr="00DB5C28" w:rsidRDefault="00D13CDF" w:rsidP="00D13CDF">
      <w:pPr>
        <w:suppressAutoHyphens/>
      </w:pPr>
      <w:r w:rsidRPr="00DB5C28">
        <w:t>Spolupráca v oblasti BOZP bola realizovaná s Odborovým zväzom pracovníkov baní, geológie a naftového priemyslu SR, Slovenskou banskou komorou, Slovenským združením výrobcov kameniva, Slovenskou baníckou spoločnosťou, Slovenskou spoločnosťou pre vŕtacie a trhacie práce, Slovenským ús</w:t>
      </w:r>
      <w:r w:rsidR="001810FD" w:rsidRPr="00DB5C28">
        <w:t>tavom technickej normalizácie a </w:t>
      </w:r>
      <w:r w:rsidRPr="00DB5C28">
        <w:t xml:space="preserve">niektorými SKTC. </w:t>
      </w:r>
    </w:p>
    <w:p w:rsidR="00D13CDF" w:rsidRPr="00DB5C28" w:rsidRDefault="00D13CDF" w:rsidP="00D13CDF">
      <w:pPr>
        <w:suppressAutoHyphens/>
      </w:pPr>
      <w:r w:rsidRPr="00DB5C28">
        <w:t>V oblasti výbušnín a vyšetrovania závažných pracovných úrazov banské úrady spolupracujú s krajskými a okresnými riadit</w:t>
      </w:r>
      <w:r w:rsidR="001810FD" w:rsidRPr="00DB5C28">
        <w:t>eľstvami Policajného zboru SR a </w:t>
      </w:r>
      <w:r w:rsidRPr="00DB5C28">
        <w:t>s Kriminalistickým a expertíznym ústavom. V oblasti predaja pyrotechnických výrobkov spolupracujú aj so Slovenskou obchodnou inšpekciou, s ktorou</w:t>
      </w:r>
      <w:r w:rsidR="001810FD" w:rsidRPr="00DB5C28">
        <w:t xml:space="preserve"> spolupracuje HBÚ aj na </w:t>
      </w:r>
      <w:r w:rsidRPr="00DB5C28">
        <w:t xml:space="preserve">úseku chemických látok. </w:t>
      </w:r>
      <w:r w:rsidR="001810FD" w:rsidRPr="00DB5C28">
        <w:t>Zástupca HBÚ</w:t>
      </w:r>
      <w:r w:rsidRPr="00DB5C28">
        <w:t xml:space="preserve"> je člen</w:t>
      </w:r>
      <w:r w:rsidR="001810FD" w:rsidRPr="00DB5C28">
        <w:t>om poradnej komisie vo vzťahu k </w:t>
      </w:r>
      <w:r w:rsidRPr="00DB5C28">
        <w:t xml:space="preserve">uplatňovaniu nariadenia REACH na Slovensku. </w:t>
      </w:r>
    </w:p>
    <w:p w:rsidR="00D13CDF" w:rsidRPr="00DB5C28" w:rsidRDefault="00D13CDF" w:rsidP="00D13CDF">
      <w:pPr>
        <w:suppressAutoHyphens/>
      </w:pPr>
      <w:r w:rsidRPr="00DB5C28">
        <w:t>V rámci konzultácií a prípravy vysokoškolsky vzdelaných odborníkov v oblasti baníctva, ale aj v oblasti vykonávania skúšok a v</w:t>
      </w:r>
      <w:r w:rsidR="001810FD" w:rsidRPr="00DB5C28">
        <w:t>ydávania odborných posudkov pre </w:t>
      </w:r>
      <w:r w:rsidRPr="00DB5C28">
        <w:t>rozhodovaciu činnosť orgánov štátnej banskej správy pokračovala aj spolupráca s Fakultou baníctva, ekológie, riadenia a </w:t>
      </w:r>
      <w:proofErr w:type="spellStart"/>
      <w:r w:rsidRPr="00DB5C28">
        <w:t>geotech</w:t>
      </w:r>
      <w:r w:rsidR="009A6E55" w:rsidRPr="00DB5C28">
        <w:t>nológií</w:t>
      </w:r>
      <w:proofErr w:type="spellEnd"/>
      <w:r w:rsidR="009A6E55" w:rsidRPr="00DB5C28">
        <w:t xml:space="preserve"> Technickej univerzity v </w:t>
      </w:r>
      <w:r w:rsidRPr="00DB5C28">
        <w:t>Košiciach, a tiež aj so Strojníckou fakultou Technickej univerzity v Košiciach.</w:t>
      </w:r>
    </w:p>
    <w:p w:rsidR="00D13CDF" w:rsidRPr="00DB5C28" w:rsidRDefault="001810FD" w:rsidP="00D13CDF">
      <w:pPr>
        <w:suppressAutoHyphens/>
      </w:pPr>
      <w:r w:rsidRPr="00DB5C28">
        <w:t xml:space="preserve">Dobrá spolupráca je </w:t>
      </w:r>
      <w:r w:rsidR="00D13CDF" w:rsidRPr="00DB5C28">
        <w:t>aj medzi Ministerstvom h</w:t>
      </w:r>
      <w:r w:rsidRPr="00DB5C28">
        <w:t>ospodárstva SR</w:t>
      </w:r>
      <w:r w:rsidR="00D13CDF" w:rsidRPr="00DB5C28">
        <w:t xml:space="preserve"> </w:t>
      </w:r>
      <w:r w:rsidRPr="00DB5C28">
        <w:t xml:space="preserve">(ďalej len „MH SR“) </w:t>
      </w:r>
      <w:r w:rsidR="007D4F7B" w:rsidRPr="00DB5C28">
        <w:t>a </w:t>
      </w:r>
      <w:r w:rsidR="00D13CDF" w:rsidRPr="00DB5C28">
        <w:t>Ministerstvom životn</w:t>
      </w:r>
      <w:r w:rsidR="007D4F7B" w:rsidRPr="00DB5C28">
        <w:t>ého prostredia SR (ďalej len „MŽP SR“)</w:t>
      </w:r>
      <w:r w:rsidR="00D13CDF" w:rsidRPr="00DB5C28">
        <w:t xml:space="preserve"> v rôznych oblastiach, okrem iného najmä v legislatívnej oblasti pri príprave návrhov predpisov súvisiacich s výkonom hlavného dozoru.</w:t>
      </w:r>
    </w:p>
    <w:p w:rsidR="00D13CDF" w:rsidRPr="00DB5C28" w:rsidRDefault="00D13CDF" w:rsidP="00D13CDF">
      <w:pPr>
        <w:suppressAutoHyphens/>
      </w:pPr>
      <w:r w:rsidRPr="00DB5C28">
        <w:t>Banské úrady spolupracujú aj s Národným inšpektorátom práce</w:t>
      </w:r>
      <w:r w:rsidR="007D4F7B" w:rsidRPr="00DB5C28">
        <w:t xml:space="preserve"> (ďalej len „NIP“)</w:t>
      </w:r>
      <w:r w:rsidRPr="00DB5C28">
        <w:t>, ako aj jednotlivými krajskými inšpektorátmi práce (napr. pri určovaní hranice dozoru na</w:t>
      </w:r>
      <w:r w:rsidR="007D4F7B" w:rsidRPr="00DB5C28">
        <w:t>d BOZP a BP). HBÚ a NIP</w:t>
      </w:r>
      <w:r w:rsidRPr="00DB5C28">
        <w:t xml:space="preserve"> majú podpísanú vzájomnú Dohodu o spolupráci od roku 2013.</w:t>
      </w:r>
    </w:p>
    <w:p w:rsidR="00D13CDF" w:rsidRPr="00DB5C28" w:rsidRDefault="00D13CDF" w:rsidP="00D13CDF">
      <w:pPr>
        <w:suppressAutoHyphens/>
      </w:pPr>
      <w:r w:rsidRPr="00DB5C28">
        <w:t>V súlade so zákonom č. 128/2015 Z.</w:t>
      </w:r>
      <w:r w:rsidR="00EF6257" w:rsidRPr="00DB5C28">
        <w:t xml:space="preserve"> </w:t>
      </w:r>
      <w:r w:rsidRPr="00DB5C28">
        <w:t>z. boli vykonávané koordi</w:t>
      </w:r>
      <w:r w:rsidR="00EF6257" w:rsidRPr="00DB5C28">
        <w:t>nované kontroly na </w:t>
      </w:r>
      <w:r w:rsidRPr="00DB5C28">
        <w:t>úseku prevencie závažných priemyselných havárií v podnikoch, na ktoré sa vzťahuje tento zákon v súčinnosti so Slovenskou inšpekciou životného</w:t>
      </w:r>
      <w:r w:rsidR="00EF6257" w:rsidRPr="00DB5C28">
        <w:t xml:space="preserve"> prostredia SR</w:t>
      </w:r>
      <w:r w:rsidRPr="00DB5C28">
        <w:t xml:space="preserve">. </w:t>
      </w:r>
      <w:r w:rsidR="00EF6257" w:rsidRPr="00DB5C28">
        <w:t>Zástupca HBÚ</w:t>
      </w:r>
      <w:r w:rsidRPr="00DB5C28">
        <w:t xml:space="preserve"> je členom Komisie pre prevenciu závažných priemyselných havárií, ktorú vymenoval minister životného prostredia</w:t>
      </w:r>
      <w:r w:rsidR="00EF6257" w:rsidRPr="00DB5C28">
        <w:t xml:space="preserve"> SR</w:t>
      </w:r>
      <w:r w:rsidRPr="00DB5C28">
        <w:t>. So Slovenskou inšpekc</w:t>
      </w:r>
      <w:r w:rsidR="00EF6257" w:rsidRPr="00DB5C28">
        <w:t>iou životného prostredia SR a s </w:t>
      </w:r>
      <w:r w:rsidRPr="00DB5C28">
        <w:t>Inšpektorátmi životného prostredia s</w:t>
      </w:r>
      <w:r w:rsidR="00EF6257" w:rsidRPr="00DB5C28">
        <w:t>polupracujú OBÚ</w:t>
      </w:r>
      <w:r w:rsidRPr="00DB5C28">
        <w:t xml:space="preserve"> najmä pri vykonávaní inšpekcií  podľa </w:t>
      </w:r>
      <w:r w:rsidR="00EF6257" w:rsidRPr="00DB5C28">
        <w:t>zákona č. 261/2002 Z. z.</w:t>
      </w:r>
      <w:r w:rsidRPr="00DB5C28">
        <w:t>, ale aj v rámci svo</w:t>
      </w:r>
      <w:r w:rsidR="00EF6257" w:rsidRPr="00DB5C28">
        <w:t>jej obvodovej pôsobnosti aj pri </w:t>
      </w:r>
      <w:r w:rsidRPr="00DB5C28">
        <w:t>povoľovaniach banskej činnosti, resp. činnosti</w:t>
      </w:r>
      <w:r w:rsidR="00134803" w:rsidRPr="00DB5C28">
        <w:t xml:space="preserve"> vykonávanej banským spôsobom v </w:t>
      </w:r>
      <w:r w:rsidRPr="00DB5C28">
        <w:t>prís</w:t>
      </w:r>
      <w:r w:rsidR="00134803" w:rsidRPr="00DB5C28">
        <w:t>lušných okresoch, resp. krajoch</w:t>
      </w:r>
      <w:r w:rsidRPr="00DB5C28">
        <w:t xml:space="preserve"> alebo pri riešení problémov súvisiacich s ochranou prírody a krajiny pri vykonávaní banskej činnosti alebo činnosti vykonávanej banským spôsobom. </w:t>
      </w:r>
    </w:p>
    <w:p w:rsidR="00D13CDF" w:rsidRPr="00DB5C28" w:rsidRDefault="00134803" w:rsidP="00D13CDF">
      <w:pPr>
        <w:suppressAutoHyphens/>
        <w:rPr>
          <w:spacing w:val="-2"/>
        </w:rPr>
      </w:pPr>
      <w:r w:rsidRPr="00DB5C28">
        <w:rPr>
          <w:spacing w:val="-2"/>
        </w:rPr>
        <w:t>V</w:t>
      </w:r>
      <w:r w:rsidR="00D13CDF" w:rsidRPr="00DB5C28">
        <w:rPr>
          <w:spacing w:val="-2"/>
        </w:rPr>
        <w:t xml:space="preserve">eľmi dobrá spolupráca bola so Slovenskou banskou komorou, Slovenskou baníckou spoločnosťou a aj so Slovenským zväzom výrobcov kameniva. </w:t>
      </w:r>
    </w:p>
    <w:p w:rsidR="00D13CDF" w:rsidRPr="00DB5C28" w:rsidRDefault="00D13CDF" w:rsidP="00D13CDF">
      <w:pPr>
        <w:suppressAutoHyphens/>
        <w:rPr>
          <w:spacing w:val="-2"/>
        </w:rPr>
      </w:pPr>
      <w:r w:rsidRPr="00DB5C28">
        <w:rPr>
          <w:spacing w:val="-2"/>
        </w:rPr>
        <w:t>Orgány hlavného dozoru prostredníctvom svojich</w:t>
      </w:r>
      <w:r w:rsidR="009A6E55" w:rsidRPr="00DB5C28">
        <w:rPr>
          <w:spacing w:val="-2"/>
        </w:rPr>
        <w:t xml:space="preserve"> inšpektorov spolupracujú aj so </w:t>
      </w:r>
      <w:r w:rsidRPr="00DB5C28">
        <w:rPr>
          <w:spacing w:val="-2"/>
        </w:rPr>
        <w:t>Slovenskou spoločnosťou pre trhacie a vŕt</w:t>
      </w:r>
      <w:r w:rsidR="00134803" w:rsidRPr="00DB5C28">
        <w:rPr>
          <w:spacing w:val="-2"/>
        </w:rPr>
        <w:t>acie práce v Banskej Bystrici, najmä pri výučbe v </w:t>
      </w:r>
      <w:proofErr w:type="spellStart"/>
      <w:r w:rsidRPr="00DB5C28">
        <w:rPr>
          <w:spacing w:val="-2"/>
        </w:rPr>
        <w:t>strelmajstrovských</w:t>
      </w:r>
      <w:proofErr w:type="spellEnd"/>
      <w:r w:rsidRPr="00DB5C28">
        <w:rPr>
          <w:spacing w:val="-2"/>
        </w:rPr>
        <w:t xml:space="preserve"> kurzoch (lektorská činnosť) a tie</w:t>
      </w:r>
      <w:r w:rsidR="00134803" w:rsidRPr="00DB5C28">
        <w:rPr>
          <w:spacing w:val="-2"/>
        </w:rPr>
        <w:t>ž s viacerými organizáciami pri </w:t>
      </w:r>
      <w:r w:rsidRPr="00DB5C28">
        <w:rPr>
          <w:spacing w:val="-2"/>
        </w:rPr>
        <w:t>vykonávaní lektorskej a prednáškovej činnosti zameranej na odbornú prípravu odborne spôsobilých zamestnancov organizácií.</w:t>
      </w:r>
    </w:p>
    <w:p w:rsidR="00D13CDF" w:rsidRPr="00DB5C28" w:rsidRDefault="00D13CDF" w:rsidP="00D13CDF">
      <w:pPr>
        <w:suppressAutoHyphens/>
      </w:pPr>
      <w:r w:rsidRPr="00DB5C28">
        <w:t>V súvislosti so zákonom č. 136/2010 Z. z. o službác</w:t>
      </w:r>
      <w:r w:rsidR="009A6E55" w:rsidRPr="00DB5C28">
        <w:t>h na vnútornom trhu a o zmene a </w:t>
      </w:r>
      <w:r w:rsidRPr="00DB5C28">
        <w:t>doplnení niektorých zákonov je nadviazaná aj spol</w:t>
      </w:r>
      <w:r w:rsidR="00134803" w:rsidRPr="00DB5C28">
        <w:t>upráca s Národnou agentúrou pre </w:t>
      </w:r>
      <w:r w:rsidRPr="00DB5C28">
        <w:t>sieťové a elektronické služby v oblasti zabezpečovania funkčnosti tzv. jednotných kontaktných miest, ktoré boli alokované na okresných úradoch všeobecnej štátnej správy.</w:t>
      </w:r>
    </w:p>
    <w:p w:rsidR="00D13CDF" w:rsidRPr="00DB5C28" w:rsidRDefault="00D13CDF" w:rsidP="002E5ED5">
      <w:pPr>
        <w:keepNext/>
        <w:numPr>
          <w:ilvl w:val="0"/>
          <w:numId w:val="5"/>
        </w:numPr>
        <w:tabs>
          <w:tab w:val="left" w:pos="567"/>
        </w:tabs>
        <w:suppressAutoHyphens/>
        <w:spacing w:after="120"/>
        <w:ind w:hanging="567"/>
        <w:jc w:val="left"/>
        <w:outlineLvl w:val="0"/>
        <w:rPr>
          <w:b/>
          <w:bCs/>
          <w:kern w:val="32"/>
        </w:rPr>
      </w:pPr>
      <w:r w:rsidRPr="00DB5C28">
        <w:rPr>
          <w:b/>
          <w:bCs/>
          <w:kern w:val="32"/>
        </w:rPr>
        <w:lastRenderedPageBreak/>
        <w:t xml:space="preserve">Hodnotenie stavu ochrany práce v roku 2017 v SR </w:t>
      </w:r>
      <w:r w:rsidR="00134803" w:rsidRPr="00DB5C28">
        <w:rPr>
          <w:b/>
          <w:bCs/>
          <w:kern w:val="32"/>
        </w:rPr>
        <w:t>a opatrenia dozorného orgánu na </w:t>
      </w:r>
      <w:r w:rsidRPr="00DB5C28">
        <w:rPr>
          <w:b/>
          <w:bCs/>
          <w:kern w:val="32"/>
        </w:rPr>
        <w:t>zlepšenie stavu</w:t>
      </w:r>
    </w:p>
    <w:p w:rsidR="00D13CDF" w:rsidRPr="00DB5C28" w:rsidRDefault="00D13CDF" w:rsidP="00D13CDF">
      <w:pPr>
        <w:suppressAutoHyphens/>
      </w:pPr>
      <w:r w:rsidRPr="00DB5C28">
        <w:t>Poznatky z dozornej činnosti poukazujú na skutočnosti, ktoré sa v hodnoteniach stavu BOZP a BP objavujú</w:t>
      </w:r>
      <w:r w:rsidR="00481EB0" w:rsidRPr="00DB5C28">
        <w:t xml:space="preserve"> už niekoľko rokov dozadu, tzn.</w:t>
      </w:r>
      <w:r w:rsidRPr="00DB5C28">
        <w:t xml:space="preserve"> že starostlivosť o BOZP a BP ešte stále nie je v popredí záujmu niektorých, možno až väčšiny kontrolovaných subjektov, aj keď je už možné pozorovať zlepšujúcu sa si</w:t>
      </w:r>
      <w:r w:rsidR="00481EB0" w:rsidRPr="00DB5C28">
        <w:t xml:space="preserve">tuáciu v tejto oblasti. Aby sa </w:t>
      </w:r>
      <w:r w:rsidRPr="00DB5C28">
        <w:t xml:space="preserve">stav </w:t>
      </w:r>
      <w:r w:rsidR="00481EB0" w:rsidRPr="00DB5C28">
        <w:t xml:space="preserve">BOZP a BP naďalej zlepšoval je </w:t>
      </w:r>
      <w:r w:rsidRPr="00DB5C28">
        <w:t xml:space="preserve">potrebné </w:t>
      </w:r>
      <w:r w:rsidR="00481EB0" w:rsidRPr="00DB5C28">
        <w:t xml:space="preserve">naďalej </w:t>
      </w:r>
      <w:r w:rsidRPr="00DB5C28">
        <w:t xml:space="preserve">systematicky a cieľavedome </w:t>
      </w:r>
      <w:r w:rsidR="00481EB0" w:rsidRPr="00DB5C28">
        <w:t>pokračovať v pôsobení v tejto oblasti</w:t>
      </w:r>
      <w:r w:rsidRPr="00DB5C28">
        <w:t>. Nepr</w:t>
      </w:r>
      <w:r w:rsidR="00481EB0" w:rsidRPr="00DB5C28">
        <w:t xml:space="preserve">iaznivým aspektom </w:t>
      </w:r>
      <w:r w:rsidRPr="00DB5C28">
        <w:t>je skutočnosť, že úroveň pracovných podmienok a starostlivosť o BOZP a BP je ešte stále odrazom ekonomických možností zamestnávateľov, kt</w:t>
      </w:r>
      <w:r w:rsidR="005E5068" w:rsidRPr="00DB5C28">
        <w:t xml:space="preserve">orí vo väčšine prípadov sú </w:t>
      </w:r>
      <w:r w:rsidRPr="00DB5C28">
        <w:t>schopní odstraňovať nedostatky zistené orgánmi hlavného dozoru, ale ďalší rozvoj úrovne BOZP a BP, ako aj vlastnú prevenciu v tejto oblasti stavajú na okraj svojho záujmu. Výsledkom takého prístupu je chýbajúci systémový prístup k problematike BOZP a BP. Posudzovaniu rizík je venovaná stále pomerne malá pozornosť, spolupráca vedúcich zamestnancov a zamestnancov z pohľadu BOZP a BP je často neuspokojivá, resp. formálna, kvalita detailnejšieho a presnejšieho oboznamovania zamestnancov s problematikou BOZP a BP je neuspokojivá, čím zbytočne zaťažuje nielen zames</w:t>
      </w:r>
      <w:r w:rsidR="00481EB0" w:rsidRPr="00DB5C28">
        <w:t>tnávateľov, ale aj zamestnancov a jej účinok je diskutabilný</w:t>
      </w:r>
      <w:r w:rsidRPr="00DB5C28">
        <w:t xml:space="preserve"> až slabý. </w:t>
      </w:r>
    </w:p>
    <w:p w:rsidR="00D13CDF" w:rsidRPr="00DB5C28" w:rsidRDefault="00481EB0" w:rsidP="00D13CDF">
      <w:pPr>
        <w:suppressAutoHyphens/>
      </w:pPr>
      <w:r w:rsidRPr="00DB5C28">
        <w:t>N</w:t>
      </w:r>
      <w:r w:rsidR="00D13CDF" w:rsidRPr="00DB5C28">
        <w:t>iektoré organizácie vykonávajúce banskú činnosť (ďalej len „BČ“) alebo činnosť vykonávanú banským spôsobom (ďalej len „ČVBS“) nemajú prognózy na zabezpečenie dostatočného odbytu svojej produkcie. Z tohto dôvodu znižujú ťažbu, zároveň aj tvorbu zisku a časť prostriedkov, ktoré by mohli určiť na BOZP a BP obmedzujú.</w:t>
      </w:r>
    </w:p>
    <w:p w:rsidR="00D13CDF" w:rsidRPr="00DB5C28" w:rsidRDefault="00D13CDF" w:rsidP="00D13CDF">
      <w:pPr>
        <w:suppressAutoHyphens/>
      </w:pPr>
      <w:r w:rsidRPr="00DB5C28">
        <w:t xml:space="preserve"> Vážnym problé</w:t>
      </w:r>
      <w:r w:rsidR="00A62FF1" w:rsidRPr="00DB5C28">
        <w:t>mom je aj prehlbujúci sa nedostatok</w:t>
      </w:r>
      <w:r w:rsidRPr="00DB5C28">
        <w:t xml:space="preserve"> kvalifikovaných zamestnanc</w:t>
      </w:r>
      <w:r w:rsidR="00A62FF1" w:rsidRPr="00DB5C28">
        <w:t>ov; k</w:t>
      </w:r>
      <w:r w:rsidRPr="00DB5C28">
        <w:t>valitní, skúsení a už zapracova</w:t>
      </w:r>
      <w:r w:rsidR="00A47C9B" w:rsidRPr="00DB5C28">
        <w:t>ní zamestnanci migrujú za lepšími</w:t>
      </w:r>
      <w:r w:rsidRPr="00DB5C28">
        <w:t xml:space="preserve"> platenými </w:t>
      </w:r>
      <w:r w:rsidR="001F0269" w:rsidRPr="00DB5C28">
        <w:t xml:space="preserve">pracovnými </w:t>
      </w:r>
      <w:r w:rsidRPr="00DB5C28">
        <w:t xml:space="preserve">príležitosťami. Na pracovné pozície, na ktorých sa vykonáva činnosť v bezprostrednom </w:t>
      </w:r>
      <w:r w:rsidR="00A62FF1" w:rsidRPr="00DB5C28">
        <w:t>styku s horninovým masívom </w:t>
      </w:r>
      <w:r w:rsidR="001F0269" w:rsidRPr="00DB5C28">
        <w:t xml:space="preserve">v </w:t>
      </w:r>
      <w:r w:rsidR="00A62FF1" w:rsidRPr="00DB5C28">
        <w:t>podzemí</w:t>
      </w:r>
      <w:r w:rsidRPr="00DB5C28">
        <w:t xml:space="preserve"> ale</w:t>
      </w:r>
      <w:r w:rsidR="00A62FF1" w:rsidRPr="00DB5C28">
        <w:t>bo</w:t>
      </w:r>
      <w:r w:rsidRPr="00DB5C28">
        <w:t xml:space="preserve"> na povrchu, ktoré sú spojené s neodstrániteľným rizikom ohrozenia a poškodenia zdravia sú prijímaní zamestnanci s nepreskúmanými odbornými znalosťami a čo je </w:t>
      </w:r>
      <w:r w:rsidR="009A6E55" w:rsidRPr="00DB5C28">
        <w:t>horšie, bez dostatočnej praxe a </w:t>
      </w:r>
      <w:r w:rsidRPr="00DB5C28">
        <w:t xml:space="preserve">skúseností v náročnom banskom prostredí. </w:t>
      </w:r>
    </w:p>
    <w:p w:rsidR="00D13CDF" w:rsidRPr="00DB5C28" w:rsidRDefault="00D13CDF" w:rsidP="00D13CDF">
      <w:pPr>
        <w:suppressAutoHyphens/>
      </w:pPr>
      <w:r w:rsidRPr="00DB5C28">
        <w:t>V poslednom období je pozorovateľné, že už aj tak pomerne riziková práca sa stáva rizikovejšou z dôvodu pôsobenia rôznych vonkajš</w:t>
      </w:r>
      <w:r w:rsidR="009A6E55" w:rsidRPr="00DB5C28">
        <w:t>ích vplyvov, napríklad tlaku na </w:t>
      </w:r>
      <w:r w:rsidRPr="00DB5C28">
        <w:t xml:space="preserve">dodržiavanie termínov výstavby (razenie a výstavba tunelov) alebo náhle požiadavky na zvýšenie odbytu napr. pri ťažbe v povrchových lomoch (dodávky suroviny pre výstavbu diaľnic a pod.). Riadna a precízna kontrola a zabezpečenie pracoviska pred začatím prác, najmä po odstrele, vrátane jeho riadneho odvetrania je zvlášť v podzemí a najmä pri razení v zložitých geologických podmienkach náročné, niekedy aj zdĺhavé. Týka sa to však aj lomových prevádzok na povrchu, najmä po výdatnej </w:t>
      </w:r>
      <w:proofErr w:type="spellStart"/>
      <w:r w:rsidRPr="00DB5C28">
        <w:t>prehánkovej</w:t>
      </w:r>
      <w:proofErr w:type="spellEnd"/>
      <w:r w:rsidRPr="00DB5C28">
        <w:t xml:space="preserve"> činnosti (dlhotrvajúce dažde). Preto vo väčšine prevádzok, kde je vykonávaná banská činnosť, resp. činnosť vykonávaná banským spôsobom nie je z hľadiska BOZP a BP vhodné (z hľadisk</w:t>
      </w:r>
      <w:r w:rsidR="00206419" w:rsidRPr="00DB5C28">
        <w:t>a bezpečnosti nie je ani možné) prácu úkolovať. Skúsenosti z minulosti, najmä</w:t>
      </w:r>
      <w:r w:rsidR="00E008EA" w:rsidRPr="00DB5C28">
        <w:t xml:space="preserve"> tie najnovšie, </w:t>
      </w:r>
      <w:r w:rsidRPr="00DB5C28">
        <w:t xml:space="preserve"> potvrdzujú, že pri aplikovaní zámerov „tlačiť na zvyšovanie výkonov“ pri razení, resp. dobývaní, dochádza k </w:t>
      </w:r>
      <w:proofErr w:type="spellStart"/>
      <w:r w:rsidRPr="00DB5C28">
        <w:t>bagatelizácii</w:t>
      </w:r>
      <w:proofErr w:type="spellEnd"/>
      <w:r w:rsidRPr="00DB5C28">
        <w:t xml:space="preserve"> a nepostrehnut</w:t>
      </w:r>
      <w:r w:rsidR="009A6E55" w:rsidRPr="00DB5C28">
        <w:t>iu hroziaceho nebezpečenstva na </w:t>
      </w:r>
      <w:r w:rsidRPr="00DB5C28">
        <w:t>pracovisku, resp. v jeho okolí a tiež k nedôslednému posúdeniu stavu bezpečnosti, resp. k podceneniu rizika vyplývajúceho z danej činnosti a zvýšeniu pravdepodobnosti vzniku nešťastia.</w:t>
      </w:r>
    </w:p>
    <w:p w:rsidR="00D13CDF" w:rsidRPr="00DB5C28" w:rsidRDefault="00D13CDF" w:rsidP="00E008EA">
      <w:pPr>
        <w:suppressAutoHyphens/>
      </w:pPr>
      <w:r w:rsidRPr="00DB5C28">
        <w:t>Pre zlepšenie stavu v oblasti BOZP a BP je potrebné zo strany orgánov štátnej banskej správy systematicky a dôsledne vplývať na dôsledné dodržiavanie platných právnych predpisov zamestnancami a zamestnávat</w:t>
      </w:r>
      <w:r w:rsidR="009A6E55" w:rsidRPr="00DB5C28">
        <w:t>eľmi a presadzovať vytváranie a </w:t>
      </w:r>
      <w:r w:rsidRPr="00DB5C28">
        <w:t xml:space="preserve">udržiavanie zákonných a takých podmienok na vykonávanie práce, ktoré jednoznačne </w:t>
      </w:r>
      <w:r w:rsidRPr="00DB5C28">
        <w:lastRenderedPageBreak/>
        <w:t>zaistia požadovanú úroveň BOZP a BP bez ohľadu na ekonomické ukazovatele činnosti subjektu. Žiaľ, ani takáto snaha orgánov štátnej banskej správy pri výkone hlavného dozoru nedokáže zlepšiť ekonomickú situáciu zamestnávateľov, ktorej úroveň má priamy vplyv na úroveň zabezpečenia BOZP a BP u je</w:t>
      </w:r>
      <w:r w:rsidR="00E008EA" w:rsidRPr="00DB5C28">
        <w:t>dnotlivých zamestnávateľov a</w:t>
      </w:r>
      <w:r w:rsidRPr="00DB5C28">
        <w:t xml:space="preserve"> nedokáže zmeniť vplyvy, ktorými pôsobí na banské prevádzky tlak záujmov spoločnosti.</w:t>
      </w:r>
    </w:p>
    <w:p w:rsidR="00D13CDF" w:rsidRPr="00DB5C28" w:rsidRDefault="00D13CDF" w:rsidP="00D13CDF">
      <w:pPr>
        <w:suppressAutoHyphens/>
        <w:rPr>
          <w:strike/>
        </w:rPr>
      </w:pPr>
    </w:p>
    <w:p w:rsidR="00D13CDF" w:rsidRPr="00DB5C28" w:rsidRDefault="00D13CDF" w:rsidP="00D13CDF">
      <w:pPr>
        <w:suppressAutoHyphens/>
        <w:ind w:firstLine="0"/>
      </w:pPr>
    </w:p>
    <w:p w:rsidR="00D13CDF" w:rsidRPr="00DB5C28" w:rsidRDefault="00D13CDF" w:rsidP="00D13CDF">
      <w:pPr>
        <w:suppressAutoHyphens/>
        <w:ind w:firstLine="0"/>
      </w:pPr>
    </w:p>
    <w:p w:rsidR="00D13CDF" w:rsidRPr="00DB5C28" w:rsidRDefault="00D13CDF" w:rsidP="00D13CDF">
      <w:pPr>
        <w:suppressAutoHyphens/>
        <w:ind w:firstLine="0"/>
      </w:pPr>
    </w:p>
    <w:p w:rsidR="00D13CDF" w:rsidRPr="00DB5C28" w:rsidRDefault="00D13CDF" w:rsidP="00D13CDF">
      <w:pPr>
        <w:suppressAutoHyphens/>
        <w:ind w:firstLine="0"/>
      </w:pPr>
    </w:p>
    <w:p w:rsidR="00D13CDF" w:rsidRPr="00DB5C28" w:rsidRDefault="00D13CDF" w:rsidP="0032765B">
      <w:pPr>
        <w:suppressAutoHyphens/>
        <w:spacing w:before="0"/>
        <w:ind w:firstLine="0"/>
        <w:jc w:val="left"/>
      </w:pPr>
      <w:r w:rsidRPr="00DB5C28">
        <w:br w:type="page"/>
      </w: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7877B9" w:rsidRPr="00DB5C28" w:rsidRDefault="007877B9" w:rsidP="0032765B">
      <w:pPr>
        <w:suppressAutoHyphens/>
        <w:spacing w:before="0"/>
        <w:ind w:firstLine="0"/>
        <w:jc w:val="left"/>
      </w:pPr>
    </w:p>
    <w:p w:rsidR="0032765B" w:rsidRDefault="0032765B" w:rsidP="0032765B">
      <w:pPr>
        <w:keepNext/>
        <w:tabs>
          <w:tab w:val="left" w:pos="567"/>
        </w:tabs>
        <w:suppressAutoHyphens/>
        <w:spacing w:before="0"/>
        <w:ind w:firstLine="0"/>
        <w:outlineLvl w:val="0"/>
        <w:rPr>
          <w:b/>
          <w:bCs/>
          <w:kern w:val="32"/>
          <w:sz w:val="28"/>
          <w:szCs w:val="28"/>
        </w:rPr>
      </w:pPr>
      <w:r w:rsidRPr="00DB5C28">
        <w:rPr>
          <w:b/>
          <w:bCs/>
          <w:kern w:val="32"/>
          <w:sz w:val="28"/>
          <w:szCs w:val="28"/>
        </w:rPr>
        <w:lastRenderedPageBreak/>
        <w:t>Príloha k informácii o stave bezpečnosti a ochrany zdravia pri práci, vývoji pracovnej úrazovosti, chorôb z povolania a iných poškodení zdravia z práce v SR za oblasť hlavného dozoru štátnej banskej správy SR za rok 2017</w:t>
      </w:r>
    </w:p>
    <w:p w:rsidR="00DB5C28" w:rsidRPr="00DB5C28" w:rsidRDefault="00DB5C28" w:rsidP="0032765B">
      <w:pPr>
        <w:keepNext/>
        <w:tabs>
          <w:tab w:val="left" w:pos="567"/>
        </w:tabs>
        <w:suppressAutoHyphens/>
        <w:spacing w:before="0"/>
        <w:ind w:firstLine="0"/>
        <w:outlineLvl w:val="0"/>
        <w:rPr>
          <w:b/>
          <w:bCs/>
          <w:kern w:val="32"/>
          <w:sz w:val="28"/>
          <w:szCs w:val="28"/>
        </w:rPr>
      </w:pPr>
    </w:p>
    <w:p w:rsidR="0032765B" w:rsidRPr="00DB5C28" w:rsidRDefault="0032765B" w:rsidP="0032765B">
      <w:pPr>
        <w:keepNext/>
        <w:tabs>
          <w:tab w:val="left" w:pos="567"/>
        </w:tabs>
        <w:suppressAutoHyphens/>
        <w:spacing w:after="120"/>
        <w:ind w:firstLine="0"/>
        <w:jc w:val="left"/>
        <w:outlineLvl w:val="0"/>
        <w:rPr>
          <w:b/>
          <w:bCs/>
          <w:kern w:val="32"/>
        </w:rPr>
      </w:pPr>
      <w:r w:rsidRPr="00DB5C28">
        <w:rPr>
          <w:b/>
          <w:bCs/>
          <w:kern w:val="32"/>
        </w:rPr>
        <w:t xml:space="preserve">Činnosť dozorného orgánu </w:t>
      </w:r>
    </w:p>
    <w:p w:rsidR="00D13CDF" w:rsidRPr="00DB5C28" w:rsidRDefault="00D13CDF" w:rsidP="0032765B">
      <w:pPr>
        <w:pStyle w:val="Nadpis1"/>
        <w:numPr>
          <w:ilvl w:val="0"/>
          <w:numId w:val="10"/>
        </w:numPr>
        <w:spacing w:before="120" w:after="120"/>
        <w:ind w:hanging="357"/>
        <w:rPr>
          <w:sz w:val="24"/>
          <w:szCs w:val="24"/>
        </w:rPr>
      </w:pPr>
      <w:r w:rsidRPr="00DB5C28">
        <w:rPr>
          <w:sz w:val="24"/>
          <w:szCs w:val="24"/>
        </w:rPr>
        <w:t>Personálne údaje</w:t>
      </w:r>
    </w:p>
    <w:p w:rsidR="00D13CDF" w:rsidRPr="00DB5C28" w:rsidRDefault="00D13CDF" w:rsidP="00D13CDF">
      <w:pPr>
        <w:suppressAutoHyphens/>
      </w:pPr>
      <w:r w:rsidRPr="00DB5C28">
        <w:t>Hlavný dozor</w:t>
      </w:r>
      <w:r w:rsidR="00572AB6" w:rsidRPr="00DB5C28">
        <w:t xml:space="preserve"> v roku 2017 vykonávali OBÚ</w:t>
      </w:r>
      <w:r w:rsidRPr="00DB5C28">
        <w:t xml:space="preserve"> v oblasti </w:t>
      </w:r>
      <w:r w:rsidR="00572AB6" w:rsidRPr="00DB5C28">
        <w:t>BOZP</w:t>
      </w:r>
      <w:r w:rsidRPr="00DB5C28">
        <w:t xml:space="preserve"> a </w:t>
      </w:r>
      <w:r w:rsidR="00572AB6" w:rsidRPr="00DB5C28">
        <w:t>BP</w:t>
      </w:r>
      <w:r w:rsidRPr="00DB5C28">
        <w:t xml:space="preserve"> prostredníctvom banských inšpektorov funkčne zaradených najmä na oddeleniach banskej bezpečnosti. Celkový počet inšpektorov štátnej banskej správy </w:t>
      </w:r>
      <w:r w:rsidR="009A6E55" w:rsidRPr="00DB5C28">
        <w:t>bol 48 inšpektorov, z ktorých 6 </w:t>
      </w:r>
      <w:r w:rsidRPr="00DB5C28">
        <w:t>inšpektori sú pre</w:t>
      </w:r>
      <w:r w:rsidR="00572AB6" w:rsidRPr="00DB5C28">
        <w:t>dsedovia HBÚ a OBÚ</w:t>
      </w:r>
      <w:r w:rsidRPr="00DB5C28">
        <w:t xml:space="preserve">. </w:t>
      </w:r>
    </w:p>
    <w:p w:rsidR="00572AB6" w:rsidRPr="00DB5C28" w:rsidRDefault="00D13CDF" w:rsidP="00D13CDF">
      <w:pPr>
        <w:suppressAutoHyphens/>
      </w:pPr>
      <w:r w:rsidRPr="00DB5C28">
        <w:t>Na oddeleniach banskej bezpečnosti bolo zaradených k 31</w:t>
      </w:r>
      <w:r w:rsidR="002D62C2" w:rsidRPr="00DB5C28">
        <w:t>. 12. 2017 spolu 16 inšpektorov</w:t>
      </w:r>
      <w:r w:rsidRPr="00DB5C28">
        <w:t xml:space="preserve"> vrátane vedúcich oddelení banskej bezpečnosti. </w:t>
      </w:r>
    </w:p>
    <w:p w:rsidR="00572AB6" w:rsidRPr="00DB5C28" w:rsidRDefault="00D13CDF" w:rsidP="00572AB6">
      <w:pPr>
        <w:suppressAutoHyphens/>
        <w:ind w:firstLine="0"/>
      </w:pPr>
      <w:r w:rsidRPr="00DB5C28">
        <w:t xml:space="preserve">Ich rozdelenie je nasledovné: </w:t>
      </w:r>
    </w:p>
    <w:p w:rsidR="00572AB6" w:rsidRPr="00DB5C28" w:rsidRDefault="00572AB6" w:rsidP="00572AB6">
      <w:pPr>
        <w:pStyle w:val="Odsekzoznamu"/>
        <w:numPr>
          <w:ilvl w:val="0"/>
          <w:numId w:val="7"/>
        </w:numPr>
        <w:suppressAutoHyphens/>
      </w:pPr>
      <w:r w:rsidRPr="00DB5C28">
        <w:t xml:space="preserve">HBÚ – Banská Štiavnica   - </w:t>
      </w:r>
      <w:r w:rsidR="00D13CDF" w:rsidRPr="00DB5C28">
        <w:t xml:space="preserve"> 1 inšpektor, </w:t>
      </w:r>
    </w:p>
    <w:p w:rsidR="00572AB6" w:rsidRPr="00DB5C28" w:rsidRDefault="00572AB6" w:rsidP="00572AB6">
      <w:pPr>
        <w:pStyle w:val="Odsekzoznamu"/>
        <w:numPr>
          <w:ilvl w:val="0"/>
          <w:numId w:val="7"/>
        </w:numPr>
        <w:suppressAutoHyphens/>
      </w:pPr>
      <w:r w:rsidRPr="00DB5C28">
        <w:t xml:space="preserve">OBÚ – Bratislava              -  </w:t>
      </w:r>
      <w:r w:rsidR="00D13CDF" w:rsidRPr="00DB5C28">
        <w:t>3 inšpek</w:t>
      </w:r>
      <w:r w:rsidR="00DB5C28">
        <w:t>tori</w:t>
      </w:r>
      <w:r w:rsidR="00D13CDF" w:rsidRPr="00DB5C28">
        <w:t xml:space="preserve"> </w:t>
      </w:r>
    </w:p>
    <w:p w:rsidR="00572AB6" w:rsidRPr="00DB5C28" w:rsidRDefault="00572AB6" w:rsidP="00572AB6">
      <w:pPr>
        <w:pStyle w:val="Odsekzoznamu"/>
        <w:numPr>
          <w:ilvl w:val="0"/>
          <w:numId w:val="7"/>
        </w:numPr>
        <w:suppressAutoHyphens/>
      </w:pPr>
      <w:r w:rsidRPr="00DB5C28">
        <w:t xml:space="preserve">OBÚ – Banská Bystrica     - </w:t>
      </w:r>
      <w:r w:rsidR="00DB5C28">
        <w:t>3 inšpektori</w:t>
      </w:r>
      <w:r w:rsidR="00D13CDF" w:rsidRPr="00DB5C28">
        <w:t xml:space="preserve"> </w:t>
      </w:r>
    </w:p>
    <w:p w:rsidR="00572AB6" w:rsidRPr="00DB5C28" w:rsidRDefault="00572AB6" w:rsidP="00572AB6">
      <w:pPr>
        <w:pStyle w:val="Odsekzoznamu"/>
        <w:numPr>
          <w:ilvl w:val="0"/>
          <w:numId w:val="7"/>
        </w:numPr>
        <w:suppressAutoHyphens/>
      </w:pPr>
      <w:r w:rsidRPr="00DB5C28">
        <w:t xml:space="preserve">OBÚ – Prievidza                 - </w:t>
      </w:r>
      <w:r w:rsidR="00DB5C28">
        <w:t>3 inšpektori</w:t>
      </w:r>
      <w:r w:rsidR="00D13CDF" w:rsidRPr="00DB5C28">
        <w:t xml:space="preserve"> </w:t>
      </w:r>
    </w:p>
    <w:p w:rsidR="00572AB6" w:rsidRPr="00DB5C28" w:rsidRDefault="00572AB6" w:rsidP="00572AB6">
      <w:pPr>
        <w:pStyle w:val="Odsekzoznamu"/>
        <w:numPr>
          <w:ilvl w:val="0"/>
          <w:numId w:val="7"/>
        </w:numPr>
        <w:suppressAutoHyphens/>
      </w:pPr>
      <w:r w:rsidRPr="00DB5C28">
        <w:t xml:space="preserve">OBÚ – Spišská Nová Ves  - </w:t>
      </w:r>
      <w:r w:rsidR="00DB5C28">
        <w:t>2 inšpektori</w:t>
      </w:r>
      <w:r w:rsidR="00D13CDF" w:rsidRPr="00DB5C28">
        <w:t xml:space="preserve"> </w:t>
      </w:r>
    </w:p>
    <w:p w:rsidR="00D13CDF" w:rsidRPr="00DB5C28" w:rsidRDefault="00572AB6" w:rsidP="00572AB6">
      <w:pPr>
        <w:pStyle w:val="Odsekzoznamu"/>
        <w:numPr>
          <w:ilvl w:val="0"/>
          <w:numId w:val="7"/>
        </w:numPr>
        <w:suppressAutoHyphens/>
      </w:pPr>
      <w:r w:rsidRPr="00DB5C28">
        <w:t xml:space="preserve">OBÚ – Košice                     - </w:t>
      </w:r>
      <w:r w:rsidR="00DB5C28">
        <w:t>4 inšpektori</w:t>
      </w:r>
    </w:p>
    <w:p w:rsidR="00D13CDF" w:rsidRPr="00DB5C28" w:rsidRDefault="00D13CDF" w:rsidP="00B825F0">
      <w:pPr>
        <w:pStyle w:val="Nadpis1"/>
        <w:numPr>
          <w:ilvl w:val="0"/>
          <w:numId w:val="10"/>
        </w:numPr>
        <w:spacing w:before="120" w:after="120"/>
        <w:ind w:hanging="357"/>
        <w:rPr>
          <w:sz w:val="24"/>
          <w:szCs w:val="24"/>
        </w:rPr>
      </w:pPr>
      <w:r w:rsidRPr="00DB5C28">
        <w:rPr>
          <w:sz w:val="24"/>
          <w:szCs w:val="24"/>
        </w:rPr>
        <w:t>Výkony v štátnej banskej správe</w:t>
      </w:r>
    </w:p>
    <w:p w:rsidR="00D13CDF" w:rsidRPr="00DB5C28" w:rsidRDefault="002D62C2" w:rsidP="00D13CDF">
      <w:pPr>
        <w:suppressAutoHyphens/>
      </w:pPr>
      <w:r w:rsidRPr="00DB5C28">
        <w:t>V</w:t>
      </w:r>
      <w:r w:rsidR="00D13CDF" w:rsidRPr="00DB5C28">
        <w:t> roku 2017 bolo v kontrolovaných subjektoch vykonaných celkom 821 inšpekčných výkonov zameraných na BOZP a BP. Z ni</w:t>
      </w:r>
      <w:r w:rsidR="009A6E55" w:rsidRPr="00DB5C28">
        <w:t>ch bolo 44 úkonov zameraných na </w:t>
      </w:r>
      <w:r w:rsidR="00D13CDF" w:rsidRPr="00DB5C28">
        <w:t>vykonanie poradenskej činnosti v oblasti BOZP a B</w:t>
      </w:r>
      <w:r w:rsidR="009A6E55" w:rsidRPr="00DB5C28">
        <w:t>P, 24 úkonov bolo zameraných na </w:t>
      </w:r>
      <w:r w:rsidR="00D13CDF" w:rsidRPr="00DB5C28">
        <w:t>vybavovanie podnetov a 24 úkonov bolo vykonaných ako následných inšpekcií, zameraných na kontrolu opatrení na zlepšenie stavu BOZP, uložených na základe výsledku im predchádzajúcich kontrol (inšpekcií).</w:t>
      </w:r>
    </w:p>
    <w:p w:rsidR="00D13CDF" w:rsidRPr="00DB5C28" w:rsidRDefault="00D13CDF" w:rsidP="00D13CDF">
      <w:pPr>
        <w:suppressAutoHyphens/>
      </w:pPr>
      <w:r w:rsidRPr="00DB5C28">
        <w:t>Okrem sledovaných inšpekčných výkonov uvedených v </w:t>
      </w:r>
      <w:r w:rsidR="002D62C2" w:rsidRPr="00DB5C28">
        <w:t>t</w:t>
      </w:r>
      <w:r w:rsidRPr="00DB5C28">
        <w:t>abuľke č. 2 inšpektori oddelenia banskej bezpeč</w:t>
      </w:r>
      <w:r w:rsidR="002D62C2" w:rsidRPr="00DB5C28">
        <w:t>nosti banských úradov vykonali</w:t>
      </w:r>
      <w:r w:rsidRPr="00DB5C28">
        <w:t xml:space="preserve"> mnoho ďalších správnych úkonov, ktoré nie sú v podkladových tabuľkách vyhodnotené. Ide najmä o overovanie odbornej spôsobilosti osôb, vydávanie im príslušných dokladov, vyšetrovanie havárií a závažných pracovných úrazov,  povoľovanie výnimiek z banských predpisov, dávanie rôznych vyjadrení, resp. povolení k použitiu zaria</w:t>
      </w:r>
      <w:r w:rsidR="002D62C2" w:rsidRPr="00DB5C28">
        <w:t>dení (najmä v podzemí), ukladali</w:t>
      </w:r>
      <w:r w:rsidRPr="00DB5C28">
        <w:t xml:space="preserve"> s</w:t>
      </w:r>
      <w:r w:rsidR="002D62C2" w:rsidRPr="00DB5C28">
        <w:t>ankcie rozhodnutím, alebo konali</w:t>
      </w:r>
      <w:r w:rsidRPr="00DB5C28">
        <w:t xml:space="preserve"> voči iným subjektom (školenia, lektorsk</w:t>
      </w:r>
      <w:r w:rsidR="002D62C2" w:rsidRPr="00DB5C28">
        <w:t>á činnosť a pod.) a spracovávali</w:t>
      </w:r>
      <w:r w:rsidRPr="00DB5C28">
        <w:t xml:space="preserve"> pomerne rozsiahlu spisovú agendu súvisiacu nielen s problematikou BOZP a BP. O týchto činnostiach je podaná </w:t>
      </w:r>
      <w:r w:rsidR="002D62C2" w:rsidRPr="00DB5C28">
        <w:t xml:space="preserve">krátka informácia v časti </w:t>
      </w:r>
      <w:r w:rsidRPr="00DB5C28">
        <w:t xml:space="preserve">8. </w:t>
      </w:r>
    </w:p>
    <w:p w:rsidR="00D13CDF" w:rsidRPr="00DB5C28" w:rsidRDefault="00D13CDF" w:rsidP="002D62C2">
      <w:pPr>
        <w:suppressAutoHyphens/>
      </w:pPr>
      <w:r w:rsidRPr="00DB5C28">
        <w:t>V oblasti výbušnín, výbušných predmetov a munície vykonali orgány hlavného dozoru v roku 2017 spolu 202 inšpekcií. Rozsah týchto inšpekcií je vlastne inšpekciami v oblasti BOZP a BP.</w:t>
      </w:r>
    </w:p>
    <w:p w:rsidR="00D13CDF" w:rsidRPr="00DB5C28" w:rsidRDefault="00D13CDF" w:rsidP="00B825F0">
      <w:pPr>
        <w:pStyle w:val="Nadpis1"/>
        <w:numPr>
          <w:ilvl w:val="0"/>
          <w:numId w:val="10"/>
        </w:numPr>
        <w:spacing w:before="120" w:after="120"/>
        <w:ind w:hanging="357"/>
        <w:rPr>
          <w:sz w:val="24"/>
          <w:szCs w:val="24"/>
        </w:rPr>
      </w:pPr>
      <w:r w:rsidRPr="00DB5C28">
        <w:rPr>
          <w:sz w:val="24"/>
          <w:szCs w:val="24"/>
        </w:rPr>
        <w:t>Poradenská činnosť</w:t>
      </w:r>
    </w:p>
    <w:p w:rsidR="00D13CDF" w:rsidRPr="00DB5C28" w:rsidRDefault="00D13CDF" w:rsidP="00227C31">
      <w:pPr>
        <w:suppressAutoHyphens/>
      </w:pPr>
      <w:r w:rsidRPr="00DB5C28">
        <w:t>V rámci bezplatnej poradenskej činnosti v roku 2017 poskytli orgány štátnej banskej správy celkom 119 poradenstiev zameraných na BOZP a BP. Poradenstvo bolo najčastejšie poskytované v obla</w:t>
      </w:r>
      <w:r w:rsidR="002D62C2" w:rsidRPr="00DB5C28">
        <w:t xml:space="preserve">sti praktickej aplikácie </w:t>
      </w:r>
      <w:proofErr w:type="spellStart"/>
      <w:r w:rsidR="002D62C2" w:rsidRPr="00DB5C28">
        <w:t>bansko</w:t>
      </w:r>
      <w:proofErr w:type="spellEnd"/>
      <w:r w:rsidRPr="00DB5C28">
        <w:t xml:space="preserve">– bezpečnostných predpisov, technických zariadení, ako aj v oblasti projektovej prípravy objektov, zariadení a prác súvisiacich </w:t>
      </w:r>
      <w:r w:rsidRPr="00DB5C28">
        <w:lastRenderedPageBreak/>
        <w:t>s banskou činnosťou alebo činnosťou vykonávanou banským spôsobom, prípadne inou činnosťou upravenou zákonom č. 51/1988 Zb. Najviac poskytnutých poradenstiev v roku 2017 bolo poskytnutých z oblasti vyhradených technických zariadení, vybraných banských zariadení alebo vybraných zariadení</w:t>
      </w:r>
      <w:r w:rsidR="002D62C2" w:rsidRPr="00DB5C28">
        <w:t xml:space="preserve">; </w:t>
      </w:r>
      <w:r w:rsidR="00227C31" w:rsidRPr="00DB5C28">
        <w:t>od 1. </w:t>
      </w:r>
      <w:r w:rsidRPr="00DB5C28">
        <w:t>6. 2014 sa v týchto oblastiach zásadn</w:t>
      </w:r>
      <w:r w:rsidR="002D62C2" w:rsidRPr="00DB5C28">
        <w:t xml:space="preserve">ým spôsobom zmenila legislatíva a  nadobudol </w:t>
      </w:r>
      <w:r w:rsidRPr="00DB5C28">
        <w:t xml:space="preserve">účinnosť zákon </w:t>
      </w:r>
      <w:r w:rsidR="00227C31" w:rsidRPr="00DB5C28">
        <w:t xml:space="preserve">č. 331/2015, </w:t>
      </w:r>
      <w:r w:rsidR="009A6E55" w:rsidRPr="00DB5C28">
        <w:t>ktorým sa mení a </w:t>
      </w:r>
      <w:r w:rsidR="00227C31" w:rsidRPr="00DB5C28">
        <w:t>dopĺňa zákon č. 58/2014 Z. z. o výbušninách, výb</w:t>
      </w:r>
      <w:r w:rsidR="009A6E55" w:rsidRPr="00DB5C28">
        <w:t>ušných predmetoch a munícii a o </w:t>
      </w:r>
      <w:r w:rsidR="00227C31" w:rsidRPr="00DB5C28">
        <w:t>zmene a doplnení niektorých zákonov a ktorým sa</w:t>
      </w:r>
      <w:r w:rsidR="009A6E55" w:rsidRPr="00DB5C28">
        <w:t xml:space="preserve"> dopĺňa zákon č. 455/1991 Zb. o </w:t>
      </w:r>
      <w:r w:rsidR="00227C31" w:rsidRPr="00DB5C28">
        <w:t xml:space="preserve">živnostenskom podnikaní (živnostenský zákon) v znení neskorších predpisov </w:t>
      </w:r>
      <w:r w:rsidRPr="00DB5C28">
        <w:t>č. 58/2014 Z.</w:t>
      </w:r>
      <w:r w:rsidR="002D62C2" w:rsidRPr="00DB5C28">
        <w:t xml:space="preserve"> </w:t>
      </w:r>
      <w:r w:rsidRPr="00DB5C28">
        <w:t xml:space="preserve">z. </w:t>
      </w:r>
    </w:p>
    <w:p w:rsidR="00D13CDF" w:rsidRPr="00DB5C28" w:rsidRDefault="00D13CDF" w:rsidP="00D13CDF">
      <w:pPr>
        <w:suppressAutoHyphens/>
      </w:pPr>
      <w:r w:rsidRPr="00DB5C28">
        <w:t>Údaje o poskytnutej poradenskej činnosti ako sú uvedené v </w:t>
      </w:r>
      <w:r w:rsidR="00227C31" w:rsidRPr="00DB5C28">
        <w:t>t</w:t>
      </w:r>
      <w:r w:rsidRPr="00DB5C28">
        <w:t>abuľke č. 2 predstavujú riadne zaevidovanú poradenskú činnosť, poskytnutú banskými úradmi priamo, ako samostatný úkon.</w:t>
      </w:r>
    </w:p>
    <w:p w:rsidR="00D13CDF" w:rsidRPr="00DB5C28" w:rsidRDefault="00D13CDF" w:rsidP="00D13CDF">
      <w:pPr>
        <w:suppressAutoHyphens/>
      </w:pPr>
      <w:r w:rsidRPr="00DB5C28">
        <w:t>Poradenská činnosť je však orgánmi štátnej banskej správy poskytovaná prakticky aj pri každej, resp. po každej vykonanej inšpekčnej prehliadke. Táto sa však osobitne neeviduje, resp. nevyhodnocuje (prakticky sa ani nedá evidovať, a</w:t>
      </w:r>
      <w:r w:rsidR="00227C31" w:rsidRPr="00DB5C28">
        <w:t xml:space="preserve">lebo registrovať). Vzniká </w:t>
      </w:r>
      <w:r w:rsidRPr="00DB5C28">
        <w:t xml:space="preserve">pri prerokovávaní výsledku inšpekčnej prehliadky, o vykonaní ktorej vyhotovuje banský inšpektor zápisnicu, ktorú prerokováva </w:t>
      </w:r>
      <w:r w:rsidR="009A6E55" w:rsidRPr="00DB5C28">
        <w:t>so štatutárnym orgánom alebo so </w:t>
      </w:r>
      <w:r w:rsidRPr="00DB5C28">
        <w:t>zodpovedným vedúcim zamestnancom kontrolovaného subjektu. Takto poskytnutá poradenská činnosť je niekedy pomerne obsiahla, osobitne sa však nevyhodnocuje.</w:t>
      </w:r>
    </w:p>
    <w:p w:rsidR="00D13CDF" w:rsidRPr="00DB5C28" w:rsidRDefault="00D13CDF" w:rsidP="00B825F0">
      <w:pPr>
        <w:pStyle w:val="Nadpis1"/>
        <w:numPr>
          <w:ilvl w:val="0"/>
          <w:numId w:val="10"/>
        </w:numPr>
        <w:spacing w:before="120" w:after="120"/>
        <w:ind w:hanging="357"/>
        <w:rPr>
          <w:sz w:val="24"/>
          <w:szCs w:val="24"/>
        </w:rPr>
      </w:pPr>
      <w:r w:rsidRPr="00DB5C28">
        <w:rPr>
          <w:sz w:val="24"/>
          <w:szCs w:val="24"/>
        </w:rPr>
        <w:t>Poskytovanie informácií</w:t>
      </w:r>
    </w:p>
    <w:p w:rsidR="00D13CDF" w:rsidRPr="00DB5C28" w:rsidRDefault="00D13CDF" w:rsidP="00D13CDF">
      <w:pPr>
        <w:suppressAutoHyphens/>
      </w:pPr>
      <w:r w:rsidRPr="00DB5C28">
        <w:t>V roku 2017 bolo orgánmi štátnej banskej správy poskytnuté 102 informácií podľa zákona č. 211/2000 Z.</w:t>
      </w:r>
      <w:r w:rsidR="00227C31" w:rsidRPr="00DB5C28">
        <w:t xml:space="preserve"> </w:t>
      </w:r>
      <w:r w:rsidRPr="00DB5C28">
        <w:t xml:space="preserve">z. o slobodnom prístupe k informáciám a o zmene a doplnení niektorých zákonov v znení neskorších predpisov (zákon o slobode informácií) zameraných na BOZP a BP. Niektoré z poskytnutých informácií mali čiastočne charakter odborného poradenstva na úseku BOZP a BP. </w:t>
      </w:r>
    </w:p>
    <w:p w:rsidR="00D13CDF" w:rsidRPr="00DB5C28" w:rsidRDefault="00D13CDF" w:rsidP="00B825F0">
      <w:pPr>
        <w:pStyle w:val="Nadpis1"/>
        <w:numPr>
          <w:ilvl w:val="0"/>
          <w:numId w:val="10"/>
        </w:numPr>
        <w:spacing w:before="120" w:after="120"/>
        <w:ind w:hanging="357"/>
        <w:rPr>
          <w:sz w:val="24"/>
          <w:szCs w:val="24"/>
        </w:rPr>
      </w:pPr>
      <w:r w:rsidRPr="00DB5C28">
        <w:rPr>
          <w:sz w:val="24"/>
          <w:szCs w:val="24"/>
        </w:rPr>
        <w:t>Sťažnosti a podnety</w:t>
      </w:r>
    </w:p>
    <w:p w:rsidR="00D13CDF" w:rsidRPr="00DB5C28" w:rsidRDefault="00227C31" w:rsidP="00227C31">
      <w:pPr>
        <w:suppressAutoHyphens/>
      </w:pPr>
      <w:r w:rsidRPr="00DB5C28">
        <w:t>Na HBÚ a OBÚ</w:t>
      </w:r>
      <w:r w:rsidR="00D13CDF" w:rsidRPr="00DB5C28">
        <w:t xml:space="preserve"> bolo v roku 2017 zaregi</w:t>
      </w:r>
      <w:r w:rsidR="009A6E55" w:rsidRPr="00DB5C28">
        <w:t>strovaných spolu 24 podnetov na </w:t>
      </w:r>
      <w:r w:rsidR="00D13CDF" w:rsidRPr="00DB5C28">
        <w:t>porušovanie predpisov na úseku BOZP a BP. Niektoré z týchto podneto</w:t>
      </w:r>
      <w:r w:rsidRPr="00DB5C28">
        <w:t>v boli podané ako sťažnosť</w:t>
      </w:r>
      <w:r w:rsidR="00D13CDF" w:rsidRPr="00DB5C28">
        <w:t xml:space="preserve"> ale ani v jednom </w:t>
      </w:r>
      <w:r w:rsidRPr="00DB5C28">
        <w:t>prípade sa nejednalo o sťažnosť</w:t>
      </w:r>
      <w:r w:rsidR="00D13CDF" w:rsidRPr="00DB5C28">
        <w:t xml:space="preserve"> ale o</w:t>
      </w:r>
      <w:r w:rsidR="009A6E55" w:rsidRPr="00DB5C28">
        <w:t> upozornenie na </w:t>
      </w:r>
      <w:r w:rsidR="00D13CDF" w:rsidRPr="00DB5C28">
        <w:t>porušovanie predpisov.</w:t>
      </w:r>
      <w:r w:rsidRPr="00DB5C28">
        <w:t xml:space="preserve"> Z</w:t>
      </w:r>
      <w:r w:rsidR="00D13CDF" w:rsidRPr="00DB5C28">
        <w:t xml:space="preserve">aregistrované a riešené </w:t>
      </w:r>
      <w:r w:rsidRPr="00DB5C28">
        <w:t xml:space="preserve">boli </w:t>
      </w:r>
      <w:r w:rsidR="00D13CDF" w:rsidRPr="00DB5C28">
        <w:t>2 sťažnosti na trhacie práce.</w:t>
      </w:r>
    </w:p>
    <w:p w:rsidR="00D13CDF" w:rsidRPr="00DB5C28" w:rsidRDefault="00D13CDF" w:rsidP="00B825F0">
      <w:pPr>
        <w:pStyle w:val="Nadpis1"/>
        <w:numPr>
          <w:ilvl w:val="0"/>
          <w:numId w:val="10"/>
        </w:numPr>
        <w:spacing w:before="120" w:after="120"/>
        <w:ind w:hanging="357"/>
        <w:rPr>
          <w:sz w:val="24"/>
          <w:szCs w:val="24"/>
        </w:rPr>
      </w:pPr>
      <w:r w:rsidRPr="00DB5C28">
        <w:rPr>
          <w:sz w:val="24"/>
          <w:szCs w:val="24"/>
        </w:rPr>
        <w:t>Príprava predpisov a technická normalizácia</w:t>
      </w:r>
    </w:p>
    <w:p w:rsidR="00D13CDF" w:rsidRPr="00DB5C28" w:rsidRDefault="00D13CDF" w:rsidP="00D13CDF">
      <w:pPr>
        <w:suppressAutoHyphens/>
        <w:rPr>
          <w:kern w:val="24"/>
        </w:rPr>
      </w:pPr>
      <w:r w:rsidRPr="00DB5C28">
        <w:rPr>
          <w:kern w:val="24"/>
        </w:rPr>
        <w:t xml:space="preserve"> </w:t>
      </w:r>
      <w:r w:rsidR="00227C31" w:rsidRPr="00DB5C28">
        <w:rPr>
          <w:kern w:val="24"/>
        </w:rPr>
        <w:t>HBÚ</w:t>
      </w:r>
      <w:r w:rsidRPr="00DB5C28">
        <w:rPr>
          <w:kern w:val="24"/>
        </w:rPr>
        <w:t xml:space="preserve"> spracoval návrh špeciálneho technického predpisu o osobitných požiadavkách na technické zariadenia v pôsobnosti hlavného dozoru, ktorý bol predložený a prerokovaný na MH SR pre ďalšie legislatívne konanie. </w:t>
      </w:r>
    </w:p>
    <w:p w:rsidR="00D13CDF" w:rsidRPr="00DB5C28" w:rsidRDefault="00227C31" w:rsidP="00D13CDF">
      <w:pPr>
        <w:suppressAutoHyphens/>
        <w:rPr>
          <w:kern w:val="24"/>
        </w:rPr>
      </w:pPr>
      <w:r w:rsidRPr="00DB5C28">
        <w:rPr>
          <w:kern w:val="24"/>
        </w:rPr>
        <w:t>HBÚ</w:t>
      </w:r>
      <w:r w:rsidR="00D13CDF" w:rsidRPr="00DB5C28">
        <w:rPr>
          <w:kern w:val="24"/>
        </w:rPr>
        <w:t xml:space="preserve"> predložil na MH SR aj návrh nového predpisu - vyhlášky o banskej záchrannej službe, v súvislosti s ktorým vstúpilo MH SR do rokovania s MV SR. </w:t>
      </w:r>
    </w:p>
    <w:p w:rsidR="00D13CDF" w:rsidRPr="00DB5C28" w:rsidRDefault="00227C31" w:rsidP="00D13CDF">
      <w:pPr>
        <w:suppressAutoHyphens/>
        <w:rPr>
          <w:kern w:val="24"/>
        </w:rPr>
      </w:pPr>
      <w:r w:rsidRPr="00DB5C28">
        <w:rPr>
          <w:kern w:val="24"/>
        </w:rPr>
        <w:t>HBÚ</w:t>
      </w:r>
      <w:r w:rsidR="00D13CDF" w:rsidRPr="00DB5C28">
        <w:rPr>
          <w:kern w:val="24"/>
        </w:rPr>
        <w:t xml:space="preserve"> taktiež vypracoval súbor legislatívnych návrhov na novely vybraných predpisov, zmenu ktorých si vyžiadala aplikačná prax</w:t>
      </w:r>
      <w:r w:rsidR="00E31E5B" w:rsidRPr="00DB5C28">
        <w:rPr>
          <w:kern w:val="24"/>
        </w:rPr>
        <w:t>,</w:t>
      </w:r>
      <w:r w:rsidR="00D13CDF" w:rsidRPr="00DB5C28">
        <w:rPr>
          <w:kern w:val="24"/>
        </w:rPr>
        <w:t xml:space="preserve"> najmä po novele zákona č. 51/1988 Zb. zákonom č. 58/2014 Z.</w:t>
      </w:r>
      <w:r w:rsidRPr="00DB5C28">
        <w:rPr>
          <w:kern w:val="24"/>
        </w:rPr>
        <w:t xml:space="preserve"> </w:t>
      </w:r>
      <w:r w:rsidR="00D13CDF" w:rsidRPr="00DB5C28">
        <w:rPr>
          <w:kern w:val="24"/>
        </w:rPr>
        <w:t>z.</w:t>
      </w:r>
    </w:p>
    <w:p w:rsidR="00D13CDF" w:rsidRPr="00DB5C28" w:rsidRDefault="00D13CDF" w:rsidP="00D13CDF">
      <w:pPr>
        <w:suppressAutoHyphens/>
      </w:pPr>
      <w:r w:rsidRPr="00DB5C28">
        <w:t>V oblasti technickej</w:t>
      </w:r>
      <w:r w:rsidR="00E31E5B" w:rsidRPr="00DB5C28">
        <w:t xml:space="preserve"> normalizácie HBÚ</w:t>
      </w:r>
      <w:r w:rsidRPr="00DB5C28">
        <w:t xml:space="preserve"> spolupracuje so Slovenským ústavom technickej normalizácie najmä pri preberaní t</w:t>
      </w:r>
      <w:r w:rsidR="00E31E5B" w:rsidRPr="00DB5C28">
        <w:t>echnických noriem EÚ</w:t>
      </w:r>
      <w:r w:rsidRPr="00DB5C28">
        <w:t xml:space="preserve"> do sústavy Slovenských technických noriem.  </w:t>
      </w:r>
    </w:p>
    <w:p w:rsidR="00D13CDF" w:rsidRPr="00DB5C28" w:rsidRDefault="00D13CDF" w:rsidP="00B825F0">
      <w:pPr>
        <w:pStyle w:val="Nadpis1"/>
        <w:numPr>
          <w:ilvl w:val="0"/>
          <w:numId w:val="10"/>
        </w:numPr>
        <w:spacing w:before="120" w:after="120"/>
        <w:ind w:hanging="357"/>
        <w:rPr>
          <w:sz w:val="24"/>
          <w:szCs w:val="24"/>
        </w:rPr>
      </w:pPr>
      <w:r w:rsidRPr="00DB5C28">
        <w:rPr>
          <w:sz w:val="24"/>
          <w:szCs w:val="24"/>
        </w:rPr>
        <w:lastRenderedPageBreak/>
        <w:t>Zahraničná spolupráca</w:t>
      </w:r>
    </w:p>
    <w:p w:rsidR="00D13CDF" w:rsidRPr="00DB5C28" w:rsidRDefault="00E31E5B" w:rsidP="009A6E55">
      <w:pPr>
        <w:suppressAutoHyphens/>
        <w:spacing w:after="120"/>
      </w:pPr>
      <w:r w:rsidRPr="00DB5C28">
        <w:t>V rámci zahraničnej spolupráce</w:t>
      </w:r>
      <w:r w:rsidR="00D13CDF" w:rsidRPr="00DB5C28">
        <w:t xml:space="preserve"> </w:t>
      </w:r>
      <w:r w:rsidRPr="00DB5C28">
        <w:t xml:space="preserve">na medzinárodnej úrovni </w:t>
      </w:r>
      <w:r w:rsidR="00332657" w:rsidRPr="00DB5C28">
        <w:t xml:space="preserve">sa dňa 16. 3. 2017 dvaja zástupcovia HBÚ </w:t>
      </w:r>
      <w:r w:rsidR="00D13CDF" w:rsidRPr="00DB5C28">
        <w:t>zúčastnili Exkurzie projektu technológie skladovania elektrickej energie v Rakúsku.</w:t>
      </w:r>
    </w:p>
    <w:p w:rsidR="00D13CDF" w:rsidRPr="00DB5C28" w:rsidRDefault="00332657" w:rsidP="00DB5C28">
      <w:pPr>
        <w:suppressAutoHyphens/>
        <w:spacing w:before="0"/>
      </w:pPr>
      <w:r w:rsidRPr="00DB5C28">
        <w:t>V dňoch 24. – 26. 9. 2017 zorganizoval HBÚ</w:t>
      </w:r>
      <w:r w:rsidR="00D13CDF" w:rsidRPr="00DB5C28">
        <w:t xml:space="preserve"> pod záštitou minis</w:t>
      </w:r>
      <w:r w:rsidRPr="00DB5C28">
        <w:t xml:space="preserve">tra hospodárstva SR </w:t>
      </w:r>
      <w:r w:rsidR="00D13CDF" w:rsidRPr="00DB5C28">
        <w:t xml:space="preserve"> XXIII. Stretnutie zástupcov štátnych banských správ EÚ. Stretnutia, ktoré sa uskutočnilo v Bratislave sa zúčastnili zástupcovia krajín Česká republika, Poľsko, Maďarsko, Rumunsko, Srbsko, Rakúsko, Nemecko, Fínsko, Írsko a Estónsko. Na pozvanie Hlavného banského úradu sa stretnutia zúčastnil aj zástupca Európskej komisie </w:t>
      </w:r>
      <w:proofErr w:type="spellStart"/>
      <w:r w:rsidR="00D13CDF" w:rsidRPr="00DB5C28">
        <w:t>Rodrigo</w:t>
      </w:r>
      <w:proofErr w:type="spellEnd"/>
      <w:r w:rsidR="00D13CDF" w:rsidRPr="00DB5C28">
        <w:t xml:space="preserve"> </w:t>
      </w:r>
      <w:proofErr w:type="spellStart"/>
      <w:r w:rsidR="00D13CDF" w:rsidRPr="00DB5C28">
        <w:t>Chanes</w:t>
      </w:r>
      <w:proofErr w:type="spellEnd"/>
      <w:r w:rsidR="00D13CDF" w:rsidRPr="00DB5C28">
        <w:t xml:space="preserve"> </w:t>
      </w:r>
      <w:proofErr w:type="spellStart"/>
      <w:r w:rsidR="00D13CDF" w:rsidRPr="00DB5C28">
        <w:t>Vicente</w:t>
      </w:r>
      <w:proofErr w:type="spellEnd"/>
      <w:r w:rsidR="00D13CDF" w:rsidRPr="00DB5C28">
        <w:t xml:space="preserve">, Police </w:t>
      </w:r>
      <w:proofErr w:type="spellStart"/>
      <w:r w:rsidR="00D13CDF" w:rsidRPr="00DB5C28">
        <w:t>Officer</w:t>
      </w:r>
      <w:proofErr w:type="spellEnd"/>
      <w:r w:rsidR="00D13CDF" w:rsidRPr="00DB5C28">
        <w:t xml:space="preserve">, DG </w:t>
      </w:r>
      <w:proofErr w:type="spellStart"/>
      <w:r w:rsidR="00D13CDF" w:rsidRPr="00DB5C28">
        <w:t>Internal</w:t>
      </w:r>
      <w:proofErr w:type="spellEnd"/>
      <w:r w:rsidR="00D13CDF" w:rsidRPr="00DB5C28">
        <w:t xml:space="preserve"> </w:t>
      </w:r>
      <w:proofErr w:type="spellStart"/>
      <w:r w:rsidR="00D13CDF" w:rsidRPr="00DB5C28">
        <w:t>market</w:t>
      </w:r>
      <w:proofErr w:type="spellEnd"/>
      <w:r w:rsidR="00D13CDF" w:rsidRPr="00DB5C28">
        <w:t xml:space="preserve">, </w:t>
      </w:r>
      <w:proofErr w:type="spellStart"/>
      <w:r w:rsidR="00D13CDF" w:rsidRPr="00DB5C28">
        <w:t>Industry</w:t>
      </w:r>
      <w:proofErr w:type="spellEnd"/>
      <w:r w:rsidR="00D13CDF" w:rsidRPr="00DB5C28">
        <w:t xml:space="preserve">, </w:t>
      </w:r>
      <w:proofErr w:type="spellStart"/>
      <w:r w:rsidR="00D13CDF" w:rsidRPr="00DB5C28">
        <w:t>Entrepreneurship</w:t>
      </w:r>
      <w:proofErr w:type="spellEnd"/>
      <w:r w:rsidR="00D13CDF" w:rsidRPr="00DB5C28">
        <w:t xml:space="preserve"> and </w:t>
      </w:r>
      <w:proofErr w:type="spellStart"/>
      <w:r w:rsidR="00D13CDF" w:rsidRPr="00DB5C28">
        <w:t>SMEs</w:t>
      </w:r>
      <w:proofErr w:type="spellEnd"/>
      <w:r w:rsidR="00D13CDF" w:rsidRPr="00DB5C28">
        <w:t xml:space="preserve"> </w:t>
      </w:r>
      <w:proofErr w:type="spellStart"/>
      <w:r w:rsidR="00D13CDF" w:rsidRPr="00DB5C28">
        <w:t>Unit</w:t>
      </w:r>
      <w:proofErr w:type="spellEnd"/>
      <w:r w:rsidR="00D13CDF" w:rsidRPr="00DB5C28">
        <w:t xml:space="preserve"> C.2. </w:t>
      </w:r>
      <w:proofErr w:type="spellStart"/>
      <w:r w:rsidR="00D13CDF" w:rsidRPr="00DB5C28">
        <w:t>Resource</w:t>
      </w:r>
      <w:proofErr w:type="spellEnd"/>
      <w:r w:rsidR="00D13CDF" w:rsidRPr="00DB5C28">
        <w:t xml:space="preserve"> </w:t>
      </w:r>
      <w:proofErr w:type="spellStart"/>
      <w:r w:rsidR="00D13CDF" w:rsidRPr="00DB5C28">
        <w:t>Efficiency</w:t>
      </w:r>
      <w:proofErr w:type="spellEnd"/>
      <w:r w:rsidR="00D13CDF" w:rsidRPr="00DB5C28">
        <w:t xml:space="preserve"> and </w:t>
      </w:r>
      <w:proofErr w:type="spellStart"/>
      <w:r w:rsidR="00D13CDF" w:rsidRPr="00DB5C28">
        <w:t>Raw</w:t>
      </w:r>
      <w:proofErr w:type="spellEnd"/>
      <w:r w:rsidR="00D13CDF" w:rsidRPr="00DB5C28">
        <w:t xml:space="preserve"> </w:t>
      </w:r>
      <w:proofErr w:type="spellStart"/>
      <w:r w:rsidR="00D13CDF" w:rsidRPr="00DB5C28">
        <w:t>materials</w:t>
      </w:r>
      <w:proofErr w:type="spellEnd"/>
      <w:r w:rsidR="00D13CDF" w:rsidRPr="00DB5C28">
        <w:t>. Ústredno</w:t>
      </w:r>
      <w:r w:rsidR="009A6E55" w:rsidRPr="00DB5C28">
        <w:t>u témou príslušných rokovaní na </w:t>
      </w:r>
      <w:r w:rsidR="00D13CDF" w:rsidRPr="00DB5C28">
        <w:t>tomto stretnutí bola </w:t>
      </w:r>
      <w:r w:rsidR="00D13CDF" w:rsidRPr="00DB5C28">
        <w:rPr>
          <w:bCs/>
        </w:rPr>
        <w:t xml:space="preserve">„Surovinová politika a jej dopady na ťažbu ložísk nerastných surovín“. </w:t>
      </w:r>
      <w:r w:rsidR="00D13CDF" w:rsidRPr="00DB5C28">
        <w:t>V rámci tohto stretnutia zástupcovia zúčastnených krajín navštívili i podzemný zásobník plynu v Gajaroch, patriaci spoločnosti Nafta, a.s.</w:t>
      </w:r>
      <w:r w:rsidR="00D13CDF" w:rsidRPr="00DB5C28">
        <w:rPr>
          <w:b/>
          <w:bCs/>
        </w:rPr>
        <w:t> </w:t>
      </w:r>
      <w:r w:rsidR="00D13CDF" w:rsidRPr="00DB5C28">
        <w:t>Na stre</w:t>
      </w:r>
      <w:r w:rsidRPr="00DB5C28">
        <w:t>tnutí boli prezentované</w:t>
      </w:r>
      <w:r w:rsidR="009A6E55" w:rsidRPr="00DB5C28">
        <w:t xml:space="preserve"> názory a </w:t>
      </w:r>
      <w:r w:rsidR="00D13CDF" w:rsidRPr="00DB5C28">
        <w:t>skúsenosti zástupcov jednotlivých krajín na ich surovinové politiky v kontexte na</w:t>
      </w:r>
      <w:r w:rsidR="009A6E55" w:rsidRPr="00DB5C28">
        <w:t> </w:t>
      </w:r>
      <w:r w:rsidR="00D13CDF" w:rsidRPr="00DB5C28">
        <w:t>očakávaný vývoj vo využívaní nerastných</w:t>
      </w:r>
      <w:r w:rsidRPr="00DB5C28">
        <w:t xml:space="preserve"> surovín v EÚ, ale i vo svete a z</w:t>
      </w:r>
      <w:r w:rsidR="00D13CDF" w:rsidRPr="00DB5C28">
        <w:t>o stretnutia bolo spísané memorandum.</w:t>
      </w:r>
    </w:p>
    <w:p w:rsidR="00D13CDF" w:rsidRPr="00DB5C28" w:rsidRDefault="00332657" w:rsidP="00A737BF">
      <w:pPr>
        <w:suppressAutoHyphens/>
      </w:pPr>
      <w:r w:rsidRPr="00DB5C28">
        <w:t>HBÚ</w:t>
      </w:r>
      <w:r w:rsidR="00D13CDF" w:rsidRPr="00DB5C28">
        <w:t xml:space="preserve"> je prostredníctvom svojho zástupcu členom stálej pracov</w:t>
      </w:r>
      <w:r w:rsidRPr="00DB5C28">
        <w:t>nej skupiny pre BP</w:t>
      </w:r>
      <w:r w:rsidR="009A6E55" w:rsidRPr="00DB5C28">
        <w:t xml:space="preserve"> v </w:t>
      </w:r>
      <w:r w:rsidR="00D13CDF" w:rsidRPr="00DB5C28">
        <w:t xml:space="preserve">baniach v rámci Poradného výboru pre </w:t>
      </w:r>
      <w:r w:rsidRPr="00DB5C28">
        <w:t>BOZP</w:t>
      </w:r>
      <w:r w:rsidR="00D13CDF" w:rsidRPr="00DB5C28">
        <w:t xml:space="preserve"> Európskej Komisie. Táto pracovná skupina sa zaoberá otázkami týkajúcimi sa </w:t>
      </w:r>
      <w:r w:rsidRPr="00DB5C28">
        <w:t>BOZP v</w:t>
      </w:r>
      <w:r w:rsidR="00D13CDF" w:rsidRPr="00DB5C28">
        <w:t xml:space="preserve"> baniach. Okrem iného vypracováva pripomienky ku Komisiou EU navrhnutej legislatíve, k</w:t>
      </w:r>
      <w:r w:rsidR="009A6E55" w:rsidRPr="00DB5C28">
        <w:t>torá môže mať významný dopad na </w:t>
      </w:r>
      <w:r w:rsidRPr="00DB5C28">
        <w:t xml:space="preserve">BOZP </w:t>
      </w:r>
      <w:r w:rsidR="00D13CDF" w:rsidRPr="00DB5C28">
        <w:t>v baniach a inom ťažobnom priemysle. Vytvorenie stálej pracovnej skupiny si vyžiadalo výnimočné postavenie baní z pohľadu špecifických pracovných podmienok, rizík, častej zmeny pracovných podmienok, nebezpečenstva výbuchov, výskytu výbušných plynov, požiarov a pod.</w:t>
      </w:r>
    </w:p>
    <w:p w:rsidR="00D13CDF" w:rsidRPr="00DB5C28" w:rsidRDefault="00D13CDF" w:rsidP="00B825F0">
      <w:pPr>
        <w:pStyle w:val="Nadpis1"/>
        <w:numPr>
          <w:ilvl w:val="0"/>
          <w:numId w:val="10"/>
        </w:numPr>
        <w:spacing w:before="120" w:after="120"/>
        <w:ind w:hanging="357"/>
        <w:rPr>
          <w:sz w:val="24"/>
          <w:szCs w:val="24"/>
        </w:rPr>
      </w:pPr>
      <w:r w:rsidRPr="00DB5C28">
        <w:rPr>
          <w:sz w:val="24"/>
          <w:szCs w:val="24"/>
        </w:rPr>
        <w:t>Vydávanie oprávnení, osvedčení a preukazov</w:t>
      </w:r>
    </w:p>
    <w:p w:rsidR="00D13CDF" w:rsidRPr="00DB5C28" w:rsidRDefault="00D13CDF" w:rsidP="00D13CDF">
      <w:pPr>
        <w:suppressAutoHyphens/>
      </w:pPr>
      <w:r w:rsidRPr="00DB5C28">
        <w:t>V r</w:t>
      </w:r>
      <w:r w:rsidR="00A737BF" w:rsidRPr="00DB5C28">
        <w:t>oku 2017 OBÚ</w:t>
      </w:r>
      <w:r w:rsidRPr="00DB5C28">
        <w:t xml:space="preserve"> overili odbornú spôsobilosť a na základe úspešne vykonanej skúšky vydali spolu 131 osvedčení o odbornej spôsobilosti podľa </w:t>
      </w:r>
      <w:r w:rsidR="009A6E55" w:rsidRPr="00DB5C28">
        <w:t>vyhlášky MH SR č. </w:t>
      </w:r>
      <w:r w:rsidRPr="00DB5C28">
        <w:t>208/1993 Z.</w:t>
      </w:r>
      <w:r w:rsidR="00A737BF" w:rsidRPr="00DB5C28">
        <w:t xml:space="preserve"> </w:t>
      </w:r>
      <w:r w:rsidRPr="00DB5C28">
        <w:t>z. o požiadavkách na kvalifikáciu a o overovaní odbornej spôsobilosti pracovníkov pri banskej činnosti a činnosti vykonávanej banským spôsobom</w:t>
      </w:r>
      <w:r w:rsidR="00A737BF" w:rsidRPr="00DB5C28">
        <w:t xml:space="preserve"> (</w:t>
      </w:r>
      <w:r w:rsidRPr="00DB5C28">
        <w:t>vedúci bane, vedúci lomu, vedúci pracovník, projektant, bezpečnostný technik a vedúci likvidácie havárie). Ďalej obvodné banské úrady SR v roku 2017 vydali na základe úspešného overenia odbornej spôsobilosti 35 preukazov strelmajstra podľa §  32 ods. 5 písm. a), b), c) zákona č</w:t>
      </w:r>
      <w:r w:rsidR="00A737BF" w:rsidRPr="00DB5C28">
        <w:t>.</w:t>
      </w:r>
      <w:r w:rsidRPr="00DB5C28">
        <w:t xml:space="preserve"> 58/2014 Z.</w:t>
      </w:r>
      <w:r w:rsidR="00A737BF" w:rsidRPr="00DB5C28">
        <w:t xml:space="preserve"> </w:t>
      </w:r>
      <w:r w:rsidRPr="00DB5C28">
        <w:t>z. a v 7 prípadoch predĺžili platnosť preukazov strelmajstra.</w:t>
      </w:r>
    </w:p>
    <w:p w:rsidR="00D13CDF" w:rsidRPr="00DB5C28" w:rsidRDefault="00D13CDF" w:rsidP="00D13CDF">
      <w:pPr>
        <w:suppressAutoHyphens/>
      </w:pPr>
      <w:r w:rsidRPr="00DB5C28">
        <w:t>Okrem toho bol</w:t>
      </w:r>
      <w:r w:rsidR="00A737BF" w:rsidRPr="00DB5C28">
        <w:t>o ešte OBÚ</w:t>
      </w:r>
      <w:r w:rsidRPr="00DB5C28">
        <w:t xml:space="preserve"> vydané na základe preskúšania 1 osvedčenie banského merača, ďalej 1 potvrdenie o odbornej spôsobilosti na vykonávanie funkcie vedúceho vetrania a 1 potvrdenie o úspešnom vykonaní skúšky na vykonávanie funkcie pracovníka na riadenie montáže, prevádzky a údržby elektrických zariadení. </w:t>
      </w:r>
    </w:p>
    <w:p w:rsidR="00D13CDF" w:rsidRPr="00DB5C28" w:rsidRDefault="00D13CDF" w:rsidP="00A737BF">
      <w:pPr>
        <w:suppressAutoHyphens/>
      </w:pPr>
      <w:r w:rsidRPr="00DB5C28">
        <w:t>V oblasti výbušnín, výbušných predmeto</w:t>
      </w:r>
      <w:r w:rsidR="00A737BF" w:rsidRPr="00DB5C28">
        <w:t>v a munície OBÚ</w:t>
      </w:r>
      <w:r w:rsidRPr="00DB5C28">
        <w:t xml:space="preserve"> vydali spolu 17 povolení na odber výbušnín, 35 povolení na výkon trhacích prác </w:t>
      </w:r>
      <w:r w:rsidR="009A6E55" w:rsidRPr="00DB5C28">
        <w:t>veľkého rozsahu, 22 povolení na </w:t>
      </w:r>
      <w:r w:rsidRPr="00DB5C28">
        <w:t xml:space="preserve">výkon trhacích prác malého rozsahu a 11 povolení na výkon </w:t>
      </w:r>
      <w:proofErr w:type="spellStart"/>
      <w:r w:rsidRPr="00DB5C28">
        <w:t>ohňostrojných</w:t>
      </w:r>
      <w:proofErr w:type="spellEnd"/>
      <w:r w:rsidRPr="00DB5C28">
        <w:t xml:space="preserve"> prác.</w:t>
      </w:r>
    </w:p>
    <w:p w:rsidR="00D13CDF" w:rsidRPr="00DB5C28" w:rsidRDefault="00A737BF" w:rsidP="00A737BF">
      <w:pPr>
        <w:suppressAutoHyphens/>
        <w:spacing w:after="120"/>
      </w:pPr>
      <w:r w:rsidRPr="00DB5C28">
        <w:t>HBÚ</w:t>
      </w:r>
      <w:r w:rsidR="00D13CDF" w:rsidRPr="00DB5C28">
        <w:t xml:space="preserve"> v roku 2017 vydal 10 rozhodnutí o uznaní dokladov o odbornej kvalifikácii a</w:t>
      </w:r>
      <w:r w:rsidR="009A6E55" w:rsidRPr="00DB5C28">
        <w:t> 2 </w:t>
      </w:r>
      <w:r w:rsidR="00D13CDF" w:rsidRPr="00DB5C28">
        <w:t>rozhodnutia o zamietnutí žiadosti o uznanie dokladu o odbornej kvalifikácii podľa zákona č. 422/2015 Z.</w:t>
      </w:r>
      <w:r w:rsidRPr="00DB5C28">
        <w:t xml:space="preserve"> </w:t>
      </w:r>
      <w:r w:rsidR="00D13CDF" w:rsidRPr="00DB5C28">
        <w:t>z. o uznávaní dokladov o vzdelaní a o uznávaní odborných kvalifikácií a o zmene a doplnení niektorých zákonov.</w:t>
      </w:r>
    </w:p>
    <w:p w:rsidR="00D13CDF" w:rsidRPr="00DB5C28" w:rsidRDefault="00A737BF" w:rsidP="00D13CDF">
      <w:pPr>
        <w:suppressAutoHyphens/>
        <w:spacing w:before="0"/>
      </w:pPr>
      <w:r w:rsidRPr="00DB5C28">
        <w:lastRenderedPageBreak/>
        <w:t>Ďalej HBÚ</w:t>
      </w:r>
      <w:r w:rsidR="00D13CDF" w:rsidRPr="00DB5C28">
        <w:t xml:space="preserve"> </w:t>
      </w:r>
      <w:r w:rsidRPr="00DB5C28">
        <w:t>v roku 2017 vydal 10 subjektom o</w:t>
      </w:r>
      <w:r w:rsidR="00D13CDF" w:rsidRPr="00DB5C28">
        <w:t>právnenie na výchovu a vzde</w:t>
      </w:r>
      <w:r w:rsidRPr="00DB5C28">
        <w:t xml:space="preserve">lávanie v oblasti ochrany práce </w:t>
      </w:r>
      <w:r w:rsidR="00D13CDF" w:rsidRPr="00DB5C28">
        <w:t xml:space="preserve"> podľa</w:t>
      </w:r>
      <w:r w:rsidR="00D13CDF" w:rsidRPr="00DB5C28">
        <w:rPr>
          <w:rFonts w:ascii="Century Schoolbook" w:hAnsi="Century Schoolbook"/>
          <w:sz w:val="20"/>
          <w:szCs w:val="20"/>
          <w:lang w:eastAsia="en-US"/>
        </w:rPr>
        <w:t xml:space="preserve"> </w:t>
      </w:r>
      <w:r w:rsidR="00D13CDF" w:rsidRPr="00DB5C28">
        <w:t>§ 5 ods. 6 zákona č. 51/1988 Zb. a zároveň podľa § 27 ods. 3 zákona č. 124/2006 Z. z. o bezpečnosti a ochrane zdravia pri práci a o zmene a doplnení niektorých zákonov v znení neskorších predpisov. Ďalej povolil 13 výnimiek z banských predpisov upravujúcich BOZP a BP, vydal 4 rozhodnutia o povolení vybraného banského zariadenia na používanie v podzemí, 1 rozhodnutie o schválení nového typu dopravníkového pásu na použitie v podzemí.</w:t>
      </w:r>
    </w:p>
    <w:p w:rsidR="00D13CDF" w:rsidRPr="00DB5C28" w:rsidRDefault="00A737BF" w:rsidP="00DB5C28">
      <w:pPr>
        <w:suppressAutoHyphens/>
        <w:spacing w:after="120"/>
      </w:pPr>
      <w:r w:rsidRPr="00DB5C28">
        <w:t>HBÚ</w:t>
      </w:r>
      <w:r w:rsidR="00D13CDF" w:rsidRPr="00DB5C28">
        <w:t xml:space="preserve"> v roku 2017 v oblasti výbušnín, výbušn</w:t>
      </w:r>
      <w:r w:rsidR="009A6E55" w:rsidRPr="00DB5C28">
        <w:t>ých predmetov a munície vydal 4 </w:t>
      </w:r>
      <w:r w:rsidR="00D13CDF" w:rsidRPr="00DB5C28">
        <w:t>rozhodnutia o povolení na používanie vybraných zariaden</w:t>
      </w:r>
      <w:r w:rsidR="009A6E55" w:rsidRPr="00DB5C28">
        <w:t>í podľa zákona  č. </w:t>
      </w:r>
      <w:r w:rsidR="00D13CDF" w:rsidRPr="00DB5C28">
        <w:t>58/2014 Z.</w:t>
      </w:r>
      <w:r w:rsidRPr="00DB5C28">
        <w:t xml:space="preserve"> </w:t>
      </w:r>
      <w:r w:rsidR="00D13CDF" w:rsidRPr="00DB5C28">
        <w:t>z. Ďalej na základe predchádzajúceho overenia odbornej spôsobilosti vydal 8</w:t>
      </w:r>
      <w:r w:rsidR="009A6E55" w:rsidRPr="00DB5C28">
        <w:t> </w:t>
      </w:r>
      <w:r w:rsidR="00D13CDF" w:rsidRPr="00DB5C28">
        <w:t>nových oprávnení technických vedúcich odstrelov a predĺžil platnosť na základe preskúšania 14 oprávnení techn</w:t>
      </w:r>
      <w:r w:rsidRPr="00DB5C28">
        <w:t xml:space="preserve">ického vedúceho odstrelov, </w:t>
      </w:r>
      <w:r w:rsidR="00D13CDF" w:rsidRPr="00DB5C28">
        <w:t xml:space="preserve">na základe preskúšania predĺžil platnosť 2 oprávnení pyrotechnika a na základe overenia </w:t>
      </w:r>
      <w:r w:rsidR="009A6E55" w:rsidRPr="00DB5C28">
        <w:t>odbornej spôsobilosti vydal  29 </w:t>
      </w:r>
      <w:r w:rsidR="00D13CDF" w:rsidRPr="00DB5C28">
        <w:t>nových oprávnení odpaľovačov ohňostrojov a na základe preskúšania predĺžil platnosť ďalších 20 oprávnení odpaľovača ohňostrojov.</w:t>
      </w:r>
    </w:p>
    <w:p w:rsidR="00D13CDF" w:rsidRPr="00DB5C28" w:rsidRDefault="00D13CDF" w:rsidP="00050F19">
      <w:pPr>
        <w:suppressAutoHyphens/>
        <w:ind w:firstLine="0"/>
        <w:sectPr w:rsidR="00D13CDF" w:rsidRPr="00DB5C28" w:rsidSect="00E351C3">
          <w:footerReference w:type="default" r:id="rId9"/>
          <w:pgSz w:w="11906" w:h="16838"/>
          <w:pgMar w:top="1418" w:right="1418" w:bottom="1559" w:left="1701" w:header="709" w:footer="898" w:gutter="0"/>
          <w:pgNumType w:start="1"/>
          <w:cols w:space="708"/>
          <w:docGrid w:linePitch="360"/>
        </w:sectPr>
      </w:pPr>
    </w:p>
    <w:p w:rsidR="00B21D3E" w:rsidRPr="00DB5C28" w:rsidRDefault="00B21D3E" w:rsidP="0032765B">
      <w:pPr>
        <w:ind w:firstLine="0"/>
      </w:pPr>
      <w:bookmarkStart w:id="3" w:name="_GoBack"/>
      <w:bookmarkEnd w:id="3"/>
    </w:p>
    <w:sectPr w:rsidR="00B21D3E" w:rsidRPr="00DB5C28" w:rsidSect="002E2A3F">
      <w:headerReference w:type="default" r:id="rId10"/>
      <w:footerReference w:type="default" r:id="rId11"/>
      <w:pgSz w:w="11906" w:h="16838"/>
      <w:pgMar w:top="1418" w:right="1418" w:bottom="1559" w:left="1701" w:header="709" w:footer="89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D1" w:rsidRDefault="00F329D1">
      <w:r>
        <w:separator/>
      </w:r>
    </w:p>
  </w:endnote>
  <w:endnote w:type="continuationSeparator" w:id="0">
    <w:p w:rsidR="00F329D1" w:rsidRDefault="00F3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DF" w:rsidRDefault="00D13CDF" w:rsidP="00444B84">
    <w:pPr>
      <w:pStyle w:val="Pta"/>
      <w:framePr w:wrap="auto" w:vAnchor="text" w:hAnchor="page" w:x="9802" w:y="132"/>
      <w:rPr>
        <w:rStyle w:val="slostrany"/>
      </w:rPr>
    </w:pPr>
    <w:r>
      <w:rPr>
        <w:rStyle w:val="slostrany"/>
      </w:rPr>
      <w:fldChar w:fldCharType="begin"/>
    </w:r>
    <w:r>
      <w:rPr>
        <w:rStyle w:val="slostrany"/>
      </w:rPr>
      <w:instrText xml:space="preserve">PAGE  </w:instrText>
    </w:r>
    <w:r>
      <w:rPr>
        <w:rStyle w:val="slostrany"/>
      </w:rPr>
      <w:fldChar w:fldCharType="separate"/>
    </w:r>
    <w:r w:rsidR="00DB5C28">
      <w:rPr>
        <w:rStyle w:val="slostrany"/>
        <w:noProof/>
      </w:rPr>
      <w:t>14</w:t>
    </w:r>
    <w:r>
      <w:rPr>
        <w:rStyle w:val="slostrany"/>
      </w:rPr>
      <w:fldChar w:fldCharType="end"/>
    </w:r>
  </w:p>
  <w:p w:rsidR="00D13CDF" w:rsidRDefault="00D13CDF" w:rsidP="00E008EA">
    <w:pPr>
      <w:pStyle w:val="Citci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EF" w:rsidRPr="00DB7B13" w:rsidRDefault="00603BEF" w:rsidP="00DB7B1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D1" w:rsidRDefault="00F329D1">
      <w:r>
        <w:separator/>
      </w:r>
    </w:p>
  </w:footnote>
  <w:footnote w:type="continuationSeparator" w:id="0">
    <w:p w:rsidR="00F329D1" w:rsidRDefault="00F32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EF" w:rsidRDefault="00603BEF" w:rsidP="003328B1">
    <w:pPr>
      <w:spacing w:before="0"/>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6E80"/>
    <w:multiLevelType w:val="hybridMultilevel"/>
    <w:tmpl w:val="F46A4946"/>
    <w:lvl w:ilvl="0" w:tplc="E57A17BC">
      <w:start w:val="1"/>
      <w:numFmt w:val="bullet"/>
      <w:lvlText w:val=""/>
      <w:lvlJc w:val="left"/>
      <w:pPr>
        <w:ind w:left="1350" w:hanging="360"/>
      </w:pPr>
      <w:rPr>
        <w:rFonts w:ascii="Symbol" w:hAnsi="Symbol" w:hint="default"/>
      </w:rPr>
    </w:lvl>
    <w:lvl w:ilvl="1" w:tplc="041B0003">
      <w:start w:val="1"/>
      <w:numFmt w:val="bullet"/>
      <w:lvlText w:val="o"/>
      <w:lvlJc w:val="left"/>
      <w:pPr>
        <w:ind w:left="2070" w:hanging="360"/>
      </w:pPr>
      <w:rPr>
        <w:rFonts w:ascii="Courier New" w:hAnsi="Courier New" w:hint="default"/>
      </w:rPr>
    </w:lvl>
    <w:lvl w:ilvl="2" w:tplc="041B0005">
      <w:start w:val="1"/>
      <w:numFmt w:val="bullet"/>
      <w:lvlText w:val=""/>
      <w:lvlJc w:val="left"/>
      <w:pPr>
        <w:ind w:left="2790" w:hanging="360"/>
      </w:pPr>
      <w:rPr>
        <w:rFonts w:ascii="Wingdings" w:hAnsi="Wingdings" w:hint="default"/>
      </w:rPr>
    </w:lvl>
    <w:lvl w:ilvl="3" w:tplc="041B0001">
      <w:start w:val="1"/>
      <w:numFmt w:val="bullet"/>
      <w:lvlText w:val=""/>
      <w:lvlJc w:val="left"/>
      <w:pPr>
        <w:ind w:left="3510" w:hanging="360"/>
      </w:pPr>
      <w:rPr>
        <w:rFonts w:ascii="Symbol" w:hAnsi="Symbol" w:hint="default"/>
      </w:rPr>
    </w:lvl>
    <w:lvl w:ilvl="4" w:tplc="041B0003">
      <w:start w:val="1"/>
      <w:numFmt w:val="bullet"/>
      <w:lvlText w:val="o"/>
      <w:lvlJc w:val="left"/>
      <w:pPr>
        <w:ind w:left="4230" w:hanging="360"/>
      </w:pPr>
      <w:rPr>
        <w:rFonts w:ascii="Courier New" w:hAnsi="Courier New" w:hint="default"/>
      </w:rPr>
    </w:lvl>
    <w:lvl w:ilvl="5" w:tplc="041B0005">
      <w:start w:val="1"/>
      <w:numFmt w:val="bullet"/>
      <w:lvlText w:val=""/>
      <w:lvlJc w:val="left"/>
      <w:pPr>
        <w:ind w:left="4950" w:hanging="360"/>
      </w:pPr>
      <w:rPr>
        <w:rFonts w:ascii="Wingdings" w:hAnsi="Wingdings" w:hint="default"/>
      </w:rPr>
    </w:lvl>
    <w:lvl w:ilvl="6" w:tplc="041B0001">
      <w:start w:val="1"/>
      <w:numFmt w:val="bullet"/>
      <w:lvlText w:val=""/>
      <w:lvlJc w:val="left"/>
      <w:pPr>
        <w:ind w:left="5670" w:hanging="360"/>
      </w:pPr>
      <w:rPr>
        <w:rFonts w:ascii="Symbol" w:hAnsi="Symbol" w:hint="default"/>
      </w:rPr>
    </w:lvl>
    <w:lvl w:ilvl="7" w:tplc="041B0003">
      <w:start w:val="1"/>
      <w:numFmt w:val="bullet"/>
      <w:lvlText w:val="o"/>
      <w:lvlJc w:val="left"/>
      <w:pPr>
        <w:ind w:left="6390" w:hanging="360"/>
      </w:pPr>
      <w:rPr>
        <w:rFonts w:ascii="Courier New" w:hAnsi="Courier New" w:hint="default"/>
      </w:rPr>
    </w:lvl>
    <w:lvl w:ilvl="8" w:tplc="041B0005">
      <w:start w:val="1"/>
      <w:numFmt w:val="bullet"/>
      <w:lvlText w:val=""/>
      <w:lvlJc w:val="left"/>
      <w:pPr>
        <w:ind w:left="7110" w:hanging="360"/>
      </w:pPr>
      <w:rPr>
        <w:rFonts w:ascii="Wingdings" w:hAnsi="Wingdings" w:hint="default"/>
      </w:rPr>
    </w:lvl>
  </w:abstractNum>
  <w:abstractNum w:abstractNumId="1">
    <w:nsid w:val="0B377F25"/>
    <w:multiLevelType w:val="hybridMultilevel"/>
    <w:tmpl w:val="80CA55C8"/>
    <w:lvl w:ilvl="0" w:tplc="BCE88D6A">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35177968"/>
    <w:multiLevelType w:val="hybridMultilevel"/>
    <w:tmpl w:val="0C9AC6E6"/>
    <w:lvl w:ilvl="0" w:tplc="B0645994">
      <w:numFmt w:val="bullet"/>
      <w:lvlText w:val="-"/>
      <w:lvlJc w:val="left"/>
      <w:pPr>
        <w:ind w:left="360" w:hanging="360"/>
      </w:pPr>
      <w:rPr>
        <w:rFonts w:ascii="Times New Roman" w:eastAsia="Times New Roman" w:hAnsi="Times New Roman" w:hint="default"/>
      </w:rPr>
    </w:lvl>
    <w:lvl w:ilvl="1" w:tplc="041B0003">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405F458B"/>
    <w:multiLevelType w:val="hybridMultilevel"/>
    <w:tmpl w:val="746CEF2C"/>
    <w:lvl w:ilvl="0" w:tplc="B0645994">
      <w:numFmt w:val="bullet"/>
      <w:lvlText w:val="-"/>
      <w:lvlJc w:val="left"/>
      <w:pPr>
        <w:ind w:left="720" w:hanging="360"/>
      </w:pPr>
      <w:rPr>
        <w:rFonts w:ascii="Times New Roman" w:eastAsia="Times New Roman" w:hAnsi="Times New Roman" w:hint="default"/>
      </w:rPr>
    </w:lvl>
    <w:lvl w:ilvl="1" w:tplc="E57A17BC">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62E1EDB"/>
    <w:multiLevelType w:val="hybridMultilevel"/>
    <w:tmpl w:val="72CA4CC6"/>
    <w:lvl w:ilvl="0" w:tplc="30D841D2">
      <w:start w:val="1"/>
      <w:numFmt w:val="lowerLetter"/>
      <w:pStyle w:val="Odsaden1"/>
      <w:lvlText w:val="%1)"/>
      <w:lvlJc w:val="left"/>
      <w:pPr>
        <w:tabs>
          <w:tab w:val="num" w:pos="1977"/>
        </w:tabs>
        <w:ind w:left="1977" w:hanging="1410"/>
      </w:pPr>
      <w:rPr>
        <w:rFonts w:cs="Times New Roman" w:hint="default"/>
      </w:rPr>
    </w:lvl>
    <w:lvl w:ilvl="1" w:tplc="041B0019">
      <w:start w:val="1"/>
      <w:numFmt w:val="lowerLetter"/>
      <w:lvlText w:val="%2."/>
      <w:lvlJc w:val="left"/>
      <w:pPr>
        <w:tabs>
          <w:tab w:val="num" w:pos="1647"/>
        </w:tabs>
        <w:ind w:left="1647" w:hanging="360"/>
      </w:pPr>
      <w:rPr>
        <w:rFonts w:cs="Times New Roman"/>
      </w:rPr>
    </w:lvl>
    <w:lvl w:ilvl="2" w:tplc="041B001B">
      <w:start w:val="1"/>
      <w:numFmt w:val="lowerRoman"/>
      <w:lvlText w:val="%3."/>
      <w:lvlJc w:val="right"/>
      <w:pPr>
        <w:tabs>
          <w:tab w:val="num" w:pos="2367"/>
        </w:tabs>
        <w:ind w:left="2367" w:hanging="180"/>
      </w:pPr>
      <w:rPr>
        <w:rFonts w:cs="Times New Roman"/>
      </w:rPr>
    </w:lvl>
    <w:lvl w:ilvl="3" w:tplc="041B000F">
      <w:start w:val="1"/>
      <w:numFmt w:val="decimal"/>
      <w:lvlText w:val="%4."/>
      <w:lvlJc w:val="left"/>
      <w:pPr>
        <w:tabs>
          <w:tab w:val="num" w:pos="3087"/>
        </w:tabs>
        <w:ind w:left="3087" w:hanging="360"/>
      </w:pPr>
      <w:rPr>
        <w:rFonts w:cs="Times New Roman"/>
      </w:rPr>
    </w:lvl>
    <w:lvl w:ilvl="4" w:tplc="041B0019">
      <w:start w:val="1"/>
      <w:numFmt w:val="lowerLetter"/>
      <w:lvlText w:val="%5."/>
      <w:lvlJc w:val="left"/>
      <w:pPr>
        <w:tabs>
          <w:tab w:val="num" w:pos="3807"/>
        </w:tabs>
        <w:ind w:left="3807" w:hanging="360"/>
      </w:pPr>
      <w:rPr>
        <w:rFonts w:cs="Times New Roman"/>
      </w:rPr>
    </w:lvl>
    <w:lvl w:ilvl="5" w:tplc="041B001B">
      <w:start w:val="1"/>
      <w:numFmt w:val="lowerRoman"/>
      <w:lvlText w:val="%6."/>
      <w:lvlJc w:val="right"/>
      <w:pPr>
        <w:tabs>
          <w:tab w:val="num" w:pos="4527"/>
        </w:tabs>
        <w:ind w:left="4527" w:hanging="180"/>
      </w:pPr>
      <w:rPr>
        <w:rFonts w:cs="Times New Roman"/>
      </w:rPr>
    </w:lvl>
    <w:lvl w:ilvl="6" w:tplc="041B000F">
      <w:start w:val="1"/>
      <w:numFmt w:val="decimal"/>
      <w:lvlText w:val="%7."/>
      <w:lvlJc w:val="left"/>
      <w:pPr>
        <w:tabs>
          <w:tab w:val="num" w:pos="5247"/>
        </w:tabs>
        <w:ind w:left="5247" w:hanging="360"/>
      </w:pPr>
      <w:rPr>
        <w:rFonts w:cs="Times New Roman"/>
      </w:rPr>
    </w:lvl>
    <w:lvl w:ilvl="7" w:tplc="041B0019">
      <w:start w:val="1"/>
      <w:numFmt w:val="lowerLetter"/>
      <w:lvlText w:val="%8."/>
      <w:lvlJc w:val="left"/>
      <w:pPr>
        <w:tabs>
          <w:tab w:val="num" w:pos="5967"/>
        </w:tabs>
        <w:ind w:left="5967" w:hanging="360"/>
      </w:pPr>
      <w:rPr>
        <w:rFonts w:cs="Times New Roman"/>
      </w:rPr>
    </w:lvl>
    <w:lvl w:ilvl="8" w:tplc="041B001B">
      <w:start w:val="1"/>
      <w:numFmt w:val="lowerRoman"/>
      <w:lvlText w:val="%9."/>
      <w:lvlJc w:val="right"/>
      <w:pPr>
        <w:tabs>
          <w:tab w:val="num" w:pos="6687"/>
        </w:tabs>
        <w:ind w:left="6687" w:hanging="180"/>
      </w:pPr>
      <w:rPr>
        <w:rFonts w:cs="Times New Roman"/>
      </w:rPr>
    </w:lvl>
  </w:abstractNum>
  <w:abstractNum w:abstractNumId="5">
    <w:nsid w:val="6FBF3634"/>
    <w:multiLevelType w:val="multilevel"/>
    <w:tmpl w:val="27FE9754"/>
    <w:lvl w:ilvl="0">
      <w:start w:val="1"/>
      <w:numFmt w:val="decimal"/>
      <w:pStyle w:val="Nadpis1"/>
      <w:lvlText w:val="%1."/>
      <w:lvlJc w:val="left"/>
      <w:pPr>
        <w:tabs>
          <w:tab w:val="num" w:pos="0"/>
        </w:tabs>
        <w:ind w:hanging="360"/>
      </w:pPr>
      <w:rPr>
        <w:rFonts w:cs="Times New Roman" w:hint="default"/>
      </w:rPr>
    </w:lvl>
    <w:lvl w:ilvl="1">
      <w:start w:val="1"/>
      <w:numFmt w:val="decimal"/>
      <w:pStyle w:val="Nadpis2"/>
      <w:lvlText w:val="%1.%2"/>
      <w:lvlJc w:val="left"/>
      <w:pPr>
        <w:tabs>
          <w:tab w:val="num" w:pos="858"/>
        </w:tabs>
        <w:ind w:left="858" w:hanging="432"/>
      </w:pPr>
      <w:rPr>
        <w:rFonts w:cs="Times New Roman" w:hint="default"/>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6">
    <w:nsid w:val="78A353AA"/>
    <w:multiLevelType w:val="hybridMultilevel"/>
    <w:tmpl w:val="AE8A9ABC"/>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5"/>
  </w:num>
  <w:num w:numId="2">
    <w:abstractNumId w:val="4"/>
  </w:num>
  <w:num w:numId="3">
    <w:abstractNumId w:val="4"/>
    <w:lvlOverride w:ilvl="0">
      <w:startOverride w:val="1"/>
    </w:lvlOverride>
  </w:num>
  <w:num w:numId="4">
    <w:abstractNumId w:val="0"/>
  </w:num>
  <w:num w:numId="5">
    <w:abstractNumId w:val="5"/>
  </w:num>
  <w:num w:numId="6">
    <w:abstractNumId w:val="6"/>
  </w:num>
  <w:num w:numId="7">
    <w:abstractNumId w:val="1"/>
  </w:num>
  <w:num w:numId="8">
    <w:abstractNumId w:val="2"/>
  </w:num>
  <w:num w:numId="9">
    <w:abstractNumId w:val="3"/>
  </w:num>
  <w:num w:numId="10">
    <w:abstractNumId w:val="5"/>
    <w:lvlOverride w:ilvl="0">
      <w:startOverride w:val="1"/>
    </w:lvlOverride>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46"/>
    <w:rsid w:val="00000E13"/>
    <w:rsid w:val="00001668"/>
    <w:rsid w:val="00002E48"/>
    <w:rsid w:val="00002FAC"/>
    <w:rsid w:val="000115F1"/>
    <w:rsid w:val="000170CF"/>
    <w:rsid w:val="00017F6B"/>
    <w:rsid w:val="00027946"/>
    <w:rsid w:val="00040A2D"/>
    <w:rsid w:val="00043B88"/>
    <w:rsid w:val="00050B8A"/>
    <w:rsid w:val="00050F19"/>
    <w:rsid w:val="00051295"/>
    <w:rsid w:val="000523BB"/>
    <w:rsid w:val="000539C0"/>
    <w:rsid w:val="000550DE"/>
    <w:rsid w:val="00063F2D"/>
    <w:rsid w:val="000678B1"/>
    <w:rsid w:val="00081140"/>
    <w:rsid w:val="0008238F"/>
    <w:rsid w:val="00087964"/>
    <w:rsid w:val="000975B6"/>
    <w:rsid w:val="000A1758"/>
    <w:rsid w:val="000A6741"/>
    <w:rsid w:val="000A7037"/>
    <w:rsid w:val="000B1886"/>
    <w:rsid w:val="000B431D"/>
    <w:rsid w:val="000C24EE"/>
    <w:rsid w:val="000C250F"/>
    <w:rsid w:val="000C559B"/>
    <w:rsid w:val="000D1130"/>
    <w:rsid w:val="000D21E9"/>
    <w:rsid w:val="000D35C8"/>
    <w:rsid w:val="000D641C"/>
    <w:rsid w:val="000E14F9"/>
    <w:rsid w:val="000E1D0E"/>
    <w:rsid w:val="000E25E6"/>
    <w:rsid w:val="000E6E5F"/>
    <w:rsid w:val="000E7419"/>
    <w:rsid w:val="000F22F1"/>
    <w:rsid w:val="000F22F2"/>
    <w:rsid w:val="0010083C"/>
    <w:rsid w:val="00105D89"/>
    <w:rsid w:val="00106039"/>
    <w:rsid w:val="00107B5D"/>
    <w:rsid w:val="001107A0"/>
    <w:rsid w:val="00111030"/>
    <w:rsid w:val="00113859"/>
    <w:rsid w:val="00116393"/>
    <w:rsid w:val="001166BF"/>
    <w:rsid w:val="00116E4B"/>
    <w:rsid w:val="00120A0A"/>
    <w:rsid w:val="00125E3A"/>
    <w:rsid w:val="00125FDA"/>
    <w:rsid w:val="00134803"/>
    <w:rsid w:val="00136D6E"/>
    <w:rsid w:val="00137A85"/>
    <w:rsid w:val="00150BCC"/>
    <w:rsid w:val="00152A30"/>
    <w:rsid w:val="00154FC3"/>
    <w:rsid w:val="0015693A"/>
    <w:rsid w:val="001605DC"/>
    <w:rsid w:val="001707D2"/>
    <w:rsid w:val="001740DA"/>
    <w:rsid w:val="00174F9A"/>
    <w:rsid w:val="001776F5"/>
    <w:rsid w:val="001810FD"/>
    <w:rsid w:val="00181106"/>
    <w:rsid w:val="00182A8C"/>
    <w:rsid w:val="00190AB9"/>
    <w:rsid w:val="00190EE1"/>
    <w:rsid w:val="00191F80"/>
    <w:rsid w:val="00196003"/>
    <w:rsid w:val="00196867"/>
    <w:rsid w:val="001B1B02"/>
    <w:rsid w:val="001C57C8"/>
    <w:rsid w:val="001D523B"/>
    <w:rsid w:val="001D6733"/>
    <w:rsid w:val="001D72BD"/>
    <w:rsid w:val="001E10A6"/>
    <w:rsid w:val="001E62C3"/>
    <w:rsid w:val="001F0269"/>
    <w:rsid w:val="001F41AF"/>
    <w:rsid w:val="001F528B"/>
    <w:rsid w:val="001F5BE2"/>
    <w:rsid w:val="002040F8"/>
    <w:rsid w:val="00206419"/>
    <w:rsid w:val="00211251"/>
    <w:rsid w:val="002139C2"/>
    <w:rsid w:val="00213E02"/>
    <w:rsid w:val="0021485F"/>
    <w:rsid w:val="002164B0"/>
    <w:rsid w:val="002165B0"/>
    <w:rsid w:val="00216E43"/>
    <w:rsid w:val="00221FA5"/>
    <w:rsid w:val="00223390"/>
    <w:rsid w:val="00223864"/>
    <w:rsid w:val="00227B7B"/>
    <w:rsid w:val="00227C31"/>
    <w:rsid w:val="00227D92"/>
    <w:rsid w:val="0023390A"/>
    <w:rsid w:val="00237FD1"/>
    <w:rsid w:val="0024155A"/>
    <w:rsid w:val="0024719E"/>
    <w:rsid w:val="00250ABC"/>
    <w:rsid w:val="00250C35"/>
    <w:rsid w:val="00252574"/>
    <w:rsid w:val="00253329"/>
    <w:rsid w:val="00254442"/>
    <w:rsid w:val="002550DE"/>
    <w:rsid w:val="002558FA"/>
    <w:rsid w:val="00255B4C"/>
    <w:rsid w:val="0025642D"/>
    <w:rsid w:val="0025697A"/>
    <w:rsid w:val="00256B54"/>
    <w:rsid w:val="00267ACC"/>
    <w:rsid w:val="0027160A"/>
    <w:rsid w:val="002722F8"/>
    <w:rsid w:val="00272F00"/>
    <w:rsid w:val="002734B9"/>
    <w:rsid w:val="00276411"/>
    <w:rsid w:val="00280719"/>
    <w:rsid w:val="0028520C"/>
    <w:rsid w:val="0028533F"/>
    <w:rsid w:val="002902B6"/>
    <w:rsid w:val="00290BD7"/>
    <w:rsid w:val="00291BD2"/>
    <w:rsid w:val="00291E30"/>
    <w:rsid w:val="00292DCA"/>
    <w:rsid w:val="002A513C"/>
    <w:rsid w:val="002B026A"/>
    <w:rsid w:val="002B2265"/>
    <w:rsid w:val="002B23A9"/>
    <w:rsid w:val="002B2527"/>
    <w:rsid w:val="002B26E0"/>
    <w:rsid w:val="002B39C8"/>
    <w:rsid w:val="002B6F3C"/>
    <w:rsid w:val="002B7270"/>
    <w:rsid w:val="002B78C8"/>
    <w:rsid w:val="002C7198"/>
    <w:rsid w:val="002D62C2"/>
    <w:rsid w:val="002E2683"/>
    <w:rsid w:val="002E2A3F"/>
    <w:rsid w:val="002E3E03"/>
    <w:rsid w:val="002E408C"/>
    <w:rsid w:val="002E4867"/>
    <w:rsid w:val="002E5ED5"/>
    <w:rsid w:val="002F029D"/>
    <w:rsid w:val="002F153A"/>
    <w:rsid w:val="002F2F94"/>
    <w:rsid w:val="002F33B0"/>
    <w:rsid w:val="002F4454"/>
    <w:rsid w:val="003025AF"/>
    <w:rsid w:val="00302713"/>
    <w:rsid w:val="00304214"/>
    <w:rsid w:val="00307626"/>
    <w:rsid w:val="003106AF"/>
    <w:rsid w:val="003136CD"/>
    <w:rsid w:val="00314D17"/>
    <w:rsid w:val="003165D5"/>
    <w:rsid w:val="003234AE"/>
    <w:rsid w:val="0032765B"/>
    <w:rsid w:val="00327C8F"/>
    <w:rsid w:val="00330E9E"/>
    <w:rsid w:val="00330EB8"/>
    <w:rsid w:val="00331A41"/>
    <w:rsid w:val="003324BC"/>
    <w:rsid w:val="00332657"/>
    <w:rsid w:val="003328B1"/>
    <w:rsid w:val="003341B8"/>
    <w:rsid w:val="00334659"/>
    <w:rsid w:val="00334D9F"/>
    <w:rsid w:val="00335E69"/>
    <w:rsid w:val="00337660"/>
    <w:rsid w:val="00340E17"/>
    <w:rsid w:val="0034398B"/>
    <w:rsid w:val="003469F6"/>
    <w:rsid w:val="00347EDF"/>
    <w:rsid w:val="003527E6"/>
    <w:rsid w:val="00355857"/>
    <w:rsid w:val="003568C3"/>
    <w:rsid w:val="00356F75"/>
    <w:rsid w:val="0035757F"/>
    <w:rsid w:val="00360965"/>
    <w:rsid w:val="0036253A"/>
    <w:rsid w:val="00363564"/>
    <w:rsid w:val="00363B64"/>
    <w:rsid w:val="0036443A"/>
    <w:rsid w:val="0036539C"/>
    <w:rsid w:val="00366D9D"/>
    <w:rsid w:val="003678AF"/>
    <w:rsid w:val="00373BF5"/>
    <w:rsid w:val="00391F98"/>
    <w:rsid w:val="0039355C"/>
    <w:rsid w:val="00395848"/>
    <w:rsid w:val="003A232D"/>
    <w:rsid w:val="003A2830"/>
    <w:rsid w:val="003B7A99"/>
    <w:rsid w:val="003C097C"/>
    <w:rsid w:val="003C4AC3"/>
    <w:rsid w:val="003C5F2B"/>
    <w:rsid w:val="003D368C"/>
    <w:rsid w:val="003D49A8"/>
    <w:rsid w:val="003D5184"/>
    <w:rsid w:val="003D6F48"/>
    <w:rsid w:val="003E1333"/>
    <w:rsid w:val="003E1415"/>
    <w:rsid w:val="003E2B4E"/>
    <w:rsid w:val="003E2D4C"/>
    <w:rsid w:val="003E42A7"/>
    <w:rsid w:val="003E68B6"/>
    <w:rsid w:val="003F03CC"/>
    <w:rsid w:val="003F077B"/>
    <w:rsid w:val="003F3744"/>
    <w:rsid w:val="003F680D"/>
    <w:rsid w:val="00404EE6"/>
    <w:rsid w:val="00405FF7"/>
    <w:rsid w:val="00407FCA"/>
    <w:rsid w:val="0041009A"/>
    <w:rsid w:val="00412117"/>
    <w:rsid w:val="004123F5"/>
    <w:rsid w:val="00415F46"/>
    <w:rsid w:val="004167E9"/>
    <w:rsid w:val="004176C0"/>
    <w:rsid w:val="00423243"/>
    <w:rsid w:val="0043069A"/>
    <w:rsid w:val="004340FE"/>
    <w:rsid w:val="00435D72"/>
    <w:rsid w:val="00440BAB"/>
    <w:rsid w:val="0044103A"/>
    <w:rsid w:val="00442253"/>
    <w:rsid w:val="00443C74"/>
    <w:rsid w:val="0044454F"/>
    <w:rsid w:val="00444B84"/>
    <w:rsid w:val="00447690"/>
    <w:rsid w:val="00454263"/>
    <w:rsid w:val="00457641"/>
    <w:rsid w:val="0046165D"/>
    <w:rsid w:val="0046286F"/>
    <w:rsid w:val="00467803"/>
    <w:rsid w:val="00470E93"/>
    <w:rsid w:val="00473725"/>
    <w:rsid w:val="00481EB0"/>
    <w:rsid w:val="00484971"/>
    <w:rsid w:val="00484C93"/>
    <w:rsid w:val="00485B97"/>
    <w:rsid w:val="004927B7"/>
    <w:rsid w:val="00493C89"/>
    <w:rsid w:val="00493D57"/>
    <w:rsid w:val="00494C92"/>
    <w:rsid w:val="004A283C"/>
    <w:rsid w:val="004B5A8A"/>
    <w:rsid w:val="004C063F"/>
    <w:rsid w:val="004C11D8"/>
    <w:rsid w:val="004C130E"/>
    <w:rsid w:val="004C2CB7"/>
    <w:rsid w:val="004C6EF5"/>
    <w:rsid w:val="004D079D"/>
    <w:rsid w:val="004D07F3"/>
    <w:rsid w:val="004D291D"/>
    <w:rsid w:val="004D5A6F"/>
    <w:rsid w:val="004D64A7"/>
    <w:rsid w:val="004D67F9"/>
    <w:rsid w:val="004E292C"/>
    <w:rsid w:val="004E5EDB"/>
    <w:rsid w:val="004E7644"/>
    <w:rsid w:val="004F0BC5"/>
    <w:rsid w:val="004F1204"/>
    <w:rsid w:val="004F4716"/>
    <w:rsid w:val="004F502F"/>
    <w:rsid w:val="004F6049"/>
    <w:rsid w:val="00500C3C"/>
    <w:rsid w:val="00507580"/>
    <w:rsid w:val="005119AC"/>
    <w:rsid w:val="00511B56"/>
    <w:rsid w:val="00512541"/>
    <w:rsid w:val="0052071F"/>
    <w:rsid w:val="00525753"/>
    <w:rsid w:val="00527380"/>
    <w:rsid w:val="00531283"/>
    <w:rsid w:val="005320C8"/>
    <w:rsid w:val="00536DDB"/>
    <w:rsid w:val="00540EF0"/>
    <w:rsid w:val="0054100D"/>
    <w:rsid w:val="00542B90"/>
    <w:rsid w:val="0054642F"/>
    <w:rsid w:val="0054683F"/>
    <w:rsid w:val="00547881"/>
    <w:rsid w:val="005576E9"/>
    <w:rsid w:val="00561FE0"/>
    <w:rsid w:val="00572AB6"/>
    <w:rsid w:val="00572D1E"/>
    <w:rsid w:val="00576ED4"/>
    <w:rsid w:val="00577D00"/>
    <w:rsid w:val="00580EB0"/>
    <w:rsid w:val="00581118"/>
    <w:rsid w:val="0058659B"/>
    <w:rsid w:val="005868D6"/>
    <w:rsid w:val="00587214"/>
    <w:rsid w:val="005908DD"/>
    <w:rsid w:val="00595506"/>
    <w:rsid w:val="00597809"/>
    <w:rsid w:val="005A3FA4"/>
    <w:rsid w:val="005A6434"/>
    <w:rsid w:val="005A67FD"/>
    <w:rsid w:val="005B03B3"/>
    <w:rsid w:val="005B1116"/>
    <w:rsid w:val="005B2888"/>
    <w:rsid w:val="005B4AD5"/>
    <w:rsid w:val="005C131D"/>
    <w:rsid w:val="005C2065"/>
    <w:rsid w:val="005C266F"/>
    <w:rsid w:val="005C2746"/>
    <w:rsid w:val="005C3437"/>
    <w:rsid w:val="005C77AA"/>
    <w:rsid w:val="005D0D3A"/>
    <w:rsid w:val="005D27FA"/>
    <w:rsid w:val="005D3C1F"/>
    <w:rsid w:val="005D4AF0"/>
    <w:rsid w:val="005D4F2B"/>
    <w:rsid w:val="005D52C7"/>
    <w:rsid w:val="005D75D3"/>
    <w:rsid w:val="005E5068"/>
    <w:rsid w:val="005E5510"/>
    <w:rsid w:val="005E62D9"/>
    <w:rsid w:val="005E66FC"/>
    <w:rsid w:val="005F03FE"/>
    <w:rsid w:val="005F0A8A"/>
    <w:rsid w:val="005F464E"/>
    <w:rsid w:val="005F58AA"/>
    <w:rsid w:val="005F7E3B"/>
    <w:rsid w:val="00603BEF"/>
    <w:rsid w:val="00607CB0"/>
    <w:rsid w:val="00610099"/>
    <w:rsid w:val="006129D6"/>
    <w:rsid w:val="0062273B"/>
    <w:rsid w:val="0062439E"/>
    <w:rsid w:val="006269DB"/>
    <w:rsid w:val="006274C7"/>
    <w:rsid w:val="00627D74"/>
    <w:rsid w:val="00636B25"/>
    <w:rsid w:val="00641B91"/>
    <w:rsid w:val="0064279A"/>
    <w:rsid w:val="00645074"/>
    <w:rsid w:val="0064538F"/>
    <w:rsid w:val="00652173"/>
    <w:rsid w:val="006533C9"/>
    <w:rsid w:val="0067193B"/>
    <w:rsid w:val="006719B0"/>
    <w:rsid w:val="006757CA"/>
    <w:rsid w:val="00680DB3"/>
    <w:rsid w:val="00680FE8"/>
    <w:rsid w:val="006834A2"/>
    <w:rsid w:val="006842B5"/>
    <w:rsid w:val="00684D86"/>
    <w:rsid w:val="0068573F"/>
    <w:rsid w:val="00687170"/>
    <w:rsid w:val="00687B31"/>
    <w:rsid w:val="00692F7E"/>
    <w:rsid w:val="00696223"/>
    <w:rsid w:val="00697603"/>
    <w:rsid w:val="006A22F4"/>
    <w:rsid w:val="006A2F72"/>
    <w:rsid w:val="006B2021"/>
    <w:rsid w:val="006B40FD"/>
    <w:rsid w:val="006B4984"/>
    <w:rsid w:val="006B5180"/>
    <w:rsid w:val="006B525C"/>
    <w:rsid w:val="006B5E50"/>
    <w:rsid w:val="006C13AE"/>
    <w:rsid w:val="006C727B"/>
    <w:rsid w:val="006C74E8"/>
    <w:rsid w:val="006D0501"/>
    <w:rsid w:val="006D2747"/>
    <w:rsid w:val="006D3865"/>
    <w:rsid w:val="006E2984"/>
    <w:rsid w:val="006E3662"/>
    <w:rsid w:val="006E3D6B"/>
    <w:rsid w:val="006E485E"/>
    <w:rsid w:val="006E648C"/>
    <w:rsid w:val="006F4166"/>
    <w:rsid w:val="006F4338"/>
    <w:rsid w:val="00700579"/>
    <w:rsid w:val="00701AFD"/>
    <w:rsid w:val="00703AB0"/>
    <w:rsid w:val="007052BD"/>
    <w:rsid w:val="00710755"/>
    <w:rsid w:val="00711733"/>
    <w:rsid w:val="00711D3C"/>
    <w:rsid w:val="00715C87"/>
    <w:rsid w:val="00717866"/>
    <w:rsid w:val="00722028"/>
    <w:rsid w:val="00725CCA"/>
    <w:rsid w:val="007312DC"/>
    <w:rsid w:val="007345D6"/>
    <w:rsid w:val="00742E5E"/>
    <w:rsid w:val="007435E5"/>
    <w:rsid w:val="00745989"/>
    <w:rsid w:val="0074629F"/>
    <w:rsid w:val="00751929"/>
    <w:rsid w:val="00751C86"/>
    <w:rsid w:val="00753D17"/>
    <w:rsid w:val="007618F4"/>
    <w:rsid w:val="00770346"/>
    <w:rsid w:val="00770F50"/>
    <w:rsid w:val="00773BDC"/>
    <w:rsid w:val="00774E88"/>
    <w:rsid w:val="00776E90"/>
    <w:rsid w:val="00777BDD"/>
    <w:rsid w:val="0078074C"/>
    <w:rsid w:val="007815FD"/>
    <w:rsid w:val="007828B6"/>
    <w:rsid w:val="0078729D"/>
    <w:rsid w:val="007877B9"/>
    <w:rsid w:val="007909A1"/>
    <w:rsid w:val="00794B15"/>
    <w:rsid w:val="007972C2"/>
    <w:rsid w:val="007A0845"/>
    <w:rsid w:val="007A4348"/>
    <w:rsid w:val="007A4B06"/>
    <w:rsid w:val="007B76F7"/>
    <w:rsid w:val="007C19BE"/>
    <w:rsid w:val="007D0060"/>
    <w:rsid w:val="007D0CB3"/>
    <w:rsid w:val="007D4F7B"/>
    <w:rsid w:val="007E2D00"/>
    <w:rsid w:val="007E55D9"/>
    <w:rsid w:val="007E754D"/>
    <w:rsid w:val="007E7757"/>
    <w:rsid w:val="007F010B"/>
    <w:rsid w:val="007F05D5"/>
    <w:rsid w:val="00803FC6"/>
    <w:rsid w:val="008042FA"/>
    <w:rsid w:val="008072C7"/>
    <w:rsid w:val="00807461"/>
    <w:rsid w:val="008103A5"/>
    <w:rsid w:val="00811535"/>
    <w:rsid w:val="00814F31"/>
    <w:rsid w:val="008204DE"/>
    <w:rsid w:val="008231B5"/>
    <w:rsid w:val="008251F2"/>
    <w:rsid w:val="00825F90"/>
    <w:rsid w:val="0082637F"/>
    <w:rsid w:val="00834BD4"/>
    <w:rsid w:val="0083661C"/>
    <w:rsid w:val="008429AE"/>
    <w:rsid w:val="008435B6"/>
    <w:rsid w:val="008435D7"/>
    <w:rsid w:val="008458D3"/>
    <w:rsid w:val="008476F1"/>
    <w:rsid w:val="008510AE"/>
    <w:rsid w:val="00851F10"/>
    <w:rsid w:val="00854B8B"/>
    <w:rsid w:val="00857AEC"/>
    <w:rsid w:val="00862445"/>
    <w:rsid w:val="0086550E"/>
    <w:rsid w:val="00866812"/>
    <w:rsid w:val="00872EF2"/>
    <w:rsid w:val="00874505"/>
    <w:rsid w:val="0087475E"/>
    <w:rsid w:val="0088088B"/>
    <w:rsid w:val="00880E16"/>
    <w:rsid w:val="00887649"/>
    <w:rsid w:val="0089288F"/>
    <w:rsid w:val="00892A4E"/>
    <w:rsid w:val="00895485"/>
    <w:rsid w:val="0089686F"/>
    <w:rsid w:val="008A4BDB"/>
    <w:rsid w:val="008A5CE9"/>
    <w:rsid w:val="008B1017"/>
    <w:rsid w:val="008B2F33"/>
    <w:rsid w:val="008B76C3"/>
    <w:rsid w:val="008C0056"/>
    <w:rsid w:val="008C26ED"/>
    <w:rsid w:val="008C7BFB"/>
    <w:rsid w:val="008D0977"/>
    <w:rsid w:val="008D21D1"/>
    <w:rsid w:val="008D2A68"/>
    <w:rsid w:val="008E15F8"/>
    <w:rsid w:val="008E23AB"/>
    <w:rsid w:val="008E2730"/>
    <w:rsid w:val="008E524A"/>
    <w:rsid w:val="008E693D"/>
    <w:rsid w:val="008F3C00"/>
    <w:rsid w:val="008F48B8"/>
    <w:rsid w:val="008F7A32"/>
    <w:rsid w:val="009004B6"/>
    <w:rsid w:val="00900E8E"/>
    <w:rsid w:val="009019E9"/>
    <w:rsid w:val="0090436D"/>
    <w:rsid w:val="009074C9"/>
    <w:rsid w:val="00911900"/>
    <w:rsid w:val="00914325"/>
    <w:rsid w:val="00916504"/>
    <w:rsid w:val="00920570"/>
    <w:rsid w:val="00921875"/>
    <w:rsid w:val="00924566"/>
    <w:rsid w:val="0092611B"/>
    <w:rsid w:val="009262BA"/>
    <w:rsid w:val="00935B76"/>
    <w:rsid w:val="00936BFD"/>
    <w:rsid w:val="009371C0"/>
    <w:rsid w:val="009379AC"/>
    <w:rsid w:val="009408A1"/>
    <w:rsid w:val="0094160D"/>
    <w:rsid w:val="009431EA"/>
    <w:rsid w:val="0094502E"/>
    <w:rsid w:val="00945F77"/>
    <w:rsid w:val="009468DE"/>
    <w:rsid w:val="009472A9"/>
    <w:rsid w:val="00950B16"/>
    <w:rsid w:val="00950BAF"/>
    <w:rsid w:val="00956075"/>
    <w:rsid w:val="00956C85"/>
    <w:rsid w:val="00957F93"/>
    <w:rsid w:val="00961DE5"/>
    <w:rsid w:val="00966BF3"/>
    <w:rsid w:val="00967487"/>
    <w:rsid w:val="009676DA"/>
    <w:rsid w:val="009730A6"/>
    <w:rsid w:val="009735B6"/>
    <w:rsid w:val="00974C7A"/>
    <w:rsid w:val="0097623D"/>
    <w:rsid w:val="00981338"/>
    <w:rsid w:val="00981D22"/>
    <w:rsid w:val="00982F4F"/>
    <w:rsid w:val="00985C26"/>
    <w:rsid w:val="00986046"/>
    <w:rsid w:val="0098676A"/>
    <w:rsid w:val="00986DF4"/>
    <w:rsid w:val="00991086"/>
    <w:rsid w:val="009911BF"/>
    <w:rsid w:val="00993183"/>
    <w:rsid w:val="009A0799"/>
    <w:rsid w:val="009A1896"/>
    <w:rsid w:val="009A1A8E"/>
    <w:rsid w:val="009A2934"/>
    <w:rsid w:val="009A5EFD"/>
    <w:rsid w:val="009A6E55"/>
    <w:rsid w:val="009C2F74"/>
    <w:rsid w:val="009C34E2"/>
    <w:rsid w:val="009C3FF4"/>
    <w:rsid w:val="009C48B6"/>
    <w:rsid w:val="009C6A23"/>
    <w:rsid w:val="009D5976"/>
    <w:rsid w:val="009D5E16"/>
    <w:rsid w:val="009D67C0"/>
    <w:rsid w:val="009D6DD7"/>
    <w:rsid w:val="009D79B8"/>
    <w:rsid w:val="009E0F30"/>
    <w:rsid w:val="009E3B9D"/>
    <w:rsid w:val="009E3E57"/>
    <w:rsid w:val="009E4231"/>
    <w:rsid w:val="009E6834"/>
    <w:rsid w:val="009E7814"/>
    <w:rsid w:val="009F2B3D"/>
    <w:rsid w:val="009F347A"/>
    <w:rsid w:val="00A02113"/>
    <w:rsid w:val="00A11C53"/>
    <w:rsid w:val="00A15193"/>
    <w:rsid w:val="00A16EB6"/>
    <w:rsid w:val="00A303F3"/>
    <w:rsid w:val="00A329ED"/>
    <w:rsid w:val="00A34763"/>
    <w:rsid w:val="00A3522A"/>
    <w:rsid w:val="00A41C7D"/>
    <w:rsid w:val="00A432D7"/>
    <w:rsid w:val="00A44265"/>
    <w:rsid w:val="00A44382"/>
    <w:rsid w:val="00A460AB"/>
    <w:rsid w:val="00A466C3"/>
    <w:rsid w:val="00A47C9B"/>
    <w:rsid w:val="00A50247"/>
    <w:rsid w:val="00A510D8"/>
    <w:rsid w:val="00A52BC9"/>
    <w:rsid w:val="00A52BE9"/>
    <w:rsid w:val="00A57EC1"/>
    <w:rsid w:val="00A61240"/>
    <w:rsid w:val="00A62FF1"/>
    <w:rsid w:val="00A67333"/>
    <w:rsid w:val="00A70C81"/>
    <w:rsid w:val="00A71EDE"/>
    <w:rsid w:val="00A7249D"/>
    <w:rsid w:val="00A737BF"/>
    <w:rsid w:val="00A77173"/>
    <w:rsid w:val="00A837BB"/>
    <w:rsid w:val="00A841F6"/>
    <w:rsid w:val="00A84B0D"/>
    <w:rsid w:val="00A90E22"/>
    <w:rsid w:val="00A91E5D"/>
    <w:rsid w:val="00A96AFC"/>
    <w:rsid w:val="00A970EA"/>
    <w:rsid w:val="00AA32EA"/>
    <w:rsid w:val="00AA66EA"/>
    <w:rsid w:val="00AA7212"/>
    <w:rsid w:val="00AA732A"/>
    <w:rsid w:val="00AA736D"/>
    <w:rsid w:val="00AB3E07"/>
    <w:rsid w:val="00AB439F"/>
    <w:rsid w:val="00AB6D41"/>
    <w:rsid w:val="00AB72DA"/>
    <w:rsid w:val="00AC1E23"/>
    <w:rsid w:val="00AC2B93"/>
    <w:rsid w:val="00AC3308"/>
    <w:rsid w:val="00AC3E95"/>
    <w:rsid w:val="00AC61C8"/>
    <w:rsid w:val="00AC658E"/>
    <w:rsid w:val="00AD2AF5"/>
    <w:rsid w:val="00AD3FE3"/>
    <w:rsid w:val="00AD5BCB"/>
    <w:rsid w:val="00AD7704"/>
    <w:rsid w:val="00AE073D"/>
    <w:rsid w:val="00AE0F51"/>
    <w:rsid w:val="00AE485A"/>
    <w:rsid w:val="00AE48F1"/>
    <w:rsid w:val="00AF31D6"/>
    <w:rsid w:val="00AF44E0"/>
    <w:rsid w:val="00B0069F"/>
    <w:rsid w:val="00B055A2"/>
    <w:rsid w:val="00B058C2"/>
    <w:rsid w:val="00B0648C"/>
    <w:rsid w:val="00B10A66"/>
    <w:rsid w:val="00B17ADE"/>
    <w:rsid w:val="00B21D3E"/>
    <w:rsid w:val="00B22A86"/>
    <w:rsid w:val="00B31ED2"/>
    <w:rsid w:val="00B33A1E"/>
    <w:rsid w:val="00B40744"/>
    <w:rsid w:val="00B436AE"/>
    <w:rsid w:val="00B44D32"/>
    <w:rsid w:val="00B465C3"/>
    <w:rsid w:val="00B46F71"/>
    <w:rsid w:val="00B47827"/>
    <w:rsid w:val="00B51813"/>
    <w:rsid w:val="00B524A3"/>
    <w:rsid w:val="00B52D76"/>
    <w:rsid w:val="00B540B3"/>
    <w:rsid w:val="00B55CF6"/>
    <w:rsid w:val="00B62AB3"/>
    <w:rsid w:val="00B65012"/>
    <w:rsid w:val="00B65B59"/>
    <w:rsid w:val="00B71597"/>
    <w:rsid w:val="00B71834"/>
    <w:rsid w:val="00B751C0"/>
    <w:rsid w:val="00B77484"/>
    <w:rsid w:val="00B825F0"/>
    <w:rsid w:val="00B82C9D"/>
    <w:rsid w:val="00B8537E"/>
    <w:rsid w:val="00B863F7"/>
    <w:rsid w:val="00B86E94"/>
    <w:rsid w:val="00B931F6"/>
    <w:rsid w:val="00BA586D"/>
    <w:rsid w:val="00BA635A"/>
    <w:rsid w:val="00BA6F64"/>
    <w:rsid w:val="00BA70F3"/>
    <w:rsid w:val="00BB21D2"/>
    <w:rsid w:val="00BB28A9"/>
    <w:rsid w:val="00BB2E6E"/>
    <w:rsid w:val="00BC075B"/>
    <w:rsid w:val="00BD318F"/>
    <w:rsid w:val="00BE2A3A"/>
    <w:rsid w:val="00BE6CA3"/>
    <w:rsid w:val="00BF07F8"/>
    <w:rsid w:val="00BF49BE"/>
    <w:rsid w:val="00C01159"/>
    <w:rsid w:val="00C0348E"/>
    <w:rsid w:val="00C045CF"/>
    <w:rsid w:val="00C050C6"/>
    <w:rsid w:val="00C06DF4"/>
    <w:rsid w:val="00C071D7"/>
    <w:rsid w:val="00C13232"/>
    <w:rsid w:val="00C231BD"/>
    <w:rsid w:val="00C245FE"/>
    <w:rsid w:val="00C307DF"/>
    <w:rsid w:val="00C36C33"/>
    <w:rsid w:val="00C4032D"/>
    <w:rsid w:val="00C40E35"/>
    <w:rsid w:val="00C45C80"/>
    <w:rsid w:val="00C4615E"/>
    <w:rsid w:val="00C46D94"/>
    <w:rsid w:val="00C50F0F"/>
    <w:rsid w:val="00C515A4"/>
    <w:rsid w:val="00C56E2A"/>
    <w:rsid w:val="00C62A8D"/>
    <w:rsid w:val="00C6513C"/>
    <w:rsid w:val="00C73C2B"/>
    <w:rsid w:val="00C7449E"/>
    <w:rsid w:val="00C77623"/>
    <w:rsid w:val="00C778F1"/>
    <w:rsid w:val="00C81554"/>
    <w:rsid w:val="00C83167"/>
    <w:rsid w:val="00C832AA"/>
    <w:rsid w:val="00C87D9B"/>
    <w:rsid w:val="00C901A7"/>
    <w:rsid w:val="00C94BDF"/>
    <w:rsid w:val="00CA27D7"/>
    <w:rsid w:val="00CA39D3"/>
    <w:rsid w:val="00CA6B4E"/>
    <w:rsid w:val="00CB0A18"/>
    <w:rsid w:val="00CB4A4E"/>
    <w:rsid w:val="00CB59A1"/>
    <w:rsid w:val="00CB6AE3"/>
    <w:rsid w:val="00CD36F1"/>
    <w:rsid w:val="00CD534A"/>
    <w:rsid w:val="00CD6DA8"/>
    <w:rsid w:val="00CE0878"/>
    <w:rsid w:val="00CE2CD5"/>
    <w:rsid w:val="00CE3ABF"/>
    <w:rsid w:val="00CE42A7"/>
    <w:rsid w:val="00D015D7"/>
    <w:rsid w:val="00D07D40"/>
    <w:rsid w:val="00D13CDF"/>
    <w:rsid w:val="00D149FC"/>
    <w:rsid w:val="00D16E2E"/>
    <w:rsid w:val="00D17BD2"/>
    <w:rsid w:val="00D21B2B"/>
    <w:rsid w:val="00D239E0"/>
    <w:rsid w:val="00D23D53"/>
    <w:rsid w:val="00D27BAF"/>
    <w:rsid w:val="00D30B50"/>
    <w:rsid w:val="00D45DAA"/>
    <w:rsid w:val="00D53819"/>
    <w:rsid w:val="00D572AA"/>
    <w:rsid w:val="00D60E99"/>
    <w:rsid w:val="00D641F3"/>
    <w:rsid w:val="00D64742"/>
    <w:rsid w:val="00D7554E"/>
    <w:rsid w:val="00D76FD6"/>
    <w:rsid w:val="00D85D0F"/>
    <w:rsid w:val="00D906B3"/>
    <w:rsid w:val="00DA23B4"/>
    <w:rsid w:val="00DA3038"/>
    <w:rsid w:val="00DA3A59"/>
    <w:rsid w:val="00DA4DA7"/>
    <w:rsid w:val="00DB00B1"/>
    <w:rsid w:val="00DB0F34"/>
    <w:rsid w:val="00DB4648"/>
    <w:rsid w:val="00DB5C28"/>
    <w:rsid w:val="00DB7B13"/>
    <w:rsid w:val="00DC0ABF"/>
    <w:rsid w:val="00DD01C8"/>
    <w:rsid w:val="00DD16C0"/>
    <w:rsid w:val="00DD1A75"/>
    <w:rsid w:val="00DD4DFE"/>
    <w:rsid w:val="00DE066C"/>
    <w:rsid w:val="00DE0AD5"/>
    <w:rsid w:val="00DE21C3"/>
    <w:rsid w:val="00DE7455"/>
    <w:rsid w:val="00DF03F0"/>
    <w:rsid w:val="00DF1B35"/>
    <w:rsid w:val="00DF4C83"/>
    <w:rsid w:val="00E008EA"/>
    <w:rsid w:val="00E04182"/>
    <w:rsid w:val="00E04CC6"/>
    <w:rsid w:val="00E06CDC"/>
    <w:rsid w:val="00E07C6D"/>
    <w:rsid w:val="00E11E61"/>
    <w:rsid w:val="00E16BF5"/>
    <w:rsid w:val="00E17476"/>
    <w:rsid w:val="00E24AD2"/>
    <w:rsid w:val="00E25943"/>
    <w:rsid w:val="00E266F0"/>
    <w:rsid w:val="00E27C31"/>
    <w:rsid w:val="00E31E5B"/>
    <w:rsid w:val="00E3304C"/>
    <w:rsid w:val="00E351C3"/>
    <w:rsid w:val="00E35A5C"/>
    <w:rsid w:val="00E37E6F"/>
    <w:rsid w:val="00E41822"/>
    <w:rsid w:val="00E4361F"/>
    <w:rsid w:val="00E43F4C"/>
    <w:rsid w:val="00E4530A"/>
    <w:rsid w:val="00E47742"/>
    <w:rsid w:val="00E528AF"/>
    <w:rsid w:val="00E53779"/>
    <w:rsid w:val="00E555F3"/>
    <w:rsid w:val="00E5617B"/>
    <w:rsid w:val="00E56278"/>
    <w:rsid w:val="00E60090"/>
    <w:rsid w:val="00E630F4"/>
    <w:rsid w:val="00E66484"/>
    <w:rsid w:val="00E669BF"/>
    <w:rsid w:val="00E73A8E"/>
    <w:rsid w:val="00E749EC"/>
    <w:rsid w:val="00E758CF"/>
    <w:rsid w:val="00E80B5E"/>
    <w:rsid w:val="00E81831"/>
    <w:rsid w:val="00E8414D"/>
    <w:rsid w:val="00E84933"/>
    <w:rsid w:val="00E85038"/>
    <w:rsid w:val="00E914E8"/>
    <w:rsid w:val="00EA2699"/>
    <w:rsid w:val="00EA3EC2"/>
    <w:rsid w:val="00EA7780"/>
    <w:rsid w:val="00EB100E"/>
    <w:rsid w:val="00EB1A34"/>
    <w:rsid w:val="00EB273B"/>
    <w:rsid w:val="00EB492D"/>
    <w:rsid w:val="00EB70CE"/>
    <w:rsid w:val="00EB7F61"/>
    <w:rsid w:val="00EC4D08"/>
    <w:rsid w:val="00EC564F"/>
    <w:rsid w:val="00EC6BEB"/>
    <w:rsid w:val="00ED0B0C"/>
    <w:rsid w:val="00ED401A"/>
    <w:rsid w:val="00ED46C9"/>
    <w:rsid w:val="00ED69AD"/>
    <w:rsid w:val="00ED7B48"/>
    <w:rsid w:val="00EE18DF"/>
    <w:rsid w:val="00EE1BA0"/>
    <w:rsid w:val="00EE1D7E"/>
    <w:rsid w:val="00EE204C"/>
    <w:rsid w:val="00EF4776"/>
    <w:rsid w:val="00EF4C4C"/>
    <w:rsid w:val="00EF6257"/>
    <w:rsid w:val="00EF7A1A"/>
    <w:rsid w:val="00F03EFA"/>
    <w:rsid w:val="00F053CC"/>
    <w:rsid w:val="00F05672"/>
    <w:rsid w:val="00F06017"/>
    <w:rsid w:val="00F10B16"/>
    <w:rsid w:val="00F15524"/>
    <w:rsid w:val="00F16183"/>
    <w:rsid w:val="00F1649B"/>
    <w:rsid w:val="00F16CA6"/>
    <w:rsid w:val="00F16FDA"/>
    <w:rsid w:val="00F21DF5"/>
    <w:rsid w:val="00F23FDA"/>
    <w:rsid w:val="00F25BF2"/>
    <w:rsid w:val="00F329D1"/>
    <w:rsid w:val="00F40841"/>
    <w:rsid w:val="00F41AEB"/>
    <w:rsid w:val="00F42605"/>
    <w:rsid w:val="00F42A16"/>
    <w:rsid w:val="00F42ED1"/>
    <w:rsid w:val="00F4458F"/>
    <w:rsid w:val="00F503A4"/>
    <w:rsid w:val="00F514CB"/>
    <w:rsid w:val="00F51838"/>
    <w:rsid w:val="00F534AE"/>
    <w:rsid w:val="00F54C16"/>
    <w:rsid w:val="00F56C46"/>
    <w:rsid w:val="00F57B66"/>
    <w:rsid w:val="00F609FD"/>
    <w:rsid w:val="00F64A9B"/>
    <w:rsid w:val="00F721A1"/>
    <w:rsid w:val="00F74F8B"/>
    <w:rsid w:val="00F813A7"/>
    <w:rsid w:val="00F81CDB"/>
    <w:rsid w:val="00F83B63"/>
    <w:rsid w:val="00F909E6"/>
    <w:rsid w:val="00F96411"/>
    <w:rsid w:val="00FA3DC0"/>
    <w:rsid w:val="00FA5566"/>
    <w:rsid w:val="00FA6D91"/>
    <w:rsid w:val="00FB0A3B"/>
    <w:rsid w:val="00FB2D66"/>
    <w:rsid w:val="00FB52AF"/>
    <w:rsid w:val="00FB5C55"/>
    <w:rsid w:val="00FB75BB"/>
    <w:rsid w:val="00FC09EF"/>
    <w:rsid w:val="00FC1E4D"/>
    <w:rsid w:val="00FC3275"/>
    <w:rsid w:val="00FC369F"/>
    <w:rsid w:val="00FD25D0"/>
    <w:rsid w:val="00FD599F"/>
    <w:rsid w:val="00FD6A77"/>
    <w:rsid w:val="00FD76E8"/>
    <w:rsid w:val="00FE1B3C"/>
    <w:rsid w:val="00FE26F0"/>
    <w:rsid w:val="00FE3473"/>
    <w:rsid w:val="00FE6827"/>
    <w:rsid w:val="00FF1410"/>
    <w:rsid w:val="00FF50D8"/>
    <w:rsid w:val="00FF6E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A586D"/>
    <w:pPr>
      <w:spacing w:before="120"/>
      <w:ind w:firstLine="567"/>
      <w:jc w:val="both"/>
    </w:pPr>
    <w:rPr>
      <w:sz w:val="24"/>
      <w:szCs w:val="24"/>
    </w:rPr>
  </w:style>
  <w:style w:type="paragraph" w:styleId="Nadpis1">
    <w:name w:val="heading 1"/>
    <w:basedOn w:val="Normlny"/>
    <w:next w:val="Normlny"/>
    <w:link w:val="Nadpis1Char"/>
    <w:uiPriority w:val="9"/>
    <w:qFormat/>
    <w:rsid w:val="002B6F3C"/>
    <w:pPr>
      <w:keepNext/>
      <w:numPr>
        <w:numId w:val="5"/>
      </w:numPr>
      <w:tabs>
        <w:tab w:val="left" w:pos="567"/>
      </w:tabs>
      <w:suppressAutoHyphens/>
      <w:spacing w:before="480" w:after="240"/>
      <w:jc w:val="left"/>
      <w:outlineLvl w:val="0"/>
    </w:pPr>
    <w:rPr>
      <w:b/>
      <w:bCs/>
      <w:kern w:val="32"/>
      <w:sz w:val="28"/>
      <w:szCs w:val="28"/>
    </w:rPr>
  </w:style>
  <w:style w:type="paragraph" w:styleId="Nadpis2">
    <w:name w:val="heading 2"/>
    <w:basedOn w:val="Nadpis1"/>
    <w:next w:val="Normlny"/>
    <w:link w:val="Nadpis2Char"/>
    <w:uiPriority w:val="9"/>
    <w:qFormat/>
    <w:rsid w:val="00493C89"/>
    <w:pPr>
      <w:numPr>
        <w:ilvl w:val="1"/>
      </w:numPr>
      <w:spacing w:before="360"/>
      <w:outlineLvl w:val="1"/>
    </w:pPr>
    <w:rPr>
      <w:b w:val="0"/>
      <w:bCs w:val="0"/>
      <w:i/>
      <w:iCs/>
      <w:sz w:val="26"/>
      <w:szCs w:val="26"/>
    </w:rPr>
  </w:style>
  <w:style w:type="paragraph" w:styleId="Nadpis4">
    <w:name w:val="heading 4"/>
    <w:basedOn w:val="Normlny"/>
    <w:next w:val="Normlny"/>
    <w:link w:val="Nadpis4Char"/>
    <w:uiPriority w:val="9"/>
    <w:semiHidden/>
    <w:unhideWhenUsed/>
    <w:qFormat/>
    <w:locked/>
    <w:rsid w:val="00B46F71"/>
    <w:pPr>
      <w:keepNext/>
      <w:keepLines/>
      <w:spacing w:before="200"/>
      <w:outlineLvl w:val="3"/>
    </w:pPr>
    <w:rPr>
      <w:rFonts w:asciiTheme="majorHAnsi" w:eastAsiaTheme="majorEastAsia" w:hAnsiTheme="majorHAnsi"/>
      <w:b/>
      <w:bCs/>
      <w:i/>
      <w:iCs/>
      <w:color w:val="4F81BD" w:themeColor="accent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cs="Times New Roman"/>
      <w:b/>
      <w:bCs/>
      <w:kern w:val="32"/>
      <w:sz w:val="28"/>
      <w:szCs w:val="28"/>
    </w:rPr>
  </w:style>
  <w:style w:type="character" w:customStyle="1" w:styleId="Nadpis2Char">
    <w:name w:val="Nadpis 2 Char"/>
    <w:basedOn w:val="Predvolenpsmoodseku"/>
    <w:link w:val="Nadpis2"/>
    <w:uiPriority w:val="9"/>
    <w:locked/>
    <w:rPr>
      <w:rFonts w:cs="Times New Roman"/>
      <w:i/>
      <w:iCs/>
      <w:kern w:val="32"/>
      <w:sz w:val="26"/>
      <w:szCs w:val="26"/>
    </w:rPr>
  </w:style>
  <w:style w:type="character" w:customStyle="1" w:styleId="Nadpis4Char">
    <w:name w:val="Nadpis 4 Char"/>
    <w:basedOn w:val="Predvolenpsmoodseku"/>
    <w:link w:val="Nadpis4"/>
    <w:uiPriority w:val="9"/>
    <w:semiHidden/>
    <w:locked/>
    <w:rsid w:val="00B46F71"/>
    <w:rPr>
      <w:rFonts w:asciiTheme="majorHAnsi" w:eastAsiaTheme="majorEastAsia" w:hAnsiTheme="majorHAnsi" w:cs="Times New Roman"/>
      <w:b/>
      <w:bCs/>
      <w:i/>
      <w:iCs/>
      <w:color w:val="4F81BD" w:themeColor="accent1"/>
      <w:sz w:val="24"/>
      <w:szCs w:val="24"/>
    </w:rPr>
  </w:style>
  <w:style w:type="paragraph" w:styleId="Pta">
    <w:name w:val="footer"/>
    <w:basedOn w:val="Normlny"/>
    <w:link w:val="PtaChar"/>
    <w:uiPriority w:val="99"/>
    <w:rsid w:val="007E2D00"/>
    <w:pPr>
      <w:tabs>
        <w:tab w:val="center" w:pos="4536"/>
        <w:tab w:val="right" w:pos="9072"/>
      </w:tabs>
    </w:pPr>
  </w:style>
  <w:style w:type="character" w:customStyle="1" w:styleId="PtaChar">
    <w:name w:val="Päta Char"/>
    <w:basedOn w:val="Predvolenpsmoodseku"/>
    <w:link w:val="Pta"/>
    <w:uiPriority w:val="99"/>
    <w:locked/>
    <w:rsid w:val="00415F46"/>
    <w:rPr>
      <w:rFonts w:cs="Times New Roman"/>
      <w:sz w:val="24"/>
      <w:szCs w:val="24"/>
    </w:rPr>
  </w:style>
  <w:style w:type="paragraph" w:styleId="Hlavika">
    <w:name w:val="header"/>
    <w:basedOn w:val="Normlny"/>
    <w:link w:val="HlavikaChar"/>
    <w:uiPriority w:val="99"/>
    <w:rsid w:val="007E2D00"/>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table" w:styleId="Mriekatabuky">
    <w:name w:val="Table Grid"/>
    <w:basedOn w:val="Normlnatabuka"/>
    <w:uiPriority w:val="59"/>
    <w:rsid w:val="007E2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any">
    <w:name w:val="page number"/>
    <w:basedOn w:val="Predvolenpsmoodseku"/>
    <w:uiPriority w:val="99"/>
    <w:rsid w:val="00580EB0"/>
    <w:rPr>
      <w:rFonts w:cs="Times New Roman"/>
    </w:rPr>
  </w:style>
  <w:style w:type="paragraph" w:customStyle="1" w:styleId="Odsaden1">
    <w:name w:val="Odsadené 1"/>
    <w:basedOn w:val="Normlny"/>
    <w:rsid w:val="009472A9"/>
    <w:pPr>
      <w:numPr>
        <w:numId w:val="2"/>
      </w:numPr>
      <w:tabs>
        <w:tab w:val="left" w:pos="284"/>
      </w:tabs>
      <w:spacing w:before="60"/>
    </w:pPr>
  </w:style>
  <w:style w:type="paragraph" w:styleId="Textbubliny">
    <w:name w:val="Balloon Text"/>
    <w:basedOn w:val="Normlny"/>
    <w:link w:val="TextbublinyChar"/>
    <w:uiPriority w:val="99"/>
    <w:semiHidden/>
    <w:rsid w:val="0036539C"/>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cs="Times New Roman"/>
      <w:sz w:val="2"/>
    </w:rPr>
  </w:style>
  <w:style w:type="paragraph" w:styleId="Popis">
    <w:name w:val="caption"/>
    <w:basedOn w:val="Normlny"/>
    <w:next w:val="Normlny"/>
    <w:uiPriority w:val="35"/>
    <w:qFormat/>
    <w:rsid w:val="003341B8"/>
    <w:pPr>
      <w:spacing w:after="200"/>
      <w:ind w:firstLine="0"/>
    </w:pPr>
    <w:rPr>
      <w:i/>
      <w:iCs/>
      <w:sz w:val="22"/>
      <w:szCs w:val="22"/>
    </w:rPr>
  </w:style>
  <w:style w:type="paragraph" w:customStyle="1" w:styleId="Odsekzoznamu1">
    <w:name w:val="Odsek zoznamu1"/>
    <w:basedOn w:val="Normlny"/>
    <w:rsid w:val="00435D72"/>
    <w:pPr>
      <w:ind w:left="720"/>
    </w:pPr>
  </w:style>
  <w:style w:type="paragraph" w:styleId="Nzov">
    <w:name w:val="Title"/>
    <w:basedOn w:val="Normlny"/>
    <w:next w:val="Normlny"/>
    <w:link w:val="NzovChar"/>
    <w:uiPriority w:val="10"/>
    <w:qFormat/>
    <w:rsid w:val="000B431D"/>
    <w:pPr>
      <w:spacing w:before="0" w:after="300"/>
      <w:ind w:firstLine="0"/>
      <w:jc w:val="center"/>
    </w:pPr>
    <w:rPr>
      <w:rFonts w:ascii="Cambria" w:hAnsi="Cambria" w:cs="Cambria"/>
      <w:spacing w:val="5"/>
      <w:kern w:val="28"/>
      <w:sz w:val="52"/>
      <w:szCs w:val="52"/>
    </w:rPr>
  </w:style>
  <w:style w:type="character" w:customStyle="1" w:styleId="NzovChar">
    <w:name w:val="Názov Char"/>
    <w:basedOn w:val="Predvolenpsmoodseku"/>
    <w:link w:val="Nzov"/>
    <w:uiPriority w:val="10"/>
    <w:locked/>
    <w:rsid w:val="000B431D"/>
    <w:rPr>
      <w:rFonts w:ascii="Cambria" w:hAnsi="Cambria" w:cs="Cambria"/>
      <w:spacing w:val="5"/>
      <w:kern w:val="28"/>
      <w:sz w:val="52"/>
      <w:szCs w:val="52"/>
    </w:rPr>
  </w:style>
  <w:style w:type="character" w:styleId="Odkaznakomentr">
    <w:name w:val="annotation reference"/>
    <w:basedOn w:val="Predvolenpsmoodseku"/>
    <w:uiPriority w:val="99"/>
    <w:rsid w:val="00F06017"/>
    <w:rPr>
      <w:rFonts w:cs="Times New Roman"/>
      <w:sz w:val="16"/>
      <w:szCs w:val="16"/>
    </w:rPr>
  </w:style>
  <w:style w:type="paragraph" w:styleId="Textkomentra">
    <w:name w:val="annotation text"/>
    <w:basedOn w:val="Normlny"/>
    <w:link w:val="TextkomentraChar"/>
    <w:uiPriority w:val="99"/>
    <w:rsid w:val="00F06017"/>
    <w:rPr>
      <w:sz w:val="20"/>
      <w:szCs w:val="20"/>
    </w:rPr>
  </w:style>
  <w:style w:type="character" w:customStyle="1" w:styleId="TextkomentraChar">
    <w:name w:val="Text komentára Char"/>
    <w:basedOn w:val="Predvolenpsmoodseku"/>
    <w:link w:val="Textkomentra"/>
    <w:uiPriority w:val="99"/>
    <w:locked/>
    <w:rsid w:val="00F06017"/>
    <w:rPr>
      <w:rFonts w:cs="Times New Roman"/>
    </w:rPr>
  </w:style>
  <w:style w:type="paragraph" w:styleId="Predmetkomentra">
    <w:name w:val="annotation subject"/>
    <w:basedOn w:val="Textkomentra"/>
    <w:next w:val="Textkomentra"/>
    <w:link w:val="PredmetkomentraChar"/>
    <w:uiPriority w:val="99"/>
    <w:rsid w:val="00F06017"/>
    <w:rPr>
      <w:b/>
      <w:bCs/>
    </w:rPr>
  </w:style>
  <w:style w:type="character" w:customStyle="1" w:styleId="PredmetkomentraChar">
    <w:name w:val="Predmet komentára Char"/>
    <w:basedOn w:val="TextkomentraChar"/>
    <w:link w:val="Predmetkomentra"/>
    <w:uiPriority w:val="99"/>
    <w:locked/>
    <w:rsid w:val="00F06017"/>
    <w:rPr>
      <w:rFonts w:cs="Times New Roman"/>
      <w:b/>
      <w:bCs/>
    </w:rPr>
  </w:style>
  <w:style w:type="character" w:styleId="Siln">
    <w:name w:val="Strong"/>
    <w:basedOn w:val="Predvolenpsmoodseku"/>
    <w:uiPriority w:val="22"/>
    <w:qFormat/>
    <w:locked/>
    <w:rsid w:val="00196003"/>
    <w:rPr>
      <w:rFonts w:cs="Times New Roman"/>
      <w:b/>
      <w:bCs/>
    </w:rPr>
  </w:style>
  <w:style w:type="paragraph" w:customStyle="1" w:styleId="Obyajntext5">
    <w:name w:val="Obyčajný text5"/>
    <w:basedOn w:val="Normlny"/>
    <w:rsid w:val="00E66484"/>
    <w:pPr>
      <w:spacing w:before="0"/>
      <w:ind w:firstLine="0"/>
      <w:jc w:val="left"/>
    </w:pPr>
    <w:rPr>
      <w:rFonts w:ascii="Courier New" w:hAnsi="Courier New"/>
      <w:sz w:val="20"/>
      <w:szCs w:val="20"/>
    </w:rPr>
  </w:style>
  <w:style w:type="paragraph" w:styleId="Odsekzoznamu">
    <w:name w:val="List Paragraph"/>
    <w:basedOn w:val="Normlny"/>
    <w:uiPriority w:val="34"/>
    <w:qFormat/>
    <w:rsid w:val="00B751C0"/>
    <w:pPr>
      <w:ind w:left="720"/>
      <w:contextualSpacing/>
    </w:pPr>
  </w:style>
  <w:style w:type="paragraph" w:styleId="Citcia">
    <w:name w:val="Quote"/>
    <w:basedOn w:val="Normlny"/>
    <w:next w:val="Normlny"/>
    <w:link w:val="CitciaChar"/>
    <w:uiPriority w:val="29"/>
    <w:qFormat/>
    <w:rsid w:val="00E008EA"/>
    <w:rPr>
      <w:i/>
      <w:iCs/>
      <w:color w:val="000000" w:themeColor="text1"/>
    </w:rPr>
  </w:style>
  <w:style w:type="character" w:customStyle="1" w:styleId="CitciaChar">
    <w:name w:val="Citácia Char"/>
    <w:basedOn w:val="Predvolenpsmoodseku"/>
    <w:link w:val="Citcia"/>
    <w:uiPriority w:val="29"/>
    <w:locked/>
    <w:rsid w:val="00E008EA"/>
    <w:rPr>
      <w:rFonts w:cs="Times New Roman"/>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A586D"/>
    <w:pPr>
      <w:spacing w:before="120"/>
      <w:ind w:firstLine="567"/>
      <w:jc w:val="both"/>
    </w:pPr>
    <w:rPr>
      <w:sz w:val="24"/>
      <w:szCs w:val="24"/>
    </w:rPr>
  </w:style>
  <w:style w:type="paragraph" w:styleId="Nadpis1">
    <w:name w:val="heading 1"/>
    <w:basedOn w:val="Normlny"/>
    <w:next w:val="Normlny"/>
    <w:link w:val="Nadpis1Char"/>
    <w:uiPriority w:val="9"/>
    <w:qFormat/>
    <w:rsid w:val="002B6F3C"/>
    <w:pPr>
      <w:keepNext/>
      <w:numPr>
        <w:numId w:val="5"/>
      </w:numPr>
      <w:tabs>
        <w:tab w:val="left" w:pos="567"/>
      </w:tabs>
      <w:suppressAutoHyphens/>
      <w:spacing w:before="480" w:after="240"/>
      <w:jc w:val="left"/>
      <w:outlineLvl w:val="0"/>
    </w:pPr>
    <w:rPr>
      <w:b/>
      <w:bCs/>
      <w:kern w:val="32"/>
      <w:sz w:val="28"/>
      <w:szCs w:val="28"/>
    </w:rPr>
  </w:style>
  <w:style w:type="paragraph" w:styleId="Nadpis2">
    <w:name w:val="heading 2"/>
    <w:basedOn w:val="Nadpis1"/>
    <w:next w:val="Normlny"/>
    <w:link w:val="Nadpis2Char"/>
    <w:uiPriority w:val="9"/>
    <w:qFormat/>
    <w:rsid w:val="00493C89"/>
    <w:pPr>
      <w:numPr>
        <w:ilvl w:val="1"/>
      </w:numPr>
      <w:spacing w:before="360"/>
      <w:outlineLvl w:val="1"/>
    </w:pPr>
    <w:rPr>
      <w:b w:val="0"/>
      <w:bCs w:val="0"/>
      <w:i/>
      <w:iCs/>
      <w:sz w:val="26"/>
      <w:szCs w:val="26"/>
    </w:rPr>
  </w:style>
  <w:style w:type="paragraph" w:styleId="Nadpis4">
    <w:name w:val="heading 4"/>
    <w:basedOn w:val="Normlny"/>
    <w:next w:val="Normlny"/>
    <w:link w:val="Nadpis4Char"/>
    <w:uiPriority w:val="9"/>
    <w:semiHidden/>
    <w:unhideWhenUsed/>
    <w:qFormat/>
    <w:locked/>
    <w:rsid w:val="00B46F71"/>
    <w:pPr>
      <w:keepNext/>
      <w:keepLines/>
      <w:spacing w:before="200"/>
      <w:outlineLvl w:val="3"/>
    </w:pPr>
    <w:rPr>
      <w:rFonts w:asciiTheme="majorHAnsi" w:eastAsiaTheme="majorEastAsia" w:hAnsiTheme="majorHAnsi"/>
      <w:b/>
      <w:bCs/>
      <w:i/>
      <w:iCs/>
      <w:color w:val="4F81BD" w:themeColor="accent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cs="Times New Roman"/>
      <w:b/>
      <w:bCs/>
      <w:kern w:val="32"/>
      <w:sz w:val="28"/>
      <w:szCs w:val="28"/>
    </w:rPr>
  </w:style>
  <w:style w:type="character" w:customStyle="1" w:styleId="Nadpis2Char">
    <w:name w:val="Nadpis 2 Char"/>
    <w:basedOn w:val="Predvolenpsmoodseku"/>
    <w:link w:val="Nadpis2"/>
    <w:uiPriority w:val="9"/>
    <w:locked/>
    <w:rPr>
      <w:rFonts w:cs="Times New Roman"/>
      <w:i/>
      <w:iCs/>
      <w:kern w:val="32"/>
      <w:sz w:val="26"/>
      <w:szCs w:val="26"/>
    </w:rPr>
  </w:style>
  <w:style w:type="character" w:customStyle="1" w:styleId="Nadpis4Char">
    <w:name w:val="Nadpis 4 Char"/>
    <w:basedOn w:val="Predvolenpsmoodseku"/>
    <w:link w:val="Nadpis4"/>
    <w:uiPriority w:val="9"/>
    <w:semiHidden/>
    <w:locked/>
    <w:rsid w:val="00B46F71"/>
    <w:rPr>
      <w:rFonts w:asciiTheme="majorHAnsi" w:eastAsiaTheme="majorEastAsia" w:hAnsiTheme="majorHAnsi" w:cs="Times New Roman"/>
      <w:b/>
      <w:bCs/>
      <w:i/>
      <w:iCs/>
      <w:color w:val="4F81BD" w:themeColor="accent1"/>
      <w:sz w:val="24"/>
      <w:szCs w:val="24"/>
    </w:rPr>
  </w:style>
  <w:style w:type="paragraph" w:styleId="Pta">
    <w:name w:val="footer"/>
    <w:basedOn w:val="Normlny"/>
    <w:link w:val="PtaChar"/>
    <w:uiPriority w:val="99"/>
    <w:rsid w:val="007E2D00"/>
    <w:pPr>
      <w:tabs>
        <w:tab w:val="center" w:pos="4536"/>
        <w:tab w:val="right" w:pos="9072"/>
      </w:tabs>
    </w:pPr>
  </w:style>
  <w:style w:type="character" w:customStyle="1" w:styleId="PtaChar">
    <w:name w:val="Päta Char"/>
    <w:basedOn w:val="Predvolenpsmoodseku"/>
    <w:link w:val="Pta"/>
    <w:uiPriority w:val="99"/>
    <w:locked/>
    <w:rsid w:val="00415F46"/>
    <w:rPr>
      <w:rFonts w:cs="Times New Roman"/>
      <w:sz w:val="24"/>
      <w:szCs w:val="24"/>
    </w:rPr>
  </w:style>
  <w:style w:type="paragraph" w:styleId="Hlavika">
    <w:name w:val="header"/>
    <w:basedOn w:val="Normlny"/>
    <w:link w:val="HlavikaChar"/>
    <w:uiPriority w:val="99"/>
    <w:rsid w:val="007E2D00"/>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table" w:styleId="Mriekatabuky">
    <w:name w:val="Table Grid"/>
    <w:basedOn w:val="Normlnatabuka"/>
    <w:uiPriority w:val="59"/>
    <w:rsid w:val="007E2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any">
    <w:name w:val="page number"/>
    <w:basedOn w:val="Predvolenpsmoodseku"/>
    <w:uiPriority w:val="99"/>
    <w:rsid w:val="00580EB0"/>
    <w:rPr>
      <w:rFonts w:cs="Times New Roman"/>
    </w:rPr>
  </w:style>
  <w:style w:type="paragraph" w:customStyle="1" w:styleId="Odsaden1">
    <w:name w:val="Odsadené 1"/>
    <w:basedOn w:val="Normlny"/>
    <w:rsid w:val="009472A9"/>
    <w:pPr>
      <w:numPr>
        <w:numId w:val="2"/>
      </w:numPr>
      <w:tabs>
        <w:tab w:val="left" w:pos="284"/>
      </w:tabs>
      <w:spacing w:before="60"/>
    </w:pPr>
  </w:style>
  <w:style w:type="paragraph" w:styleId="Textbubliny">
    <w:name w:val="Balloon Text"/>
    <w:basedOn w:val="Normlny"/>
    <w:link w:val="TextbublinyChar"/>
    <w:uiPriority w:val="99"/>
    <w:semiHidden/>
    <w:rsid w:val="0036539C"/>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cs="Times New Roman"/>
      <w:sz w:val="2"/>
    </w:rPr>
  </w:style>
  <w:style w:type="paragraph" w:styleId="Popis">
    <w:name w:val="caption"/>
    <w:basedOn w:val="Normlny"/>
    <w:next w:val="Normlny"/>
    <w:uiPriority w:val="35"/>
    <w:qFormat/>
    <w:rsid w:val="003341B8"/>
    <w:pPr>
      <w:spacing w:after="200"/>
      <w:ind w:firstLine="0"/>
    </w:pPr>
    <w:rPr>
      <w:i/>
      <w:iCs/>
      <w:sz w:val="22"/>
      <w:szCs w:val="22"/>
    </w:rPr>
  </w:style>
  <w:style w:type="paragraph" w:customStyle="1" w:styleId="Odsekzoznamu1">
    <w:name w:val="Odsek zoznamu1"/>
    <w:basedOn w:val="Normlny"/>
    <w:rsid w:val="00435D72"/>
    <w:pPr>
      <w:ind w:left="720"/>
    </w:pPr>
  </w:style>
  <w:style w:type="paragraph" w:styleId="Nzov">
    <w:name w:val="Title"/>
    <w:basedOn w:val="Normlny"/>
    <w:next w:val="Normlny"/>
    <w:link w:val="NzovChar"/>
    <w:uiPriority w:val="10"/>
    <w:qFormat/>
    <w:rsid w:val="000B431D"/>
    <w:pPr>
      <w:spacing w:before="0" w:after="300"/>
      <w:ind w:firstLine="0"/>
      <w:jc w:val="center"/>
    </w:pPr>
    <w:rPr>
      <w:rFonts w:ascii="Cambria" w:hAnsi="Cambria" w:cs="Cambria"/>
      <w:spacing w:val="5"/>
      <w:kern w:val="28"/>
      <w:sz w:val="52"/>
      <w:szCs w:val="52"/>
    </w:rPr>
  </w:style>
  <w:style w:type="character" w:customStyle="1" w:styleId="NzovChar">
    <w:name w:val="Názov Char"/>
    <w:basedOn w:val="Predvolenpsmoodseku"/>
    <w:link w:val="Nzov"/>
    <w:uiPriority w:val="10"/>
    <w:locked/>
    <w:rsid w:val="000B431D"/>
    <w:rPr>
      <w:rFonts w:ascii="Cambria" w:hAnsi="Cambria" w:cs="Cambria"/>
      <w:spacing w:val="5"/>
      <w:kern w:val="28"/>
      <w:sz w:val="52"/>
      <w:szCs w:val="52"/>
    </w:rPr>
  </w:style>
  <w:style w:type="character" w:styleId="Odkaznakomentr">
    <w:name w:val="annotation reference"/>
    <w:basedOn w:val="Predvolenpsmoodseku"/>
    <w:uiPriority w:val="99"/>
    <w:rsid w:val="00F06017"/>
    <w:rPr>
      <w:rFonts w:cs="Times New Roman"/>
      <w:sz w:val="16"/>
      <w:szCs w:val="16"/>
    </w:rPr>
  </w:style>
  <w:style w:type="paragraph" w:styleId="Textkomentra">
    <w:name w:val="annotation text"/>
    <w:basedOn w:val="Normlny"/>
    <w:link w:val="TextkomentraChar"/>
    <w:uiPriority w:val="99"/>
    <w:rsid w:val="00F06017"/>
    <w:rPr>
      <w:sz w:val="20"/>
      <w:szCs w:val="20"/>
    </w:rPr>
  </w:style>
  <w:style w:type="character" w:customStyle="1" w:styleId="TextkomentraChar">
    <w:name w:val="Text komentára Char"/>
    <w:basedOn w:val="Predvolenpsmoodseku"/>
    <w:link w:val="Textkomentra"/>
    <w:uiPriority w:val="99"/>
    <w:locked/>
    <w:rsid w:val="00F06017"/>
    <w:rPr>
      <w:rFonts w:cs="Times New Roman"/>
    </w:rPr>
  </w:style>
  <w:style w:type="paragraph" w:styleId="Predmetkomentra">
    <w:name w:val="annotation subject"/>
    <w:basedOn w:val="Textkomentra"/>
    <w:next w:val="Textkomentra"/>
    <w:link w:val="PredmetkomentraChar"/>
    <w:uiPriority w:val="99"/>
    <w:rsid w:val="00F06017"/>
    <w:rPr>
      <w:b/>
      <w:bCs/>
    </w:rPr>
  </w:style>
  <w:style w:type="character" w:customStyle="1" w:styleId="PredmetkomentraChar">
    <w:name w:val="Predmet komentára Char"/>
    <w:basedOn w:val="TextkomentraChar"/>
    <w:link w:val="Predmetkomentra"/>
    <w:uiPriority w:val="99"/>
    <w:locked/>
    <w:rsid w:val="00F06017"/>
    <w:rPr>
      <w:rFonts w:cs="Times New Roman"/>
      <w:b/>
      <w:bCs/>
    </w:rPr>
  </w:style>
  <w:style w:type="character" w:styleId="Siln">
    <w:name w:val="Strong"/>
    <w:basedOn w:val="Predvolenpsmoodseku"/>
    <w:uiPriority w:val="22"/>
    <w:qFormat/>
    <w:locked/>
    <w:rsid w:val="00196003"/>
    <w:rPr>
      <w:rFonts w:cs="Times New Roman"/>
      <w:b/>
      <w:bCs/>
    </w:rPr>
  </w:style>
  <w:style w:type="paragraph" w:customStyle="1" w:styleId="Obyajntext5">
    <w:name w:val="Obyčajný text5"/>
    <w:basedOn w:val="Normlny"/>
    <w:rsid w:val="00E66484"/>
    <w:pPr>
      <w:spacing w:before="0"/>
      <w:ind w:firstLine="0"/>
      <w:jc w:val="left"/>
    </w:pPr>
    <w:rPr>
      <w:rFonts w:ascii="Courier New" w:hAnsi="Courier New"/>
      <w:sz w:val="20"/>
      <w:szCs w:val="20"/>
    </w:rPr>
  </w:style>
  <w:style w:type="paragraph" w:styleId="Odsekzoznamu">
    <w:name w:val="List Paragraph"/>
    <w:basedOn w:val="Normlny"/>
    <w:uiPriority w:val="34"/>
    <w:qFormat/>
    <w:rsid w:val="00B751C0"/>
    <w:pPr>
      <w:ind w:left="720"/>
      <w:contextualSpacing/>
    </w:pPr>
  </w:style>
  <w:style w:type="paragraph" w:styleId="Citcia">
    <w:name w:val="Quote"/>
    <w:basedOn w:val="Normlny"/>
    <w:next w:val="Normlny"/>
    <w:link w:val="CitciaChar"/>
    <w:uiPriority w:val="29"/>
    <w:qFormat/>
    <w:rsid w:val="00E008EA"/>
    <w:rPr>
      <w:i/>
      <w:iCs/>
      <w:color w:val="000000" w:themeColor="text1"/>
    </w:rPr>
  </w:style>
  <w:style w:type="character" w:customStyle="1" w:styleId="CitciaChar">
    <w:name w:val="Citácia Char"/>
    <w:basedOn w:val="Predvolenpsmoodseku"/>
    <w:link w:val="Citcia"/>
    <w:uiPriority w:val="29"/>
    <w:locked/>
    <w:rsid w:val="00E008EA"/>
    <w:rPr>
      <w:rFonts w:cs="Times New Roman"/>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824326">
      <w:marLeft w:val="0"/>
      <w:marRight w:val="0"/>
      <w:marTop w:val="0"/>
      <w:marBottom w:val="0"/>
      <w:divBdr>
        <w:top w:val="none" w:sz="0" w:space="0" w:color="auto"/>
        <w:left w:val="none" w:sz="0" w:space="0" w:color="auto"/>
        <w:bottom w:val="none" w:sz="0" w:space="0" w:color="auto"/>
        <w:right w:val="none" w:sz="0" w:space="0" w:color="auto"/>
      </w:divBdr>
    </w:div>
    <w:div w:id="1397824327">
      <w:marLeft w:val="0"/>
      <w:marRight w:val="0"/>
      <w:marTop w:val="0"/>
      <w:marBottom w:val="0"/>
      <w:divBdr>
        <w:top w:val="none" w:sz="0" w:space="0" w:color="auto"/>
        <w:left w:val="none" w:sz="0" w:space="0" w:color="auto"/>
        <w:bottom w:val="none" w:sz="0" w:space="0" w:color="auto"/>
        <w:right w:val="none" w:sz="0" w:space="0" w:color="auto"/>
      </w:divBdr>
    </w:div>
    <w:div w:id="1397824328">
      <w:marLeft w:val="0"/>
      <w:marRight w:val="0"/>
      <w:marTop w:val="0"/>
      <w:marBottom w:val="0"/>
      <w:divBdr>
        <w:top w:val="none" w:sz="0" w:space="0" w:color="auto"/>
        <w:left w:val="none" w:sz="0" w:space="0" w:color="auto"/>
        <w:bottom w:val="none" w:sz="0" w:space="0" w:color="auto"/>
        <w:right w:val="none" w:sz="0" w:space="0" w:color="auto"/>
      </w:divBdr>
    </w:div>
    <w:div w:id="1397824329">
      <w:marLeft w:val="0"/>
      <w:marRight w:val="0"/>
      <w:marTop w:val="0"/>
      <w:marBottom w:val="0"/>
      <w:divBdr>
        <w:top w:val="none" w:sz="0" w:space="0" w:color="auto"/>
        <w:left w:val="none" w:sz="0" w:space="0" w:color="auto"/>
        <w:bottom w:val="none" w:sz="0" w:space="0" w:color="auto"/>
        <w:right w:val="none" w:sz="0" w:space="0" w:color="auto"/>
      </w:divBdr>
    </w:div>
    <w:div w:id="1397824330">
      <w:marLeft w:val="0"/>
      <w:marRight w:val="0"/>
      <w:marTop w:val="0"/>
      <w:marBottom w:val="0"/>
      <w:divBdr>
        <w:top w:val="none" w:sz="0" w:space="0" w:color="auto"/>
        <w:left w:val="none" w:sz="0" w:space="0" w:color="auto"/>
        <w:bottom w:val="none" w:sz="0" w:space="0" w:color="auto"/>
        <w:right w:val="none" w:sz="0" w:space="0" w:color="auto"/>
      </w:divBdr>
    </w:div>
    <w:div w:id="1397824331">
      <w:marLeft w:val="0"/>
      <w:marRight w:val="0"/>
      <w:marTop w:val="0"/>
      <w:marBottom w:val="0"/>
      <w:divBdr>
        <w:top w:val="none" w:sz="0" w:space="0" w:color="auto"/>
        <w:left w:val="none" w:sz="0" w:space="0" w:color="auto"/>
        <w:bottom w:val="none" w:sz="0" w:space="0" w:color="auto"/>
        <w:right w:val="none" w:sz="0" w:space="0" w:color="auto"/>
      </w:divBdr>
    </w:div>
    <w:div w:id="1397824332">
      <w:marLeft w:val="0"/>
      <w:marRight w:val="0"/>
      <w:marTop w:val="0"/>
      <w:marBottom w:val="0"/>
      <w:divBdr>
        <w:top w:val="none" w:sz="0" w:space="0" w:color="auto"/>
        <w:left w:val="none" w:sz="0" w:space="0" w:color="auto"/>
        <w:bottom w:val="none" w:sz="0" w:space="0" w:color="auto"/>
        <w:right w:val="none" w:sz="0" w:space="0" w:color="auto"/>
      </w:divBdr>
    </w:div>
    <w:div w:id="1397824333">
      <w:marLeft w:val="0"/>
      <w:marRight w:val="0"/>
      <w:marTop w:val="0"/>
      <w:marBottom w:val="0"/>
      <w:divBdr>
        <w:top w:val="none" w:sz="0" w:space="0" w:color="auto"/>
        <w:left w:val="none" w:sz="0" w:space="0" w:color="auto"/>
        <w:bottom w:val="none" w:sz="0" w:space="0" w:color="auto"/>
        <w:right w:val="none" w:sz="0" w:space="0" w:color="auto"/>
      </w:divBdr>
    </w:div>
    <w:div w:id="1397824334">
      <w:marLeft w:val="0"/>
      <w:marRight w:val="0"/>
      <w:marTop w:val="0"/>
      <w:marBottom w:val="0"/>
      <w:divBdr>
        <w:top w:val="none" w:sz="0" w:space="0" w:color="auto"/>
        <w:left w:val="none" w:sz="0" w:space="0" w:color="auto"/>
        <w:bottom w:val="none" w:sz="0" w:space="0" w:color="auto"/>
        <w:right w:val="none" w:sz="0" w:space="0" w:color="auto"/>
      </w:divBdr>
    </w:div>
    <w:div w:id="1397824335">
      <w:marLeft w:val="0"/>
      <w:marRight w:val="0"/>
      <w:marTop w:val="0"/>
      <w:marBottom w:val="0"/>
      <w:divBdr>
        <w:top w:val="none" w:sz="0" w:space="0" w:color="auto"/>
        <w:left w:val="none" w:sz="0" w:space="0" w:color="auto"/>
        <w:bottom w:val="none" w:sz="0" w:space="0" w:color="auto"/>
        <w:right w:val="none" w:sz="0" w:space="0" w:color="auto"/>
      </w:divBdr>
    </w:div>
    <w:div w:id="1397824336">
      <w:marLeft w:val="0"/>
      <w:marRight w:val="0"/>
      <w:marTop w:val="0"/>
      <w:marBottom w:val="0"/>
      <w:divBdr>
        <w:top w:val="none" w:sz="0" w:space="0" w:color="auto"/>
        <w:left w:val="none" w:sz="0" w:space="0" w:color="auto"/>
        <w:bottom w:val="none" w:sz="0" w:space="0" w:color="auto"/>
        <w:right w:val="none" w:sz="0" w:space="0" w:color="auto"/>
      </w:divBdr>
    </w:div>
    <w:div w:id="1397824337">
      <w:marLeft w:val="0"/>
      <w:marRight w:val="0"/>
      <w:marTop w:val="0"/>
      <w:marBottom w:val="0"/>
      <w:divBdr>
        <w:top w:val="none" w:sz="0" w:space="0" w:color="auto"/>
        <w:left w:val="none" w:sz="0" w:space="0" w:color="auto"/>
        <w:bottom w:val="none" w:sz="0" w:space="0" w:color="auto"/>
        <w:right w:val="none" w:sz="0" w:space="0" w:color="auto"/>
      </w:divBdr>
    </w:div>
    <w:div w:id="1397824338">
      <w:marLeft w:val="0"/>
      <w:marRight w:val="0"/>
      <w:marTop w:val="0"/>
      <w:marBottom w:val="0"/>
      <w:divBdr>
        <w:top w:val="none" w:sz="0" w:space="0" w:color="auto"/>
        <w:left w:val="none" w:sz="0" w:space="0" w:color="auto"/>
        <w:bottom w:val="none" w:sz="0" w:space="0" w:color="auto"/>
        <w:right w:val="none" w:sz="0" w:space="0" w:color="auto"/>
      </w:divBdr>
    </w:div>
    <w:div w:id="1397824339">
      <w:marLeft w:val="0"/>
      <w:marRight w:val="0"/>
      <w:marTop w:val="0"/>
      <w:marBottom w:val="0"/>
      <w:divBdr>
        <w:top w:val="none" w:sz="0" w:space="0" w:color="auto"/>
        <w:left w:val="none" w:sz="0" w:space="0" w:color="auto"/>
        <w:bottom w:val="none" w:sz="0" w:space="0" w:color="auto"/>
        <w:right w:val="none" w:sz="0" w:space="0" w:color="auto"/>
      </w:divBdr>
    </w:div>
    <w:div w:id="1397824340">
      <w:marLeft w:val="0"/>
      <w:marRight w:val="0"/>
      <w:marTop w:val="0"/>
      <w:marBottom w:val="0"/>
      <w:divBdr>
        <w:top w:val="none" w:sz="0" w:space="0" w:color="auto"/>
        <w:left w:val="none" w:sz="0" w:space="0" w:color="auto"/>
        <w:bottom w:val="none" w:sz="0" w:space="0" w:color="auto"/>
        <w:right w:val="none" w:sz="0" w:space="0" w:color="auto"/>
      </w:divBdr>
    </w:div>
    <w:div w:id="1397824341">
      <w:marLeft w:val="0"/>
      <w:marRight w:val="0"/>
      <w:marTop w:val="0"/>
      <w:marBottom w:val="0"/>
      <w:divBdr>
        <w:top w:val="none" w:sz="0" w:space="0" w:color="auto"/>
        <w:left w:val="none" w:sz="0" w:space="0" w:color="auto"/>
        <w:bottom w:val="none" w:sz="0" w:space="0" w:color="auto"/>
        <w:right w:val="none" w:sz="0" w:space="0" w:color="auto"/>
      </w:divBdr>
    </w:div>
    <w:div w:id="1397824342">
      <w:marLeft w:val="0"/>
      <w:marRight w:val="0"/>
      <w:marTop w:val="0"/>
      <w:marBottom w:val="0"/>
      <w:divBdr>
        <w:top w:val="none" w:sz="0" w:space="0" w:color="auto"/>
        <w:left w:val="none" w:sz="0" w:space="0" w:color="auto"/>
        <w:bottom w:val="none" w:sz="0" w:space="0" w:color="auto"/>
        <w:right w:val="none" w:sz="0" w:space="0" w:color="auto"/>
      </w:divBdr>
    </w:div>
    <w:div w:id="1397824343">
      <w:marLeft w:val="0"/>
      <w:marRight w:val="0"/>
      <w:marTop w:val="0"/>
      <w:marBottom w:val="0"/>
      <w:divBdr>
        <w:top w:val="none" w:sz="0" w:space="0" w:color="auto"/>
        <w:left w:val="none" w:sz="0" w:space="0" w:color="auto"/>
        <w:bottom w:val="none" w:sz="0" w:space="0" w:color="auto"/>
        <w:right w:val="none" w:sz="0" w:space="0" w:color="auto"/>
      </w:divBdr>
    </w:div>
    <w:div w:id="1397824344">
      <w:marLeft w:val="0"/>
      <w:marRight w:val="0"/>
      <w:marTop w:val="0"/>
      <w:marBottom w:val="0"/>
      <w:divBdr>
        <w:top w:val="none" w:sz="0" w:space="0" w:color="auto"/>
        <w:left w:val="none" w:sz="0" w:space="0" w:color="auto"/>
        <w:bottom w:val="none" w:sz="0" w:space="0" w:color="auto"/>
        <w:right w:val="none" w:sz="0" w:space="0" w:color="auto"/>
      </w:divBdr>
    </w:div>
    <w:div w:id="1397824345">
      <w:marLeft w:val="0"/>
      <w:marRight w:val="0"/>
      <w:marTop w:val="0"/>
      <w:marBottom w:val="0"/>
      <w:divBdr>
        <w:top w:val="none" w:sz="0" w:space="0" w:color="auto"/>
        <w:left w:val="none" w:sz="0" w:space="0" w:color="auto"/>
        <w:bottom w:val="none" w:sz="0" w:space="0" w:color="auto"/>
        <w:right w:val="none" w:sz="0" w:space="0" w:color="auto"/>
      </w:divBdr>
    </w:div>
    <w:div w:id="1397824346">
      <w:marLeft w:val="0"/>
      <w:marRight w:val="0"/>
      <w:marTop w:val="0"/>
      <w:marBottom w:val="0"/>
      <w:divBdr>
        <w:top w:val="none" w:sz="0" w:space="0" w:color="auto"/>
        <w:left w:val="none" w:sz="0" w:space="0" w:color="auto"/>
        <w:bottom w:val="none" w:sz="0" w:space="0" w:color="auto"/>
        <w:right w:val="none" w:sz="0" w:space="0" w:color="auto"/>
      </w:divBdr>
    </w:div>
    <w:div w:id="13978243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04304-A9F2-4542-9B16-3B01CC99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4526</Words>
  <Characters>25801</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ÚVOD</vt:lpstr>
    </vt:vector>
  </TitlesOfParts>
  <Company>Hlavný banský úrad</Company>
  <LinksUpToDate>false</LinksUpToDate>
  <CharactersWithSpaces>30267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Nedeljak</dc:creator>
  <cp:lastModifiedBy>Kuntova Gabriela</cp:lastModifiedBy>
  <cp:revision>4</cp:revision>
  <cp:lastPrinted>2016-03-16T07:47:00Z</cp:lastPrinted>
  <dcterms:created xsi:type="dcterms:W3CDTF">2018-05-04T08:53:00Z</dcterms:created>
  <dcterms:modified xsi:type="dcterms:W3CDTF">2018-05-04T09:00:00Z</dcterms:modified>
</cp:coreProperties>
</file>